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firstLine="640" w:firstLineChars="0"/>
        <w:rPr>
          <w:rFonts w:hint="default" w:ascii="Times New Roman" w:hAnsi="Times New Roman" w:eastAsia="宋体" w:cs="Times New Roman"/>
          <w:color w:val="auto"/>
          <w:sz w:val="21"/>
          <w:szCs w:val="20"/>
        </w:rPr>
      </w:pPr>
      <w:bookmarkStart w:id="0" w:name="_Toc142983502"/>
      <w:bookmarkStart w:id="1" w:name="_Toc18193"/>
    </w:p>
    <w:p>
      <w:pPr>
        <w:spacing w:line="240" w:lineRule="auto"/>
        <w:ind w:firstLine="640" w:firstLineChars="0"/>
        <w:rPr>
          <w:rFonts w:hint="default" w:ascii="Times New Roman" w:hAnsi="Times New Roman" w:eastAsia="宋体" w:cs="Times New Roman"/>
          <w:color w:val="auto"/>
          <w:sz w:val="21"/>
          <w:szCs w:val="20"/>
        </w:rPr>
      </w:pPr>
    </w:p>
    <w:p>
      <w:pPr>
        <w:spacing w:line="240" w:lineRule="auto"/>
        <w:ind w:firstLine="640" w:firstLineChars="0"/>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方正小标宋_GBK" w:cs="Times New Roman"/>
          <w:bCs/>
          <w:color w:val="auto"/>
          <w:sz w:val="60"/>
          <w:szCs w:val="60"/>
        </w:rPr>
      </w:pPr>
      <w:r>
        <w:rPr>
          <w:rFonts w:hint="default" w:ascii="Times New Roman" w:hAnsi="Times New Roman" w:eastAsia="方正小标宋_GBK" w:cs="Times New Roman"/>
          <w:bCs/>
          <w:color w:val="auto"/>
          <w:sz w:val="72"/>
          <w:szCs w:val="72"/>
        </w:rPr>
        <w:t>四川省公铁水空一站式多式联运示范基地建设规划</w:t>
      </w: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pStyle w:val="2"/>
        <w:rPr>
          <w:rFonts w:hint="default"/>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default" w:ascii="Times New Roman" w:hAnsi="Times New Roman" w:eastAsia="宋体" w:cs="Times New Roman"/>
          <w:color w:val="auto"/>
          <w:sz w:val="21"/>
          <w:szCs w:val="20"/>
        </w:rPr>
      </w:pPr>
    </w:p>
    <w:p>
      <w:pPr>
        <w:spacing w:line="240" w:lineRule="auto"/>
        <w:ind w:firstLine="0" w:firstLineChars="0"/>
        <w:jc w:val="center"/>
        <w:rPr>
          <w:rFonts w:hint="eastAsia" w:ascii="Times New Roman" w:hAnsi="Times New Roman" w:eastAsia="黑体" w:cs="Times New Roman"/>
          <w:color w:val="auto"/>
          <w:sz w:val="24"/>
          <w:szCs w:val="24"/>
          <w:lang w:val="en-US" w:eastAsia="zh-CN"/>
        </w:rPr>
      </w:pPr>
      <w:r>
        <w:rPr>
          <w:rFonts w:hint="default" w:ascii="Times New Roman" w:hAnsi="Times New Roman" w:eastAsia="黑体" w:cs="Times New Roman"/>
          <w:color w:val="auto"/>
          <w:kern w:val="2"/>
          <w:sz w:val="32"/>
          <w:szCs w:val="32"/>
        </w:rPr>
        <w:t>乐山市</w:t>
      </w:r>
      <w:r>
        <w:rPr>
          <w:rFonts w:hint="eastAsia" w:eastAsia="黑体" w:cs="Times New Roman"/>
          <w:color w:val="auto"/>
          <w:kern w:val="2"/>
          <w:sz w:val="32"/>
          <w:szCs w:val="32"/>
          <w:lang w:val="en-US" w:eastAsia="zh-CN"/>
        </w:rPr>
        <w:t>人民政府</w:t>
      </w:r>
    </w:p>
    <w:p>
      <w:pPr>
        <w:spacing w:line="360" w:lineRule="auto"/>
        <w:ind w:firstLine="0" w:firstLineChars="0"/>
        <w:jc w:val="center"/>
        <w:rPr>
          <w:rFonts w:hint="default" w:ascii="Times New Roman" w:hAnsi="Times New Roman" w:eastAsia="宋体" w:cs="Times New Roman"/>
          <w:color w:val="auto"/>
          <w:sz w:val="24"/>
          <w:szCs w:val="20"/>
        </w:rPr>
      </w:pPr>
      <w:r>
        <w:rPr>
          <w:rFonts w:hint="default" w:ascii="Times New Roman" w:hAnsi="Times New Roman" w:eastAsia="黑体" w:cs="Times New Roman"/>
          <w:color w:val="auto"/>
          <w:sz w:val="32"/>
          <w:szCs w:val="32"/>
          <w:lang w:eastAsia="zh-CN"/>
        </w:rPr>
        <w:t>二</w:t>
      </w:r>
      <w:r>
        <w:rPr>
          <w:rFonts w:hint="eastAsia" w:eastAsia="黑体" w:cs="Times New Roman"/>
          <w:color w:val="auto"/>
          <w:sz w:val="32"/>
          <w:szCs w:val="32"/>
          <w:lang w:eastAsia="zh-CN"/>
        </w:rPr>
        <w:t>○</w:t>
      </w:r>
      <w:r>
        <w:rPr>
          <w:rFonts w:hint="default" w:ascii="Times New Roman" w:hAnsi="Times New Roman" w:eastAsia="黑体" w:cs="Times New Roman"/>
          <w:color w:val="auto"/>
          <w:sz w:val="32"/>
          <w:szCs w:val="32"/>
          <w:lang w:eastAsia="zh-CN"/>
        </w:rPr>
        <w:t>二</w:t>
      </w:r>
      <w:r>
        <w:rPr>
          <w:rFonts w:hint="eastAsia" w:eastAsia="黑体" w:cs="Times New Roman"/>
          <w:color w:val="auto"/>
          <w:sz w:val="32"/>
          <w:szCs w:val="32"/>
          <w:lang w:val="en-US" w:eastAsia="zh-CN"/>
        </w:rPr>
        <w:t>六</w:t>
      </w:r>
      <w:r>
        <w:rPr>
          <w:rFonts w:hint="default" w:ascii="Times New Roman" w:hAnsi="Times New Roman" w:eastAsia="黑体" w:cs="Times New Roman"/>
          <w:color w:val="auto"/>
          <w:sz w:val="32"/>
          <w:szCs w:val="32"/>
        </w:rPr>
        <w:t>年</w:t>
      </w:r>
      <w:r>
        <w:rPr>
          <w:rFonts w:hint="eastAsia" w:eastAsia="黑体" w:cs="Times New Roman"/>
          <w:color w:val="auto"/>
          <w:sz w:val="32"/>
          <w:szCs w:val="32"/>
          <w:lang w:val="en-US" w:eastAsia="zh-CN"/>
        </w:rPr>
        <w:t>二</w:t>
      </w:r>
      <w:r>
        <w:rPr>
          <w:rFonts w:hint="default" w:ascii="Times New Roman" w:hAnsi="Times New Roman" w:eastAsia="黑体" w:cs="Times New Roman"/>
          <w:color w:val="auto"/>
          <w:sz w:val="32"/>
          <w:szCs w:val="32"/>
        </w:rPr>
        <w:t>月</w:t>
      </w:r>
    </w:p>
    <w:p>
      <w:pPr>
        <w:widowControl/>
        <w:ind w:firstLine="0" w:firstLineChars="0"/>
        <w:jc w:val="left"/>
        <w:rPr>
          <w:rFonts w:hint="default" w:ascii="Times New Roman" w:hAnsi="Times New Roman" w:cs="Times New Roman"/>
          <w:b/>
          <w:color w:val="auto"/>
          <w:kern w:val="44"/>
        </w:rPr>
        <w:sectPr>
          <w:headerReference r:id="rId6" w:type="first"/>
          <w:footerReference r:id="rId8" w:type="first"/>
          <w:headerReference r:id="rId5" w:type="default"/>
          <w:footerReference r:id="rId7" w:type="default"/>
          <w:pgSz w:w="23811" w:h="16838" w:orient="landscape"/>
          <w:pgMar w:top="1803" w:right="1440" w:bottom="1803" w:left="1440" w:header="851" w:footer="992" w:gutter="0"/>
          <w:pgNumType w:fmt="decimal" w:start="1"/>
          <w:cols w:space="0" w:num="1"/>
          <w:titlePg/>
          <w:rtlGutter w:val="0"/>
          <w:docGrid w:type="lines" w:linePitch="326" w:charSpace="0"/>
        </w:sectPr>
      </w:pPr>
    </w:p>
    <w:sdt>
      <w:sdtPr>
        <w:rPr>
          <w:rFonts w:hint="default" w:ascii="Times New Roman" w:hAnsi="Times New Roman" w:eastAsia="楷体" w:cs="Times New Roman"/>
          <w:color w:val="auto"/>
          <w:kern w:val="2"/>
          <w:sz w:val="32"/>
          <w:szCs w:val="22"/>
          <w:lang w:val="zh-CN" w:eastAsia="zh-CN" w:bidi="ar-SA"/>
        </w:rPr>
        <w:id w:val="2027831277"/>
        <w:docPartObj>
          <w:docPartGallery w:val="Table of Contents"/>
          <w:docPartUnique/>
        </w:docPartObj>
      </w:sdtPr>
      <w:sdtEndPr>
        <w:rPr>
          <w:rFonts w:hint="default" w:ascii="Times New Roman" w:hAnsi="Times New Roman" w:eastAsia="黑体" w:cs="Times New Roman"/>
          <w:color w:val="auto"/>
          <w:kern w:val="2"/>
          <w:sz w:val="32"/>
          <w:szCs w:val="22"/>
          <w:lang w:val="zh-CN" w:eastAsia="zh-CN" w:bidi="ar-SA"/>
        </w:rPr>
      </w:sdtEndPr>
      <w:sdtContent>
        <w:p>
          <w:pPr>
            <w:widowControl/>
            <w:numPr>
              <w:ilvl w:val="0"/>
              <w:numId w:val="0"/>
            </w:numPr>
            <w:adjustRightInd/>
            <w:snapToGrid/>
            <w:spacing w:before="130" w:beforeLines="30" w:after="130" w:afterLines="30" w:line="240" w:lineRule="auto"/>
            <w:ind w:firstLine="0" w:firstLineChars="0"/>
            <w:jc w:val="center"/>
            <w:outlineLvl w:val="9"/>
            <w:rPr>
              <w:rFonts w:hint="default" w:ascii="Times New Roman" w:hAnsi="Times New Roman" w:eastAsia="黑体" w:cs="Times New Roman"/>
              <w:bCs w:val="0"/>
              <w:color w:val="auto"/>
              <w:kern w:val="0"/>
              <w:sz w:val="44"/>
              <w:szCs w:val="44"/>
              <w:lang w:val="en-US" w:eastAsia="zh-CN" w:bidi="ar-SA"/>
            </w:rPr>
          </w:pPr>
          <w:r>
            <w:rPr>
              <w:rFonts w:hint="default" w:ascii="Times New Roman" w:hAnsi="Times New Roman" w:eastAsia="黑体" w:cs="Times New Roman"/>
              <w:bCs w:val="0"/>
              <w:color w:val="auto"/>
              <w:kern w:val="0"/>
              <w:sz w:val="44"/>
              <w:szCs w:val="44"/>
              <w:lang w:val="zh-CN" w:eastAsia="zh-CN" w:bidi="ar-SA"/>
            </w:rPr>
            <w:t>目  录</w:t>
          </w:r>
        </w:p>
        <w:p>
          <w:pPr>
            <w:pStyle w:val="14"/>
            <w:tabs>
              <w:tab w:val="right" w:leader="dot" w:pos="9825"/>
            </w:tabs>
          </w:pPr>
          <w:r>
            <w:rPr>
              <w:rFonts w:hint="default" w:ascii="Times New Roman" w:hAnsi="Times New Roman" w:eastAsia="方正小标宋_GBK" w:cs="Times New Roman"/>
              <w:color w:val="auto"/>
              <w:kern w:val="2"/>
              <w:sz w:val="32"/>
              <w:szCs w:val="22"/>
              <w:lang w:val="en-US" w:eastAsia="zh-CN" w:bidi="ar-SA"/>
            </w:rPr>
            <w:fldChar w:fldCharType="begin"/>
          </w:r>
          <w:r>
            <w:rPr>
              <w:rFonts w:hint="default" w:ascii="Times New Roman" w:hAnsi="Times New Roman" w:eastAsia="方正小标宋_GBK" w:cs="Times New Roman"/>
              <w:color w:val="auto"/>
              <w:kern w:val="2"/>
              <w:sz w:val="32"/>
              <w:szCs w:val="22"/>
              <w:lang w:val="en-US" w:eastAsia="zh-CN" w:bidi="ar-SA"/>
            </w:rPr>
            <w:instrText xml:space="preserve"> TOC \o "1-2" \h \z \u </w:instrText>
          </w:r>
          <w:r>
            <w:rPr>
              <w:rFonts w:hint="default" w:ascii="Times New Roman" w:hAnsi="Times New Roman" w:eastAsia="方正小标宋_GBK" w:cs="Times New Roman"/>
              <w:color w:val="auto"/>
              <w:kern w:val="2"/>
              <w:sz w:val="32"/>
              <w:szCs w:val="22"/>
              <w:lang w:val="en-US" w:eastAsia="zh-CN" w:bidi="ar-SA"/>
            </w:rPr>
            <w:fldChar w:fldCharType="separate"/>
          </w: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_Toc32093 </w:instrText>
          </w:r>
          <w:r>
            <w:rPr>
              <w:rFonts w:hint="default" w:ascii="Times New Roman" w:hAnsi="Times New Roman" w:eastAsia="方正小标宋_GBK" w:cs="Times New Roman"/>
              <w:kern w:val="2"/>
              <w:szCs w:val="22"/>
              <w:lang w:val="en-US" w:eastAsia="zh-CN" w:bidi="ar-SA"/>
            </w:rPr>
            <w:fldChar w:fldCharType="separate"/>
          </w:r>
          <w:r>
            <w:rPr>
              <w:rFonts w:hint="default"/>
              <w:lang w:val="en-US" w:eastAsia="zh-CN"/>
            </w:rPr>
            <w:t>第1章 概述</w:t>
          </w:r>
          <w:r>
            <w:tab/>
          </w:r>
          <w:r>
            <w:fldChar w:fldCharType="begin"/>
          </w:r>
          <w:r>
            <w:instrText xml:space="preserve"> PAGEREF _Toc32093 \h </w:instrText>
          </w:r>
          <w:r>
            <w:fldChar w:fldCharType="separate"/>
          </w:r>
          <w:r>
            <w:t>1</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_Toc13189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1.1 规划</w:t>
          </w:r>
          <w:r>
            <w:rPr>
              <w:rFonts w:hint="default"/>
              <w:lang w:val="en-US" w:eastAsia="zh-CN"/>
            </w:rPr>
            <w:t>背景</w:t>
          </w:r>
          <w:r>
            <w:tab/>
          </w:r>
          <w:r>
            <w:fldChar w:fldCharType="begin"/>
          </w:r>
          <w:r>
            <w:instrText xml:space="preserve"> PAGEREF _Toc13189 \h </w:instrText>
          </w:r>
          <w:r>
            <w:fldChar w:fldCharType="separate"/>
          </w:r>
          <w:r>
            <w:t>1</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_Toc23651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1.2 编制依据</w:t>
          </w:r>
          <w:r>
            <w:tab/>
          </w:r>
          <w:r>
            <w:fldChar w:fldCharType="begin"/>
          </w:r>
          <w:r>
            <w:instrText xml:space="preserve"> PAGEREF _Toc23651 \h </w:instrText>
          </w:r>
          <w:r>
            <w:fldChar w:fldCharType="separate"/>
          </w:r>
          <w:r>
            <w:t>3</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_Toc32502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1.3 规划内容与期限</w:t>
          </w:r>
          <w:r>
            <w:tab/>
          </w:r>
          <w:r>
            <w:fldChar w:fldCharType="begin"/>
          </w:r>
          <w:r>
            <w:instrText xml:space="preserve"> PAGEREF _Toc32502 \h </w:instrText>
          </w:r>
          <w:r>
            <w:fldChar w:fldCharType="separate"/>
          </w:r>
          <w:r>
            <w:t>3</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_Toc548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1.4 技术路线</w:t>
          </w:r>
          <w:r>
            <w:tab/>
          </w:r>
          <w:r>
            <w:fldChar w:fldCharType="begin"/>
          </w:r>
          <w:r>
            <w:instrText xml:space="preserve"> PAGEREF _Toc548 \h </w:instrText>
          </w:r>
          <w:r>
            <w:fldChar w:fldCharType="separate"/>
          </w:r>
          <w:r>
            <w:t>3</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_Toc21304 </w:instrText>
          </w:r>
          <w:r>
            <w:rPr>
              <w:rFonts w:hint="default" w:ascii="Times New Roman" w:hAnsi="Times New Roman" w:eastAsia="方正小标宋_GBK" w:cs="Times New Roman"/>
              <w:kern w:val="2"/>
              <w:szCs w:val="22"/>
              <w:lang w:val="en-US" w:eastAsia="zh-CN" w:bidi="ar-SA"/>
            </w:rPr>
            <w:fldChar w:fldCharType="separate"/>
          </w:r>
          <w:r>
            <w:rPr>
              <w:rFonts w:hint="default"/>
              <w:lang w:val="en-US" w:eastAsia="zh-CN"/>
            </w:rPr>
            <w:t>第2章 发展基础</w:t>
          </w:r>
          <w:r>
            <w:tab/>
          </w:r>
          <w:r>
            <w:fldChar w:fldCharType="begin"/>
          </w:r>
          <w:r>
            <w:instrText xml:space="preserve"> PAGEREF _Toc21304 \h </w:instrText>
          </w:r>
          <w:r>
            <w:fldChar w:fldCharType="separate"/>
          </w:r>
          <w:r>
            <w:t>5</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_Toc8086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2.1 城市总体</w:t>
          </w:r>
          <w:r>
            <w:rPr>
              <w:rFonts w:hint="default"/>
              <w:lang w:val="en-US" w:eastAsia="zh-CN"/>
            </w:rPr>
            <w:t>发展情况</w:t>
          </w:r>
          <w:r>
            <w:tab/>
          </w:r>
          <w:r>
            <w:fldChar w:fldCharType="begin"/>
          </w:r>
          <w:r>
            <w:instrText xml:space="preserve"> PAGEREF _Toc8086 \h </w:instrText>
          </w:r>
          <w:r>
            <w:fldChar w:fldCharType="separate"/>
          </w:r>
          <w:r>
            <w:t>5</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_Toc8997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2.2 交通基础设施发展情况</w:t>
          </w:r>
          <w:r>
            <w:tab/>
          </w:r>
          <w:r>
            <w:fldChar w:fldCharType="begin"/>
          </w:r>
          <w:r>
            <w:instrText xml:space="preserve"> PAGEREF _Toc8997 \h </w:instrText>
          </w:r>
          <w:r>
            <w:fldChar w:fldCharType="separate"/>
          </w:r>
          <w:r>
            <w:t>9</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_Toc3632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2.3 物流市场发展情况</w:t>
          </w:r>
          <w:r>
            <w:tab/>
          </w:r>
          <w:r>
            <w:fldChar w:fldCharType="begin"/>
          </w:r>
          <w:r>
            <w:instrText xml:space="preserve"> PAGEREF _Toc3632 \h </w:instrText>
          </w:r>
          <w:r>
            <w:fldChar w:fldCharType="separate"/>
          </w:r>
          <w:r>
            <w:t>14</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_Toc7384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第3章 需求现状及预测</w:t>
          </w:r>
          <w:r>
            <w:tab/>
          </w:r>
          <w:r>
            <w:fldChar w:fldCharType="begin"/>
          </w:r>
          <w:r>
            <w:instrText xml:space="preserve"> PAGEREF _Toc7384 \h </w:instrText>
          </w:r>
          <w:r>
            <w:fldChar w:fldCharType="separate"/>
          </w:r>
          <w:r>
            <w:t>18</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_Toc11957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3.1 </w:t>
          </w:r>
          <w:r>
            <w:rPr>
              <w:rFonts w:hint="default" w:ascii="Times New Roman" w:hAnsi="Times New Roman" w:cs="Times New Roman"/>
              <w:lang w:val="en-US" w:eastAsia="zh-CN"/>
            </w:rPr>
            <w:t>公路货运现状分析</w:t>
          </w:r>
          <w:r>
            <w:tab/>
          </w:r>
          <w:r>
            <w:fldChar w:fldCharType="begin"/>
          </w:r>
          <w:r>
            <w:instrText xml:space="preserve"> PAGEREF _Toc11957 \h </w:instrText>
          </w:r>
          <w:r>
            <w:fldChar w:fldCharType="separate"/>
          </w:r>
          <w:r>
            <w:t>18</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_Toc30739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3.2 </w:t>
          </w:r>
          <w:r>
            <w:rPr>
              <w:rFonts w:hint="eastAsia" w:cs="Times New Roman"/>
              <w:lang w:val="en-US" w:eastAsia="zh-CN"/>
            </w:rPr>
            <w:t>铁路货运现状分析</w:t>
          </w:r>
          <w:r>
            <w:tab/>
          </w:r>
          <w:r>
            <w:fldChar w:fldCharType="begin"/>
          </w:r>
          <w:r>
            <w:instrText xml:space="preserve"> PAGEREF _Toc30739 \h </w:instrText>
          </w:r>
          <w:r>
            <w:fldChar w:fldCharType="separate"/>
          </w:r>
          <w:r>
            <w:t>21</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_Toc13769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3.3 水路货运现状分析</w:t>
          </w:r>
          <w:r>
            <w:tab/>
          </w:r>
          <w:r>
            <w:fldChar w:fldCharType="begin"/>
          </w:r>
          <w:r>
            <w:instrText xml:space="preserve"> PAGEREF _Toc13769 \h </w:instrText>
          </w:r>
          <w:r>
            <w:fldChar w:fldCharType="separate"/>
          </w:r>
          <w:r>
            <w:t>22</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_Toc11051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3.4 </w:t>
          </w:r>
          <w:r>
            <w:rPr>
              <w:rFonts w:hint="default" w:ascii="Times New Roman" w:hAnsi="Times New Roman" w:cs="Times New Roman"/>
              <w:lang w:val="en-US" w:eastAsia="zh-CN"/>
            </w:rPr>
            <w:t>重点产业</w:t>
          </w:r>
          <w:r>
            <w:rPr>
              <w:rFonts w:hint="eastAsia" w:ascii="Times New Roman" w:hAnsi="Times New Roman" w:cs="Times New Roman"/>
              <w:lang w:val="en-US" w:eastAsia="zh-CN"/>
            </w:rPr>
            <w:t>物流需求</w:t>
          </w:r>
          <w:r>
            <w:rPr>
              <w:rFonts w:hint="default" w:ascii="Times New Roman" w:hAnsi="Times New Roman" w:cs="Times New Roman"/>
              <w:lang w:val="en-US" w:eastAsia="zh-CN"/>
            </w:rPr>
            <w:t>现状</w:t>
          </w:r>
          <w:r>
            <w:tab/>
          </w:r>
          <w:r>
            <w:fldChar w:fldCharType="begin"/>
          </w:r>
          <w:r>
            <w:instrText xml:space="preserve"> PAGEREF _Toc11051 \h </w:instrText>
          </w:r>
          <w:r>
            <w:fldChar w:fldCharType="separate"/>
          </w:r>
          <w:r>
            <w:t>23</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_Toc2981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3.5 </w:t>
          </w:r>
          <w:r>
            <w:rPr>
              <w:rFonts w:hint="default" w:ascii="Times New Roman" w:hAnsi="Times New Roman" w:cs="Times New Roman"/>
              <w:lang w:val="en-US" w:eastAsia="zh-CN"/>
            </w:rPr>
            <w:t>腹地产业发展趋势</w:t>
          </w:r>
          <w:r>
            <w:tab/>
          </w:r>
          <w:r>
            <w:fldChar w:fldCharType="begin"/>
          </w:r>
          <w:r>
            <w:instrText xml:space="preserve"> PAGEREF _Toc2981 \h </w:instrText>
          </w:r>
          <w:r>
            <w:fldChar w:fldCharType="separate"/>
          </w:r>
          <w:r>
            <w:t>27</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_Toc967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3.6 </w:t>
          </w:r>
          <w:r>
            <w:rPr>
              <w:rFonts w:hint="default" w:ascii="Times New Roman" w:hAnsi="Times New Roman" w:cs="Times New Roman"/>
              <w:lang w:val="en-US" w:eastAsia="zh-CN"/>
            </w:rPr>
            <w:t>物流需求预测</w:t>
          </w:r>
          <w:r>
            <w:tab/>
          </w:r>
          <w:r>
            <w:fldChar w:fldCharType="begin"/>
          </w:r>
          <w:r>
            <w:instrText xml:space="preserve"> PAGEREF _Toc967 \h </w:instrText>
          </w:r>
          <w:r>
            <w:fldChar w:fldCharType="separate"/>
          </w:r>
          <w:r>
            <w:t>29</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_Toc9854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第4章 经验借鉴</w:t>
          </w:r>
          <w:r>
            <w:tab/>
          </w:r>
          <w:r>
            <w:fldChar w:fldCharType="begin"/>
          </w:r>
          <w:r>
            <w:instrText xml:space="preserve"> PAGEREF _Toc9854 \h </w:instrText>
          </w:r>
          <w:r>
            <w:fldChar w:fldCharType="separate"/>
          </w:r>
          <w:r>
            <w:t>32</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_Toc1939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4.1 开发模式</w:t>
          </w:r>
          <w:r>
            <w:tab/>
          </w:r>
          <w:r>
            <w:fldChar w:fldCharType="begin"/>
          </w:r>
          <w:r>
            <w:instrText xml:space="preserve"> PAGEREF _Toc1939 \h </w:instrText>
          </w:r>
          <w:r>
            <w:fldChar w:fldCharType="separate"/>
          </w:r>
          <w:r>
            <w:t>32</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_Toc13447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4.2 枢纽案例</w:t>
          </w:r>
          <w:r>
            <w:tab/>
          </w:r>
          <w:r>
            <w:fldChar w:fldCharType="begin"/>
          </w:r>
          <w:r>
            <w:instrText xml:space="preserve"> PAGEREF _Toc13447 \h </w:instrText>
          </w:r>
          <w:r>
            <w:fldChar w:fldCharType="separate"/>
          </w:r>
          <w:r>
            <w:t>33</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_Toc12731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4.3 经验总结</w:t>
          </w:r>
          <w:r>
            <w:tab/>
          </w:r>
          <w:r>
            <w:fldChar w:fldCharType="begin"/>
          </w:r>
          <w:r>
            <w:instrText xml:space="preserve"> PAGEREF _Toc12731 \h </w:instrText>
          </w:r>
          <w:r>
            <w:fldChar w:fldCharType="separate"/>
          </w:r>
          <w:r>
            <w:t>44</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_Toc3679 </w:instrText>
          </w:r>
          <w:r>
            <w:rPr>
              <w:rFonts w:hint="default" w:ascii="Times New Roman" w:hAnsi="Times New Roman" w:eastAsia="方正小标宋_GBK" w:cs="Times New Roman"/>
              <w:kern w:val="2"/>
              <w:szCs w:val="22"/>
              <w:lang w:val="en-US" w:eastAsia="zh-CN" w:bidi="ar-SA"/>
            </w:rPr>
            <w:fldChar w:fldCharType="separate"/>
          </w:r>
          <w:r>
            <w:rPr>
              <w:rFonts w:hint="default" w:ascii="Times New Roman" w:hAnsi="Times New Roman" w:cs="Times New Roman"/>
              <w:lang w:val="en-US" w:eastAsia="zh-CN"/>
            </w:rPr>
            <w:t>第5章 发展定位与目标</w:t>
          </w:r>
          <w:r>
            <w:tab/>
          </w:r>
          <w:r>
            <w:fldChar w:fldCharType="begin"/>
          </w:r>
          <w:r>
            <w:instrText xml:space="preserve"> PAGEREF _Toc3679 \h </w:instrText>
          </w:r>
          <w:r>
            <w:fldChar w:fldCharType="separate"/>
          </w:r>
          <w:r>
            <w:t>46</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_Toc14729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5.1 </w:t>
          </w:r>
          <w:r>
            <w:rPr>
              <w:rFonts w:hint="default" w:ascii="Times New Roman" w:hAnsi="Times New Roman" w:cs="Times New Roman"/>
              <w:lang w:val="en-US" w:eastAsia="zh-CN"/>
            </w:rPr>
            <w:t>战略定位</w:t>
          </w:r>
          <w:r>
            <w:tab/>
          </w:r>
          <w:r>
            <w:fldChar w:fldCharType="begin"/>
          </w:r>
          <w:r>
            <w:instrText xml:space="preserve"> PAGEREF _Toc14729 \h </w:instrText>
          </w:r>
          <w:r>
            <w:fldChar w:fldCharType="separate"/>
          </w:r>
          <w:r>
            <w:t>46</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_Toc12231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5.2 </w:t>
          </w:r>
          <w:r>
            <w:rPr>
              <w:rFonts w:hint="default" w:ascii="Times New Roman" w:hAnsi="Times New Roman" w:cs="Times New Roman"/>
              <w:lang w:val="en-US" w:eastAsia="zh-CN"/>
            </w:rPr>
            <w:t>发展策略</w:t>
          </w:r>
          <w:r>
            <w:tab/>
          </w:r>
          <w:r>
            <w:fldChar w:fldCharType="begin"/>
          </w:r>
          <w:r>
            <w:instrText xml:space="preserve"> PAGEREF _Toc12231 \h </w:instrText>
          </w:r>
          <w:r>
            <w:fldChar w:fldCharType="separate"/>
          </w:r>
          <w:r>
            <w:t>46</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_Toc25292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5.3 </w:t>
          </w:r>
          <w:r>
            <w:rPr>
              <w:rFonts w:hint="default" w:ascii="Times New Roman" w:hAnsi="Times New Roman" w:cs="Times New Roman"/>
              <w:lang w:val="en-US" w:eastAsia="zh-CN"/>
            </w:rPr>
            <w:t>发展目标</w:t>
          </w:r>
          <w:r>
            <w:tab/>
          </w:r>
          <w:r>
            <w:fldChar w:fldCharType="begin"/>
          </w:r>
          <w:r>
            <w:instrText xml:space="preserve"> PAGEREF _Toc25292 \h </w:instrText>
          </w:r>
          <w:r>
            <w:fldChar w:fldCharType="separate"/>
          </w:r>
          <w:r>
            <w:t>49</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_Toc20908 </w:instrText>
          </w:r>
          <w:r>
            <w:rPr>
              <w:rFonts w:hint="default" w:ascii="Times New Roman" w:hAnsi="Times New Roman" w:eastAsia="方正小标宋_GBK" w:cs="Times New Roman"/>
              <w:kern w:val="2"/>
              <w:szCs w:val="22"/>
              <w:lang w:val="en-US" w:eastAsia="zh-CN" w:bidi="ar-SA"/>
            </w:rPr>
            <w:fldChar w:fldCharType="separate"/>
          </w:r>
          <w:r>
            <w:rPr>
              <w:rFonts w:hint="default" w:ascii="Times New Roman" w:hAnsi="Times New Roman" w:cs="Times New Roman"/>
              <w:lang w:val="en-US" w:eastAsia="zh-CN"/>
            </w:rPr>
            <w:t>第6章 选址及空间布局</w:t>
          </w:r>
          <w:r>
            <w:tab/>
          </w:r>
          <w:r>
            <w:fldChar w:fldCharType="begin"/>
          </w:r>
          <w:r>
            <w:instrText xml:space="preserve"> PAGEREF _Toc20908 \h </w:instrText>
          </w:r>
          <w:r>
            <w:fldChar w:fldCharType="separate"/>
          </w:r>
          <w:r>
            <w:t>50</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_Toc20915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6.1 布局条件</w:t>
          </w:r>
          <w:r>
            <w:tab/>
          </w:r>
          <w:r>
            <w:fldChar w:fldCharType="begin"/>
          </w:r>
          <w:r>
            <w:instrText xml:space="preserve"> PAGEREF _Toc20915 \h </w:instrText>
          </w:r>
          <w:r>
            <w:fldChar w:fldCharType="separate"/>
          </w:r>
          <w:r>
            <w:t>50</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_Toc32350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6.2 </w:t>
          </w:r>
          <w:r>
            <w:rPr>
              <w:rFonts w:hint="default" w:ascii="Times New Roman" w:hAnsi="Times New Roman" w:cs="Times New Roman"/>
              <w:lang w:val="en-US" w:eastAsia="zh-CN"/>
            </w:rPr>
            <w:t>选址方案</w:t>
          </w:r>
          <w:r>
            <w:tab/>
          </w:r>
          <w:r>
            <w:fldChar w:fldCharType="begin"/>
          </w:r>
          <w:r>
            <w:instrText xml:space="preserve"> PAGEREF _Toc32350 \h </w:instrText>
          </w:r>
          <w:r>
            <w:fldChar w:fldCharType="separate"/>
          </w:r>
          <w:r>
            <w:t>53</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_Toc31241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6.3 </w:t>
          </w:r>
          <w:r>
            <w:rPr>
              <w:rFonts w:hint="default" w:ascii="Times New Roman" w:hAnsi="Times New Roman" w:cs="Times New Roman"/>
              <w:lang w:val="en-US" w:eastAsia="zh-CN"/>
            </w:rPr>
            <w:t>功能布局</w:t>
          </w:r>
          <w:r>
            <w:tab/>
          </w:r>
          <w:r>
            <w:fldChar w:fldCharType="begin"/>
          </w:r>
          <w:r>
            <w:instrText xml:space="preserve"> PAGEREF _Toc31241 \h </w:instrText>
          </w:r>
          <w:r>
            <w:fldChar w:fldCharType="separate"/>
          </w:r>
          <w:r>
            <w:t>54</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_Toc30629 </w:instrText>
          </w:r>
          <w:r>
            <w:rPr>
              <w:rFonts w:hint="default" w:ascii="Times New Roman" w:hAnsi="Times New Roman" w:eastAsia="方正小标宋_GBK" w:cs="Times New Roman"/>
              <w:kern w:val="2"/>
              <w:szCs w:val="22"/>
              <w:lang w:val="en-US" w:eastAsia="zh-CN" w:bidi="ar-SA"/>
            </w:rPr>
            <w:fldChar w:fldCharType="separate"/>
          </w:r>
          <w:r>
            <w:rPr>
              <w:rFonts w:hint="default" w:ascii="Times New Roman" w:hAnsi="Times New Roman" w:cs="Times New Roman"/>
              <w:lang w:val="en-US" w:eastAsia="zh-CN"/>
            </w:rPr>
            <w:t>第7章 交通运输组织</w:t>
          </w:r>
          <w:r>
            <w:tab/>
          </w:r>
          <w:r>
            <w:fldChar w:fldCharType="begin"/>
          </w:r>
          <w:r>
            <w:instrText xml:space="preserve"> PAGEREF _Toc30629 \h </w:instrText>
          </w:r>
          <w:r>
            <w:fldChar w:fldCharType="separate"/>
          </w:r>
          <w:r>
            <w:t>60</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_Toc24370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7.1 </w:t>
          </w:r>
          <w:r>
            <w:rPr>
              <w:rFonts w:hint="default" w:ascii="Times New Roman" w:hAnsi="Times New Roman" w:cs="Times New Roman"/>
              <w:lang w:val="en-US" w:eastAsia="zh-CN"/>
            </w:rPr>
            <w:t>交通组织</w:t>
          </w:r>
          <w:r>
            <w:tab/>
          </w:r>
          <w:r>
            <w:fldChar w:fldCharType="begin"/>
          </w:r>
          <w:r>
            <w:instrText xml:space="preserve"> PAGEREF _Toc24370 \h </w:instrText>
          </w:r>
          <w:r>
            <w:fldChar w:fldCharType="separate"/>
          </w:r>
          <w:r>
            <w:t>60</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_Toc15311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7.2 </w:t>
          </w:r>
          <w:r>
            <w:rPr>
              <w:rFonts w:hint="default" w:ascii="Times New Roman" w:hAnsi="Times New Roman" w:cs="Times New Roman"/>
              <w:lang w:val="en-US" w:eastAsia="zh-CN"/>
            </w:rPr>
            <w:t>运输组织</w:t>
          </w:r>
          <w:r>
            <w:tab/>
          </w:r>
          <w:r>
            <w:fldChar w:fldCharType="begin"/>
          </w:r>
          <w:r>
            <w:instrText xml:space="preserve"> PAGEREF _Toc15311 \h </w:instrText>
          </w:r>
          <w:r>
            <w:fldChar w:fldCharType="separate"/>
          </w:r>
          <w:r>
            <w:t>64</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_Toc3833 </w:instrText>
          </w:r>
          <w:r>
            <w:rPr>
              <w:rFonts w:hint="default" w:ascii="Times New Roman" w:hAnsi="Times New Roman" w:eastAsia="方正小标宋_GBK" w:cs="Times New Roman"/>
              <w:kern w:val="2"/>
              <w:szCs w:val="22"/>
              <w:lang w:val="en-US" w:eastAsia="zh-CN" w:bidi="ar-SA"/>
            </w:rPr>
            <w:fldChar w:fldCharType="separate"/>
          </w:r>
          <w:r>
            <w:rPr>
              <w:rFonts w:hint="default" w:ascii="Times New Roman" w:hAnsi="Times New Roman" w:cs="Times New Roman"/>
              <w:lang w:val="en-US" w:eastAsia="zh-CN"/>
            </w:rPr>
            <w:t>第8章 开发运营模式</w:t>
          </w:r>
          <w:r>
            <w:tab/>
          </w:r>
          <w:r>
            <w:fldChar w:fldCharType="begin"/>
          </w:r>
          <w:r>
            <w:instrText xml:space="preserve"> PAGEREF _Toc3833 \h </w:instrText>
          </w:r>
          <w:r>
            <w:fldChar w:fldCharType="separate"/>
          </w:r>
          <w:r>
            <w:t>72</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_Toc22020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8.1 </w:t>
          </w:r>
          <w:r>
            <w:rPr>
              <w:rFonts w:hint="default" w:ascii="Times New Roman" w:hAnsi="Times New Roman" w:cs="Times New Roman"/>
              <w:lang w:val="en-US" w:eastAsia="zh-CN"/>
            </w:rPr>
            <w:t>开发模式</w:t>
          </w:r>
          <w:r>
            <w:tab/>
          </w:r>
          <w:r>
            <w:fldChar w:fldCharType="begin"/>
          </w:r>
          <w:r>
            <w:instrText xml:space="preserve"> PAGEREF _Toc22020 \h </w:instrText>
          </w:r>
          <w:r>
            <w:fldChar w:fldCharType="separate"/>
          </w:r>
          <w:r>
            <w:t>72</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_Toc20779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8.2 </w:t>
          </w:r>
          <w:r>
            <w:rPr>
              <w:rFonts w:hint="default" w:ascii="Times New Roman" w:hAnsi="Times New Roman" w:cs="Times New Roman"/>
              <w:lang w:val="en-US" w:eastAsia="zh-CN"/>
            </w:rPr>
            <w:t>运营模式</w:t>
          </w:r>
          <w:r>
            <w:tab/>
          </w:r>
          <w:r>
            <w:fldChar w:fldCharType="begin"/>
          </w:r>
          <w:r>
            <w:instrText xml:space="preserve"> PAGEREF _Toc20779 \h </w:instrText>
          </w:r>
          <w:r>
            <w:fldChar w:fldCharType="separate"/>
          </w:r>
          <w:r>
            <w:t>72</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_Toc25871 </w:instrText>
          </w:r>
          <w:r>
            <w:rPr>
              <w:rFonts w:hint="default" w:ascii="Times New Roman" w:hAnsi="Times New Roman" w:eastAsia="方正小标宋_GBK" w:cs="Times New Roman"/>
              <w:kern w:val="2"/>
              <w:szCs w:val="22"/>
              <w:lang w:val="en-US" w:eastAsia="zh-CN" w:bidi="ar-SA"/>
            </w:rPr>
            <w:fldChar w:fldCharType="separate"/>
          </w:r>
          <w:r>
            <w:rPr>
              <w:rFonts w:hint="default" w:ascii="Times New Roman" w:hAnsi="Times New Roman" w:cs="Times New Roman"/>
              <w:lang w:val="en-US" w:eastAsia="zh-CN"/>
            </w:rPr>
            <w:t>第9章 建设计划</w:t>
          </w:r>
          <w:r>
            <w:tab/>
          </w:r>
          <w:r>
            <w:fldChar w:fldCharType="begin"/>
          </w:r>
          <w:r>
            <w:instrText xml:space="preserve"> PAGEREF _Toc25871 \h </w:instrText>
          </w:r>
          <w:r>
            <w:fldChar w:fldCharType="separate"/>
          </w:r>
          <w:r>
            <w:t>74</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_Toc30409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 xml:space="preserve">9.1 </w:t>
          </w:r>
          <w:r>
            <w:rPr>
              <w:rFonts w:hint="default"/>
              <w:lang w:val="en-US" w:eastAsia="zh-CN"/>
            </w:rPr>
            <w:t>近期建设计划</w:t>
          </w:r>
          <w:r>
            <w:tab/>
          </w:r>
          <w:r>
            <w:fldChar w:fldCharType="begin"/>
          </w:r>
          <w:r>
            <w:instrText xml:space="preserve"> PAGEREF _Toc30409 \h </w:instrText>
          </w:r>
          <w:r>
            <w:fldChar w:fldCharType="separate"/>
          </w:r>
          <w:r>
            <w:t>74</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_Toc280 </w:instrText>
          </w:r>
          <w:r>
            <w:rPr>
              <w:rFonts w:hint="default" w:ascii="Times New Roman" w:hAnsi="Times New Roman" w:eastAsia="方正小标宋_GBK" w:cs="Times New Roman"/>
              <w:kern w:val="2"/>
              <w:szCs w:val="22"/>
              <w:lang w:val="en-US" w:eastAsia="zh-CN" w:bidi="ar-SA"/>
            </w:rPr>
            <w:fldChar w:fldCharType="separate"/>
          </w:r>
          <w:r>
            <w:rPr>
              <w:rFonts w:hint="eastAsia" w:ascii="Times New Roman" w:hAnsi="Times New Roman" w:cs="Times New Roman"/>
              <w:lang w:val="en-US" w:eastAsia="zh-CN"/>
            </w:rPr>
            <w:t xml:space="preserve">9.2 </w:t>
          </w:r>
          <w:r>
            <w:rPr>
              <w:rFonts w:hint="default" w:ascii="Times New Roman" w:hAnsi="Times New Roman" w:cs="Times New Roman"/>
              <w:lang w:val="en-US" w:eastAsia="zh-CN"/>
            </w:rPr>
            <w:t>远期建设计划</w:t>
          </w:r>
          <w:r>
            <w:tab/>
          </w:r>
          <w:r>
            <w:fldChar w:fldCharType="begin"/>
          </w:r>
          <w:r>
            <w:instrText xml:space="preserve"> PAGEREF _Toc280 \h </w:instrText>
          </w:r>
          <w:r>
            <w:fldChar w:fldCharType="separate"/>
          </w:r>
          <w:r>
            <w:t>78</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_Toc27812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9.3 周边配套建设</w:t>
          </w:r>
          <w:r>
            <w:tab/>
          </w:r>
          <w:r>
            <w:fldChar w:fldCharType="begin"/>
          </w:r>
          <w:r>
            <w:instrText xml:space="preserve"> PAGEREF _Toc27812 \h </w:instrText>
          </w:r>
          <w:r>
            <w:fldChar w:fldCharType="separate"/>
          </w:r>
          <w:r>
            <w:t>82</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_Toc28615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9.4 经济效益分析</w:t>
          </w:r>
          <w:r>
            <w:tab/>
          </w:r>
          <w:r>
            <w:fldChar w:fldCharType="begin"/>
          </w:r>
          <w:r>
            <w:instrText xml:space="preserve"> PAGEREF _Toc28615 \h </w:instrText>
          </w:r>
          <w:r>
            <w:fldChar w:fldCharType="separate"/>
          </w:r>
          <w:r>
            <w:t>84</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_Toc21990 </w:instrText>
          </w:r>
          <w:r>
            <w:rPr>
              <w:rFonts w:hint="default" w:ascii="Times New Roman" w:hAnsi="Times New Roman" w:eastAsia="方正小标宋_GBK" w:cs="Times New Roman"/>
              <w:kern w:val="2"/>
              <w:szCs w:val="22"/>
              <w:lang w:val="en-US" w:eastAsia="zh-CN" w:bidi="ar-SA"/>
            </w:rPr>
            <w:fldChar w:fldCharType="separate"/>
          </w:r>
          <w:r>
            <w:t xml:space="preserve">第10章 </w:t>
          </w:r>
          <w:r>
            <w:rPr>
              <w:rFonts w:hint="eastAsia"/>
            </w:rPr>
            <w:t>环境影响评价</w:t>
          </w:r>
          <w:r>
            <w:tab/>
          </w:r>
          <w:r>
            <w:fldChar w:fldCharType="begin"/>
          </w:r>
          <w:r>
            <w:instrText xml:space="preserve"> PAGEREF _Toc21990 \h </w:instrText>
          </w:r>
          <w:r>
            <w:fldChar w:fldCharType="separate"/>
          </w:r>
          <w:r>
            <w:t>86</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_Toc25631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10.1 环境影响分析</w:t>
          </w:r>
          <w:r>
            <w:tab/>
          </w:r>
          <w:r>
            <w:fldChar w:fldCharType="begin"/>
          </w:r>
          <w:r>
            <w:instrText xml:space="preserve"> PAGEREF _Toc25631 \h </w:instrText>
          </w:r>
          <w:r>
            <w:fldChar w:fldCharType="separate"/>
          </w:r>
          <w:r>
            <w:t>86</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_Toc24297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10.2 环境影响对策</w:t>
          </w:r>
          <w:r>
            <w:tab/>
          </w:r>
          <w:r>
            <w:fldChar w:fldCharType="begin"/>
          </w:r>
          <w:r>
            <w:instrText xml:space="preserve"> PAGEREF _Toc24297 \h </w:instrText>
          </w:r>
          <w:r>
            <w:fldChar w:fldCharType="separate"/>
          </w:r>
          <w:r>
            <w:t>86</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_Toc12696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10.3 评价结论</w:t>
          </w:r>
          <w:r>
            <w:tab/>
          </w:r>
          <w:r>
            <w:fldChar w:fldCharType="begin"/>
          </w:r>
          <w:r>
            <w:instrText xml:space="preserve"> PAGEREF _Toc12696 \h </w:instrText>
          </w:r>
          <w:r>
            <w:fldChar w:fldCharType="separate"/>
          </w:r>
          <w:r>
            <w:t>87</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4"/>
            <w:tabs>
              <w:tab w:val="right" w:leader="dot" w:pos="9825"/>
            </w:tabs>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_Toc8704 </w:instrText>
          </w:r>
          <w:r>
            <w:rPr>
              <w:rFonts w:hint="default" w:ascii="Times New Roman" w:hAnsi="Times New Roman" w:eastAsia="方正小标宋_GBK" w:cs="Times New Roman"/>
              <w:kern w:val="2"/>
              <w:szCs w:val="22"/>
              <w:lang w:val="en-US" w:eastAsia="zh-CN" w:bidi="ar-SA"/>
            </w:rPr>
            <w:fldChar w:fldCharType="separate"/>
          </w:r>
          <w:r>
            <w:rPr>
              <w:rFonts w:hint="default" w:ascii="Times New Roman" w:hAnsi="Times New Roman" w:cs="Times New Roman"/>
              <w:lang w:val="en-US" w:eastAsia="zh-CN"/>
            </w:rPr>
            <w:t>第11章 保障措施</w:t>
          </w:r>
          <w:r>
            <w:tab/>
          </w:r>
          <w:r>
            <w:fldChar w:fldCharType="begin"/>
          </w:r>
          <w:r>
            <w:instrText xml:space="preserve"> PAGEREF _Toc8704 \h </w:instrText>
          </w:r>
          <w:r>
            <w:fldChar w:fldCharType="separate"/>
          </w:r>
          <w:r>
            <w:t>88</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_Toc9557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11.1 强化</w:t>
          </w:r>
          <w:r>
            <w:rPr>
              <w:rFonts w:hint="default"/>
              <w:lang w:val="en-US" w:eastAsia="zh-CN"/>
            </w:rPr>
            <w:t>组织领导</w:t>
          </w:r>
          <w:r>
            <w:tab/>
          </w:r>
          <w:r>
            <w:fldChar w:fldCharType="begin"/>
          </w:r>
          <w:r>
            <w:instrText xml:space="preserve"> PAGEREF _Toc9557 \h </w:instrText>
          </w:r>
          <w:r>
            <w:fldChar w:fldCharType="separate"/>
          </w:r>
          <w:r>
            <w:t>88</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_Toc27755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 xml:space="preserve">11.2 </w:t>
          </w:r>
          <w:r>
            <w:rPr>
              <w:rFonts w:hint="default"/>
              <w:lang w:val="en-US" w:eastAsia="zh-CN"/>
            </w:rPr>
            <w:t>强化政策支持</w:t>
          </w:r>
          <w:r>
            <w:tab/>
          </w:r>
          <w:r>
            <w:fldChar w:fldCharType="begin"/>
          </w:r>
          <w:r>
            <w:instrText xml:space="preserve"> PAGEREF _Toc27755 \h </w:instrText>
          </w:r>
          <w:r>
            <w:fldChar w:fldCharType="separate"/>
          </w:r>
          <w:r>
            <w:t>88</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_Toc4254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 xml:space="preserve">11.3 </w:t>
          </w:r>
          <w:r>
            <w:rPr>
              <w:rFonts w:hint="default"/>
              <w:lang w:val="en-US" w:eastAsia="zh-CN"/>
            </w:rPr>
            <w:t>强化项目支撑</w:t>
          </w:r>
          <w:r>
            <w:tab/>
          </w:r>
          <w:r>
            <w:fldChar w:fldCharType="begin"/>
          </w:r>
          <w:r>
            <w:instrText xml:space="preserve"> PAGEREF _Toc4254 \h </w:instrText>
          </w:r>
          <w:r>
            <w:fldChar w:fldCharType="separate"/>
          </w:r>
          <w:r>
            <w:t>88</w:t>
          </w:r>
          <w:r>
            <w:fldChar w:fldCharType="end"/>
          </w:r>
          <w:r>
            <w:rPr>
              <w:rFonts w:hint="default" w:ascii="Times New Roman" w:hAnsi="Times New Roman" w:eastAsia="方正小标宋_GBK" w:cs="Times New Roman"/>
              <w:color w:val="auto"/>
              <w:kern w:val="2"/>
              <w:szCs w:val="22"/>
              <w:lang w:val="en-US" w:eastAsia="zh-CN" w:bidi="ar-SA"/>
            </w:rPr>
            <w:fldChar w:fldCharType="end"/>
          </w:r>
        </w:p>
        <w:p>
          <w:pPr>
            <w:pStyle w:val="17"/>
            <w:rPr>
              <w:rFonts w:hint="default" w:ascii="Times New Roman" w:hAnsi="Times New Roman" w:eastAsia="黑体" w:cs="Times New Roman"/>
              <w:color w:val="auto"/>
              <w:kern w:val="2"/>
              <w:sz w:val="32"/>
              <w:szCs w:val="22"/>
              <w:lang w:val="en-US" w:eastAsia="zh-CN" w:bidi="ar-SA"/>
            </w:rPr>
          </w:pPr>
          <w:r>
            <w:rPr>
              <w:rFonts w:hint="default" w:ascii="Times New Roman" w:hAnsi="Times New Roman" w:eastAsia="方正小标宋_GBK" w:cs="Times New Roman"/>
              <w:color w:val="auto"/>
              <w:kern w:val="2"/>
              <w:szCs w:val="22"/>
              <w:lang w:val="en-US" w:eastAsia="zh-CN" w:bidi="ar-SA"/>
            </w:rPr>
            <w:fldChar w:fldCharType="begin"/>
          </w:r>
          <w:r>
            <w:rPr>
              <w:rFonts w:hint="default" w:ascii="Times New Roman" w:hAnsi="Times New Roman" w:eastAsia="方正小标宋_GBK" w:cs="Times New Roman"/>
              <w:kern w:val="2"/>
              <w:szCs w:val="22"/>
              <w:lang w:val="en-US" w:eastAsia="zh-CN" w:bidi="ar-SA"/>
            </w:rPr>
            <w:instrText xml:space="preserve"> HYPERLINK \l _Toc12690 </w:instrText>
          </w:r>
          <w:r>
            <w:rPr>
              <w:rFonts w:hint="default" w:ascii="Times New Roman" w:hAnsi="Times New Roman" w:eastAsia="方正小标宋_GBK" w:cs="Times New Roman"/>
              <w:kern w:val="2"/>
              <w:szCs w:val="22"/>
              <w:lang w:val="en-US" w:eastAsia="zh-CN" w:bidi="ar-SA"/>
            </w:rPr>
            <w:fldChar w:fldCharType="separate"/>
          </w:r>
          <w:r>
            <w:rPr>
              <w:rFonts w:hint="eastAsia"/>
              <w:lang w:val="en-US" w:eastAsia="zh-CN"/>
            </w:rPr>
            <w:t>11.4 强化安全生产</w:t>
          </w:r>
          <w:r>
            <w:tab/>
          </w:r>
          <w:r>
            <w:fldChar w:fldCharType="begin"/>
          </w:r>
          <w:r>
            <w:instrText xml:space="preserve"> PAGEREF _Toc12690 \h </w:instrText>
          </w:r>
          <w:r>
            <w:fldChar w:fldCharType="separate"/>
          </w:r>
          <w:r>
            <w:t>88</w:t>
          </w:r>
          <w:r>
            <w:fldChar w:fldCharType="end"/>
          </w:r>
          <w:r>
            <w:rPr>
              <w:rFonts w:hint="default" w:ascii="Times New Roman" w:hAnsi="Times New Roman" w:eastAsia="方正小标宋_GBK" w:cs="Times New Roman"/>
              <w:color w:val="auto"/>
              <w:kern w:val="2"/>
              <w:szCs w:val="22"/>
              <w:lang w:val="en-US" w:eastAsia="zh-CN" w:bidi="ar-SA"/>
            </w:rPr>
            <w:fldChar w:fldCharType="end"/>
          </w:r>
          <w:r>
            <w:rPr>
              <w:rFonts w:hint="default" w:ascii="Times New Roman" w:hAnsi="Times New Roman" w:eastAsia="方正小标宋_GBK" w:cs="Times New Roman"/>
              <w:color w:val="auto"/>
              <w:kern w:val="2"/>
              <w:szCs w:val="22"/>
              <w:lang w:val="en-US" w:eastAsia="zh-CN" w:bidi="ar-SA"/>
            </w:rPr>
            <w:fldChar w:fldCharType="end"/>
          </w:r>
        </w:p>
      </w:sdtContent>
    </w:sdt>
    <w:p>
      <w:pPr>
        <w:pStyle w:val="9"/>
        <w:jc w:val="left"/>
        <w:rPr>
          <w:rFonts w:hint="eastAsia" w:ascii="黑体" w:hAnsi="黑体" w:eastAsia="黑体" w:cs="黑体"/>
          <w:color w:val="auto"/>
          <w:lang w:val="en-US" w:eastAsia="zh-CN"/>
        </w:rPr>
      </w:pPr>
      <w:r>
        <w:rPr>
          <w:rFonts w:hint="eastAsia" w:ascii="黑体" w:hAnsi="黑体" w:eastAsia="黑体" w:cs="黑体"/>
          <w:color w:val="auto"/>
          <w:lang w:val="en-US" w:eastAsia="zh-CN"/>
        </w:rPr>
        <w:t>附图</w:t>
      </w:r>
    </w:p>
    <w:p>
      <w:pPr>
        <w:rPr>
          <w:rFonts w:hint="default"/>
          <w:color w:val="auto"/>
          <w:lang w:val="en-US" w:eastAsia="zh-CN"/>
        </w:rPr>
        <w:sectPr>
          <w:headerReference r:id="rId9" w:type="default"/>
          <w:footerReference r:id="rId10" w:type="default"/>
          <w:pgSz w:w="23811" w:h="16838" w:orient="landscape"/>
          <w:pgMar w:top="1800" w:right="1440" w:bottom="1800" w:left="1440" w:header="1077" w:footer="1020" w:gutter="0"/>
          <w:pgNumType w:fmt="upperRoman" w:start="1"/>
          <w:cols w:space="1280" w:num="2"/>
          <w:docGrid w:type="lines" w:linePitch="312" w:charSpace="0"/>
        </w:sectPr>
      </w:pPr>
    </w:p>
    <w:bookmarkEnd w:id="0"/>
    <w:bookmarkEnd w:id="1"/>
    <w:p>
      <w:pPr>
        <w:pStyle w:val="3"/>
        <w:bidi w:val="0"/>
        <w:rPr>
          <w:rFonts w:hint="default"/>
          <w:color w:val="auto"/>
          <w:lang w:val="en-US" w:eastAsia="zh-CN"/>
        </w:rPr>
      </w:pPr>
      <w:bookmarkStart w:id="2" w:name="_Toc25810"/>
      <w:bookmarkStart w:id="3" w:name="_Toc32097"/>
      <w:bookmarkStart w:id="4" w:name="_Toc21572"/>
      <w:bookmarkStart w:id="5" w:name="_Toc23826"/>
      <w:bookmarkStart w:id="6" w:name="_Toc32093"/>
      <w:bookmarkStart w:id="7" w:name="_Toc7564"/>
      <w:bookmarkStart w:id="8" w:name="_Toc19439"/>
      <w:bookmarkStart w:id="9" w:name="_Toc16402"/>
      <w:bookmarkStart w:id="10" w:name="_Toc20982"/>
      <w:bookmarkStart w:id="11" w:name="_Toc11945"/>
      <w:bookmarkStart w:id="12" w:name="_Toc5230"/>
      <w:bookmarkStart w:id="13" w:name="_Toc11087"/>
      <w:r>
        <w:rPr>
          <w:rFonts w:hint="default"/>
          <w:color w:val="auto"/>
          <w:lang w:val="en-US" w:eastAsia="zh-CN"/>
        </w:rPr>
        <w:t>概述</w:t>
      </w:r>
      <w:bookmarkEnd w:id="2"/>
      <w:bookmarkEnd w:id="3"/>
      <w:bookmarkEnd w:id="4"/>
      <w:bookmarkEnd w:id="5"/>
      <w:bookmarkEnd w:id="6"/>
      <w:bookmarkEnd w:id="7"/>
      <w:bookmarkEnd w:id="8"/>
    </w:p>
    <w:p>
      <w:pPr>
        <w:pStyle w:val="4"/>
        <w:bidi w:val="0"/>
        <w:rPr>
          <w:rFonts w:hint="default"/>
          <w:lang w:val="en-US" w:eastAsia="zh-CN"/>
        </w:rPr>
      </w:pPr>
      <w:bookmarkStart w:id="14" w:name="_Toc22801"/>
      <w:bookmarkStart w:id="15" w:name="_Toc14903"/>
      <w:bookmarkStart w:id="16" w:name="_Toc142983503"/>
      <w:bookmarkStart w:id="17" w:name="_Toc13189"/>
      <w:bookmarkStart w:id="18" w:name="_Toc28756"/>
      <w:bookmarkStart w:id="19" w:name="_Toc22750"/>
      <w:bookmarkStart w:id="20" w:name="_Toc13167"/>
      <w:bookmarkStart w:id="21" w:name="_Toc18736"/>
      <w:bookmarkStart w:id="22" w:name="_Toc7948"/>
      <w:r>
        <w:rPr>
          <w:rFonts w:hint="eastAsia"/>
          <w:lang w:val="en-US" w:eastAsia="zh-CN"/>
        </w:rPr>
        <w:t>规划</w:t>
      </w:r>
      <w:r>
        <w:rPr>
          <w:rFonts w:hint="default"/>
          <w:lang w:val="en-US" w:eastAsia="zh-CN"/>
        </w:rPr>
        <w:t>背景</w:t>
      </w:r>
      <w:bookmarkEnd w:id="14"/>
      <w:bookmarkEnd w:id="15"/>
      <w:bookmarkEnd w:id="16"/>
      <w:bookmarkEnd w:id="17"/>
      <w:bookmarkEnd w:id="18"/>
      <w:bookmarkEnd w:id="19"/>
      <w:bookmarkEnd w:id="20"/>
      <w:bookmarkEnd w:id="21"/>
      <w:bookmarkEnd w:id="22"/>
    </w:p>
    <w:p>
      <w:pPr>
        <w:bidi w:val="0"/>
        <w:rPr>
          <w:rFonts w:hint="eastAsia" w:ascii="Times New Roman" w:hAnsi="Times New Roman" w:cs="Times New Roman"/>
          <w:color w:val="auto"/>
          <w:kern w:val="3"/>
          <w:sz w:val="32"/>
          <w:rtl w:val="0"/>
          <w:lang w:val="en-US" w:eastAsia="zh-CN"/>
        </w:rPr>
      </w:pPr>
      <w:r>
        <w:rPr>
          <w:rFonts w:hint="eastAsia" w:ascii="仿宋_GB2312" w:hAnsi="仿宋_GB2312" w:eastAsia="仿宋_GB2312" w:cs="仿宋_GB2312"/>
          <w:b w:val="0"/>
          <w:bCs w:val="0"/>
          <w:color w:val="auto"/>
          <w:kern w:val="3"/>
          <w:sz w:val="32"/>
          <w:rtl w:val="0"/>
          <w:lang w:val="en-US" w:eastAsia="zh-CN"/>
        </w:rPr>
        <w:t>1.支撑国省重大战略落实需要乐山全面提升物流服务保障能力。推动长江经济带高质量发展和成渝地区双城经济圈建设是以习近平同</w:t>
      </w:r>
      <w:r>
        <w:rPr>
          <w:rFonts w:hint="default" w:ascii="Times New Roman" w:hAnsi="Times New Roman" w:cs="Times New Roman"/>
          <w:color w:val="auto"/>
          <w:kern w:val="3"/>
          <w:sz w:val="32"/>
          <w:rtl w:val="0"/>
          <w:lang w:val="en-US" w:eastAsia="zh-CN"/>
        </w:rPr>
        <w:t>志为核心的党中央作出的重大决策</w:t>
      </w:r>
      <w:r>
        <w:rPr>
          <w:rFonts w:hint="eastAsia" w:ascii="Times New Roman" w:hAnsi="Times New Roman" w:cs="Times New Roman"/>
          <w:color w:val="auto"/>
          <w:kern w:val="3"/>
          <w:sz w:val="32"/>
          <w:rtl w:val="0"/>
          <w:lang w:val="en-US" w:eastAsia="zh-CN"/>
        </w:rPr>
        <w:t>，是推动我国区域经济协调发展的重大战略部署。乐山是川渝共建长江上游航运中心的重要承载城市，也是</w:t>
      </w:r>
      <w:r>
        <w:rPr>
          <w:rFonts w:hint="default" w:ascii="Times New Roman" w:hAnsi="Times New Roman" w:cs="Times New Roman"/>
          <w:color w:val="auto"/>
          <w:kern w:val="3"/>
          <w:sz w:val="32"/>
          <w:rtl w:val="0"/>
          <w:lang w:val="en-US" w:eastAsia="zh-CN"/>
        </w:rPr>
        <w:t>《成渝地区双城经济圈建设规划纲要》</w:t>
      </w:r>
      <w:r>
        <w:rPr>
          <w:rFonts w:hint="eastAsia" w:ascii="Times New Roman" w:hAnsi="Times New Roman" w:cs="Times New Roman"/>
          <w:color w:val="auto"/>
          <w:kern w:val="3"/>
          <w:sz w:val="32"/>
          <w:rtl w:val="0"/>
          <w:lang w:val="en-US" w:eastAsia="zh-CN"/>
        </w:rPr>
        <w:t>明确的成都平原区域中心城市，在</w:t>
      </w:r>
      <w:r>
        <w:rPr>
          <w:rFonts w:hint="default" w:ascii="Times New Roman" w:hAnsi="Times New Roman" w:cs="Times New Roman"/>
          <w:color w:val="auto"/>
          <w:kern w:val="3"/>
          <w:sz w:val="32"/>
          <w:rtl w:val="0"/>
          <w:lang w:val="en-US" w:eastAsia="zh-CN"/>
        </w:rPr>
        <w:t>《成渝地区双城经济圈综合交通运输发展规划》</w:t>
      </w:r>
      <w:r>
        <w:rPr>
          <w:rFonts w:hint="eastAsia" w:ascii="Times New Roman" w:hAnsi="Times New Roman" w:cs="Times New Roman"/>
          <w:color w:val="auto"/>
          <w:kern w:val="3"/>
          <w:sz w:val="32"/>
          <w:rtl w:val="0"/>
          <w:lang w:val="en-US" w:eastAsia="zh-CN"/>
        </w:rPr>
        <w:t>中</w:t>
      </w:r>
      <w:r>
        <w:rPr>
          <w:rFonts w:hint="default" w:ascii="Times New Roman" w:hAnsi="Times New Roman" w:cs="Times New Roman"/>
          <w:color w:val="auto"/>
          <w:kern w:val="3"/>
          <w:sz w:val="32"/>
          <w:rtl w:val="0"/>
          <w:lang w:val="en-US" w:eastAsia="zh-CN"/>
        </w:rPr>
        <w:t>乐山</w:t>
      </w:r>
      <w:r>
        <w:rPr>
          <w:rFonts w:hint="eastAsia" w:ascii="Times New Roman" w:hAnsi="Times New Roman" w:cs="Times New Roman"/>
          <w:color w:val="auto"/>
          <w:kern w:val="3"/>
          <w:sz w:val="32"/>
          <w:rtl w:val="0"/>
          <w:lang w:val="en-US" w:eastAsia="zh-CN"/>
        </w:rPr>
        <w:t>被定位</w:t>
      </w:r>
      <w:r>
        <w:rPr>
          <w:rFonts w:hint="default" w:ascii="Times New Roman" w:hAnsi="Times New Roman" w:cs="Times New Roman"/>
          <w:color w:val="auto"/>
          <w:kern w:val="3"/>
          <w:sz w:val="32"/>
          <w:rtl w:val="0"/>
          <w:lang w:val="en-US" w:eastAsia="zh-CN"/>
        </w:rPr>
        <w:t>为区域性综合交通枢纽，</w:t>
      </w:r>
      <w:r>
        <w:rPr>
          <w:rFonts w:hint="eastAsia" w:ascii="Times New Roman" w:hAnsi="Times New Roman" w:cs="Times New Roman"/>
          <w:color w:val="auto"/>
          <w:kern w:val="3"/>
          <w:sz w:val="32"/>
          <w:rtl w:val="0"/>
          <w:lang w:val="en-US" w:eastAsia="zh-CN"/>
        </w:rPr>
        <w:t>提出</w:t>
      </w:r>
      <w:r>
        <w:rPr>
          <w:rFonts w:hint="default" w:ascii="Times New Roman" w:hAnsi="Times New Roman" w:cs="Times New Roman"/>
          <w:color w:val="auto"/>
          <w:kern w:val="3"/>
          <w:sz w:val="32"/>
          <w:rtl w:val="0"/>
          <w:lang w:val="en-US" w:eastAsia="zh-CN"/>
        </w:rPr>
        <w:t>乐山</w:t>
      </w:r>
      <w:r>
        <w:rPr>
          <w:rFonts w:hint="eastAsia" w:ascii="Times New Roman" w:hAnsi="Times New Roman" w:cs="Times New Roman"/>
          <w:color w:val="auto"/>
          <w:kern w:val="3"/>
          <w:sz w:val="32"/>
          <w:rtl w:val="0"/>
          <w:lang w:val="en-US" w:eastAsia="zh-CN"/>
        </w:rPr>
        <w:t>要</w:t>
      </w:r>
      <w:r>
        <w:rPr>
          <w:rFonts w:hint="default" w:ascii="Times New Roman" w:hAnsi="Times New Roman" w:cs="Times New Roman"/>
          <w:color w:val="auto"/>
          <w:kern w:val="3"/>
          <w:sz w:val="32"/>
          <w:rtl w:val="0"/>
          <w:lang w:val="en-US" w:eastAsia="zh-CN"/>
        </w:rPr>
        <w:t>充分发挥衔接带动作用，加快与国际性、全国性综合交通枢纽协同发展</w:t>
      </w:r>
      <w:r>
        <w:rPr>
          <w:rFonts w:hint="eastAsia" w:ascii="Times New Roman" w:hAnsi="Times New Roman" w:cs="Times New Roman"/>
          <w:color w:val="auto"/>
          <w:kern w:val="3"/>
          <w:sz w:val="32"/>
          <w:rtl w:val="0"/>
          <w:lang w:val="en-US" w:eastAsia="zh-CN"/>
        </w:rPr>
        <w:t>。随着</w:t>
      </w:r>
      <w:r>
        <w:rPr>
          <w:rFonts w:hint="default" w:ascii="Times New Roman" w:hAnsi="Times New Roman" w:cs="Times New Roman"/>
          <w:color w:val="auto"/>
          <w:kern w:val="3"/>
          <w:sz w:val="32"/>
          <w:rtl w:val="0"/>
          <w:lang w:val="en-US" w:eastAsia="zh-CN"/>
        </w:rPr>
        <w:t>长江经济带高质量发展</w:t>
      </w:r>
      <w:r>
        <w:rPr>
          <w:rFonts w:hint="eastAsia" w:ascii="Times New Roman" w:hAnsi="Times New Roman" w:cs="Times New Roman"/>
          <w:color w:val="auto"/>
          <w:kern w:val="3"/>
          <w:sz w:val="32"/>
          <w:rtl w:val="0"/>
          <w:lang w:val="en-US" w:eastAsia="zh-CN"/>
        </w:rPr>
        <w:t>战略深入推进和成渝地区双城经济圈建设走深走实</w:t>
      </w:r>
      <w:r>
        <w:rPr>
          <w:rFonts w:hint="default" w:ascii="Times New Roman" w:hAnsi="Times New Roman" w:cs="Times New Roman"/>
          <w:color w:val="auto"/>
          <w:kern w:val="3"/>
          <w:sz w:val="32"/>
          <w:rtl w:val="0"/>
          <w:lang w:val="en-US" w:eastAsia="zh-CN"/>
        </w:rPr>
        <w:t>，</w:t>
      </w:r>
      <w:r>
        <w:rPr>
          <w:rFonts w:hint="eastAsia" w:ascii="Times New Roman" w:hAnsi="Times New Roman" w:cs="Times New Roman"/>
          <w:color w:val="auto"/>
          <w:kern w:val="3"/>
          <w:sz w:val="32"/>
          <w:rtl w:val="0"/>
          <w:lang w:val="en-US" w:eastAsia="zh-CN"/>
        </w:rPr>
        <w:t>对区域物流一体化提出更高要求</w:t>
      </w:r>
      <w:r>
        <w:rPr>
          <w:rFonts w:hint="eastAsia" w:cs="Times New Roman"/>
          <w:color w:val="auto"/>
          <w:kern w:val="3"/>
          <w:sz w:val="32"/>
          <w:rtl w:val="0"/>
          <w:lang w:val="en-US" w:eastAsia="zh-CN"/>
        </w:rPr>
        <w:t>。亟须</w:t>
      </w:r>
      <w:r>
        <w:rPr>
          <w:rFonts w:hint="eastAsia" w:ascii="Times New Roman" w:hAnsi="Times New Roman" w:cs="Times New Roman"/>
          <w:color w:val="auto"/>
          <w:kern w:val="3"/>
          <w:sz w:val="32"/>
          <w:rtl w:val="0"/>
          <w:lang w:val="en-US" w:eastAsia="zh-CN"/>
        </w:rPr>
        <w:t>乐山</w:t>
      </w:r>
      <w:r>
        <w:rPr>
          <w:rFonts w:hint="eastAsia" w:cs="Times New Roman"/>
          <w:color w:val="auto"/>
          <w:kern w:val="3"/>
          <w:sz w:val="32"/>
          <w:rtl w:val="0"/>
          <w:lang w:val="en-US" w:eastAsia="zh-CN"/>
        </w:rPr>
        <w:t>以四川省</w:t>
      </w:r>
      <w:r>
        <w:rPr>
          <w:rFonts w:hint="eastAsia" w:ascii="Times New Roman" w:hAnsi="Times New Roman" w:cs="Times New Roman"/>
          <w:color w:val="auto"/>
          <w:kern w:val="3"/>
          <w:sz w:val="32"/>
          <w:rtl w:val="0"/>
          <w:lang w:val="en-US" w:eastAsia="zh-CN"/>
        </w:rPr>
        <w:t>公铁水空一站式多式联运示范基地</w:t>
      </w:r>
      <w:r>
        <w:rPr>
          <w:rFonts w:hint="eastAsia" w:cs="Times New Roman"/>
          <w:color w:val="auto"/>
          <w:kern w:val="3"/>
          <w:sz w:val="32"/>
          <w:rtl w:val="0"/>
          <w:lang w:val="en-US" w:eastAsia="zh-CN"/>
        </w:rPr>
        <w:t>（以下简称示范基地）</w:t>
      </w:r>
      <w:r>
        <w:rPr>
          <w:rFonts w:hint="eastAsia" w:ascii="Times New Roman" w:hAnsi="Times New Roman" w:cs="Times New Roman"/>
          <w:color w:val="auto"/>
          <w:kern w:val="3"/>
          <w:sz w:val="32"/>
          <w:rtl w:val="0"/>
          <w:lang w:val="en-US" w:eastAsia="zh-CN"/>
        </w:rPr>
        <w:t>建设</w:t>
      </w:r>
      <w:r>
        <w:rPr>
          <w:rFonts w:hint="eastAsia" w:cs="Times New Roman"/>
          <w:color w:val="auto"/>
          <w:kern w:val="3"/>
          <w:sz w:val="32"/>
          <w:rtl w:val="0"/>
          <w:lang w:val="en-US" w:eastAsia="zh-CN"/>
        </w:rPr>
        <w:t>为抓手，</w:t>
      </w:r>
      <w:r>
        <w:rPr>
          <w:rFonts w:hint="eastAsia" w:ascii="Times New Roman" w:hAnsi="Times New Roman" w:cs="Times New Roman"/>
          <w:color w:val="auto"/>
          <w:kern w:val="3"/>
          <w:sz w:val="32"/>
          <w:rtl w:val="0"/>
          <w:lang w:val="en-US" w:eastAsia="zh-CN"/>
        </w:rPr>
        <w:t>加快推动省际物流设施联通、资源融通，形成多层次、多功能、运行高效的跨区域综合物流体系，以区域物流一体化支撑区域经济整合与协调发展。</w:t>
      </w:r>
    </w:p>
    <w:p>
      <w:pPr>
        <w:bidi w:val="0"/>
        <w:rPr>
          <w:color w:val="auto"/>
          <w:szCs w:val="32"/>
        </w:rPr>
      </w:pPr>
      <w:r>
        <w:rPr>
          <w:rFonts w:hint="eastAsia" w:ascii="Times New Roman" w:hAnsi="Times New Roman" w:cs="Times New Roman"/>
          <w:color w:val="auto"/>
          <w:kern w:val="3"/>
          <w:sz w:val="32"/>
          <w:rtl w:val="0"/>
          <w:lang w:val="en-US" w:eastAsia="zh-CN"/>
        </w:rPr>
        <w:t>同时，</w:t>
      </w:r>
      <w:r>
        <w:rPr>
          <w:color w:val="auto"/>
          <w:szCs w:val="32"/>
        </w:rPr>
        <w:t>伴随我省</w:t>
      </w:r>
      <w:r>
        <w:rPr>
          <w:rFonts w:hint="eastAsia"/>
          <w:color w:val="auto"/>
          <w:szCs w:val="32"/>
          <w:lang w:eastAsia="zh-CN"/>
        </w:rPr>
        <w:t>“</w:t>
      </w:r>
      <w:r>
        <w:rPr>
          <w:rFonts w:hint="eastAsia"/>
          <w:color w:val="auto"/>
          <w:szCs w:val="32"/>
          <w:lang w:val="en-US" w:eastAsia="zh-CN"/>
        </w:rPr>
        <w:t>五区共兴”</w:t>
      </w:r>
      <w:r>
        <w:rPr>
          <w:color w:val="auto"/>
          <w:szCs w:val="32"/>
        </w:rPr>
        <w:t>战略持续推进，带动</w:t>
      </w:r>
      <w:r>
        <w:rPr>
          <w:rFonts w:hint="eastAsia"/>
          <w:color w:val="auto"/>
          <w:szCs w:val="32"/>
          <w:lang w:val="en-US" w:eastAsia="zh-CN"/>
        </w:rPr>
        <w:t>跨市</w:t>
      </w:r>
      <w:r>
        <w:rPr>
          <w:color w:val="auto"/>
          <w:szCs w:val="32"/>
        </w:rPr>
        <w:t>生产和生活资料物流需求不断增长，要求</w:t>
      </w:r>
      <w:r>
        <w:rPr>
          <w:rFonts w:hint="eastAsia"/>
          <w:color w:val="auto"/>
          <w:szCs w:val="32"/>
          <w:lang w:eastAsia="zh-CN"/>
        </w:rPr>
        <w:t>进一步</w:t>
      </w:r>
      <w:r>
        <w:rPr>
          <w:rFonts w:hint="eastAsia"/>
          <w:color w:val="auto"/>
          <w:szCs w:val="32"/>
          <w:lang w:val="en-US" w:eastAsia="zh-CN"/>
        </w:rPr>
        <w:t>强化乐山与成都都市圈等周边区域合作，依托示范基地促进物流</w:t>
      </w:r>
      <w:r>
        <w:rPr>
          <w:rFonts w:hint="eastAsia"/>
          <w:color w:val="auto"/>
          <w:szCs w:val="32"/>
        </w:rPr>
        <w:t>要素资源优化配置</w:t>
      </w:r>
      <w:r>
        <w:rPr>
          <w:color w:val="auto"/>
          <w:szCs w:val="32"/>
        </w:rPr>
        <w:t>，为我省</w:t>
      </w:r>
      <w:r>
        <w:rPr>
          <w:rFonts w:hint="eastAsia"/>
          <w:color w:val="auto"/>
          <w:szCs w:val="32"/>
        </w:rPr>
        <w:t>推动各区域共同繁荣发展</w:t>
      </w:r>
      <w:r>
        <w:rPr>
          <w:color w:val="auto"/>
          <w:szCs w:val="32"/>
        </w:rPr>
        <w:t>提供</w:t>
      </w:r>
      <w:r>
        <w:rPr>
          <w:rFonts w:hint="eastAsia"/>
          <w:color w:val="auto"/>
          <w:szCs w:val="32"/>
          <w:lang w:val="en-US" w:eastAsia="zh-CN"/>
        </w:rPr>
        <w:t>坚实的</w:t>
      </w:r>
      <w:r>
        <w:rPr>
          <w:color w:val="auto"/>
          <w:szCs w:val="32"/>
        </w:rPr>
        <w:t>物流保障。</w:t>
      </w: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37"/>
        <w:gridCol w:w="490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楷体" w:cs="Times New Roman"/>
                <w:color w:val="auto"/>
                <w:kern w:val="3"/>
                <w:sz w:val="28"/>
                <w:szCs w:val="20"/>
                <w:vertAlign w:val="baseline"/>
                <w:lang w:val="en-US" w:eastAsia="zh-CN" w:bidi="ar-SA"/>
              </w:rPr>
            </w:pPr>
            <w:r>
              <w:rPr>
                <w:color w:val="auto"/>
              </w:rPr>
              <w:drawing>
                <wp:inline distT="0" distB="0" distL="114300" distR="114300">
                  <wp:extent cx="3215640" cy="2365375"/>
                  <wp:effectExtent l="0" t="0" r="3810" b="15875"/>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20"/>
                          <a:srcRect l="1327" t="3705" r="1097" b="2779"/>
                          <a:stretch>
                            <a:fillRect/>
                          </a:stretch>
                        </pic:blipFill>
                        <pic:spPr>
                          <a:xfrm>
                            <a:off x="0" y="0"/>
                            <a:ext cx="3215640" cy="2365375"/>
                          </a:xfrm>
                          <a:prstGeom prst="rect">
                            <a:avLst/>
                          </a:prstGeom>
                          <a:noFill/>
                          <a:ln>
                            <a:noFill/>
                          </a:ln>
                        </pic:spPr>
                      </pic:pic>
                    </a:graphicData>
                  </a:graphic>
                </wp:inline>
              </w:drawing>
            </w:r>
          </w:p>
        </w:tc>
        <w:tc>
          <w:tcPr>
            <w:tcW w:w="426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楷体" w:cs="Times New Roman"/>
                <w:color w:val="auto"/>
                <w:kern w:val="3"/>
                <w:sz w:val="28"/>
                <w:szCs w:val="20"/>
                <w:vertAlign w:val="baseline"/>
                <w:lang w:val="en-US" w:eastAsia="zh-CN" w:bidi="ar-SA"/>
              </w:rPr>
            </w:pPr>
            <w:r>
              <w:rPr>
                <w:color w:val="auto"/>
              </w:rPr>
              <w:drawing>
                <wp:inline distT="0" distB="0" distL="114300" distR="114300">
                  <wp:extent cx="3065145" cy="2341245"/>
                  <wp:effectExtent l="0" t="0" r="1905" b="190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1"/>
                          <a:stretch>
                            <a:fillRect/>
                          </a:stretch>
                        </pic:blipFill>
                        <pic:spPr>
                          <a:xfrm>
                            <a:off x="0" y="0"/>
                            <a:ext cx="3065145" cy="2341245"/>
                          </a:xfrm>
                          <a:prstGeom prst="rect">
                            <a:avLst/>
                          </a:prstGeom>
                          <a:noFill/>
                          <a:ln>
                            <a:noFill/>
                          </a:ln>
                        </pic:spPr>
                      </pic:pic>
                    </a:graphicData>
                  </a:graphic>
                </wp:inline>
              </w:drawing>
            </w:r>
          </w:p>
        </w:tc>
      </w:tr>
    </w:tbl>
    <w:p>
      <w:pPr>
        <w:keepNext w:val="0"/>
        <w:keepLines w:val="0"/>
        <w:pageBreakBefore w:val="0"/>
        <w:widowControl w:val="0"/>
        <w:kinsoku/>
        <w:wordWrap/>
        <w:overflowPunct/>
        <w:topLinePunct w:val="0"/>
        <w:autoSpaceDE/>
        <w:autoSpaceDN/>
        <w:bidi w:val="0"/>
        <w:adjustRightInd w:val="0"/>
        <w:snapToGrid w:val="0"/>
        <w:spacing w:before="79" w:beforeLines="25" w:after="79" w:afterLines="25" w:line="240" w:lineRule="auto"/>
        <w:ind w:firstLine="0" w:firstLineChars="0"/>
        <w:jc w:val="center"/>
        <w:textAlignment w:val="auto"/>
        <w:rPr>
          <w:rFonts w:hint="default" w:ascii="Times New Roman" w:hAnsi="Times New Roman" w:eastAsia="楷体" w:cs="Times New Roman"/>
          <w:color w:val="auto"/>
          <w:kern w:val="3"/>
          <w:sz w:val="28"/>
          <w:szCs w:val="20"/>
          <w:lang w:val="en-US" w:eastAsia="zh-CN" w:bidi="ar-SA"/>
        </w:rPr>
      </w:pPr>
      <w:r>
        <w:rPr>
          <w:rFonts w:hint="default" w:ascii="Times New Roman" w:hAnsi="Times New Roman" w:eastAsia="楷体" w:cs="Times New Roman"/>
          <w:color w:val="auto"/>
          <w:kern w:val="3"/>
          <w:sz w:val="28"/>
          <w:szCs w:val="20"/>
          <w:highlight w:val="none"/>
          <w:lang w:val="en-US" w:eastAsia="zh-CN" w:bidi="ar-SA"/>
        </w:rPr>
        <w:t xml:space="preserve">图 </w:t>
      </w:r>
      <w:r>
        <w:rPr>
          <w:rFonts w:hint="default" w:ascii="Times New Roman" w:hAnsi="Times New Roman" w:eastAsia="楷体" w:cs="Times New Roman"/>
          <w:color w:val="auto"/>
          <w:kern w:val="3"/>
          <w:sz w:val="28"/>
          <w:szCs w:val="20"/>
          <w:highlight w:val="none"/>
          <w:lang w:val="en-US" w:eastAsia="zh-CN" w:bidi="ar-SA"/>
        </w:rPr>
        <w:fldChar w:fldCharType="begin"/>
      </w:r>
      <w:r>
        <w:rPr>
          <w:rFonts w:hint="default" w:ascii="Times New Roman" w:hAnsi="Times New Roman" w:eastAsia="楷体" w:cs="Times New Roman"/>
          <w:color w:val="auto"/>
          <w:kern w:val="3"/>
          <w:sz w:val="28"/>
          <w:szCs w:val="20"/>
          <w:highlight w:val="none"/>
          <w:lang w:val="en-US" w:eastAsia="zh-CN" w:bidi="ar-SA"/>
        </w:rPr>
        <w:instrText xml:space="preserve"> STYLEREF 1 \s </w:instrText>
      </w:r>
      <w:r>
        <w:rPr>
          <w:rFonts w:hint="default" w:ascii="Times New Roman" w:hAnsi="Times New Roman" w:eastAsia="楷体" w:cs="Times New Roman"/>
          <w:color w:val="auto"/>
          <w:kern w:val="3"/>
          <w:sz w:val="28"/>
          <w:szCs w:val="20"/>
          <w:highlight w:val="none"/>
          <w:lang w:val="en-US" w:eastAsia="zh-CN" w:bidi="ar-SA"/>
        </w:rPr>
        <w:fldChar w:fldCharType="separate"/>
      </w:r>
      <w:r>
        <w:rPr>
          <w:rFonts w:hint="default" w:ascii="Times New Roman" w:hAnsi="Times New Roman" w:eastAsia="楷体" w:cs="Times New Roman"/>
          <w:color w:val="auto"/>
          <w:kern w:val="3"/>
          <w:sz w:val="28"/>
          <w:szCs w:val="20"/>
          <w:highlight w:val="none"/>
          <w:lang w:val="en-US" w:eastAsia="zh-CN" w:bidi="ar-SA"/>
        </w:rPr>
        <w:t>1</w:t>
      </w:r>
      <w:r>
        <w:rPr>
          <w:rFonts w:hint="default" w:ascii="Times New Roman" w:hAnsi="Times New Roman" w:eastAsia="楷体" w:cs="Times New Roman"/>
          <w:color w:val="auto"/>
          <w:kern w:val="3"/>
          <w:sz w:val="28"/>
          <w:szCs w:val="20"/>
          <w:highlight w:val="none"/>
          <w:lang w:val="en-US" w:eastAsia="zh-CN" w:bidi="ar-SA"/>
        </w:rPr>
        <w:fldChar w:fldCharType="end"/>
      </w:r>
      <w:r>
        <w:rPr>
          <w:rFonts w:hint="eastAsia" w:ascii="Times New Roman" w:hAnsi="Times New Roman" w:eastAsia="楷体" w:cs="Times New Roman"/>
          <w:color w:val="auto"/>
          <w:kern w:val="3"/>
          <w:sz w:val="28"/>
          <w:szCs w:val="20"/>
          <w:highlight w:val="none"/>
          <w:lang w:val="en-US" w:eastAsia="zh-CN" w:bidi="ar-SA"/>
        </w:rPr>
        <w:t>-</w:t>
      </w:r>
      <w:r>
        <w:rPr>
          <w:rFonts w:hint="default" w:ascii="Times New Roman" w:hAnsi="Times New Roman" w:eastAsia="楷体" w:cs="Times New Roman"/>
          <w:color w:val="auto"/>
          <w:kern w:val="3"/>
          <w:sz w:val="28"/>
          <w:szCs w:val="20"/>
          <w:highlight w:val="none"/>
          <w:lang w:val="en-US" w:eastAsia="zh-CN" w:bidi="ar-SA"/>
        </w:rPr>
        <w:fldChar w:fldCharType="begin"/>
      </w:r>
      <w:r>
        <w:rPr>
          <w:rFonts w:hint="default" w:ascii="Times New Roman" w:hAnsi="Times New Roman" w:eastAsia="楷体" w:cs="Times New Roman"/>
          <w:color w:val="auto"/>
          <w:kern w:val="3"/>
          <w:sz w:val="28"/>
          <w:szCs w:val="20"/>
          <w:highlight w:val="none"/>
          <w:lang w:val="en-US" w:eastAsia="zh-CN" w:bidi="ar-SA"/>
        </w:rPr>
        <w:instrText xml:space="preserve"> SEQ 图 \* ARABIC \s 1 </w:instrText>
      </w:r>
      <w:r>
        <w:rPr>
          <w:rFonts w:hint="default" w:ascii="Times New Roman" w:hAnsi="Times New Roman" w:eastAsia="楷体" w:cs="Times New Roman"/>
          <w:color w:val="auto"/>
          <w:kern w:val="3"/>
          <w:sz w:val="28"/>
          <w:szCs w:val="20"/>
          <w:highlight w:val="none"/>
          <w:lang w:val="en-US" w:eastAsia="zh-CN" w:bidi="ar-SA"/>
        </w:rPr>
        <w:fldChar w:fldCharType="separate"/>
      </w:r>
      <w:r>
        <w:rPr>
          <w:rFonts w:hint="default" w:ascii="Times New Roman" w:hAnsi="Times New Roman" w:eastAsia="楷体" w:cs="Times New Roman"/>
          <w:color w:val="auto"/>
          <w:kern w:val="3"/>
          <w:sz w:val="28"/>
          <w:szCs w:val="20"/>
          <w:highlight w:val="none"/>
          <w:lang w:val="en-US" w:eastAsia="zh-CN" w:bidi="ar-SA"/>
        </w:rPr>
        <w:t>1</w:t>
      </w:r>
      <w:r>
        <w:rPr>
          <w:rFonts w:hint="default" w:ascii="Times New Roman" w:hAnsi="Times New Roman" w:eastAsia="楷体" w:cs="Times New Roman"/>
          <w:color w:val="auto"/>
          <w:kern w:val="3"/>
          <w:sz w:val="28"/>
          <w:szCs w:val="20"/>
          <w:highlight w:val="none"/>
          <w:lang w:val="en-US" w:eastAsia="zh-CN" w:bidi="ar-SA"/>
        </w:rPr>
        <w:fldChar w:fldCharType="end"/>
      </w:r>
      <w:r>
        <w:rPr>
          <w:rFonts w:hint="default" w:ascii="Times New Roman" w:hAnsi="Times New Roman" w:eastAsia="楷体" w:cs="Times New Roman"/>
          <w:color w:val="auto"/>
          <w:kern w:val="3"/>
          <w:sz w:val="28"/>
          <w:szCs w:val="20"/>
          <w:lang w:val="en-US" w:eastAsia="zh-CN" w:bidi="ar-SA"/>
        </w:rPr>
        <w:t>乐山在</w:t>
      </w:r>
      <w:r>
        <w:rPr>
          <w:rFonts w:hint="eastAsia" w:eastAsia="楷体" w:cs="Times New Roman"/>
          <w:color w:val="auto"/>
          <w:kern w:val="3"/>
          <w:sz w:val="28"/>
          <w:szCs w:val="20"/>
          <w:lang w:val="en-US" w:eastAsia="zh-CN" w:bidi="ar-SA"/>
        </w:rPr>
        <w:t>四川省和成渝地区双城经济圈位置</w:t>
      </w:r>
      <w:r>
        <w:rPr>
          <w:rFonts w:hint="default" w:ascii="Times New Roman" w:hAnsi="Times New Roman" w:eastAsia="楷体" w:cs="Times New Roman"/>
          <w:color w:val="auto"/>
          <w:kern w:val="3"/>
          <w:sz w:val="28"/>
          <w:szCs w:val="20"/>
          <w:lang w:val="en-US" w:eastAsia="zh-CN" w:bidi="ar-SA"/>
        </w:rPr>
        <w:t>示意图</w:t>
      </w:r>
    </w:p>
    <w:p>
      <w:pPr>
        <w:bidi w:val="0"/>
        <w:rPr>
          <w:rFonts w:hint="eastAsia" w:ascii="仿宋_GB2312" w:hAnsi="仿宋_GB2312" w:eastAsia="仿宋_GB2312" w:cs="仿宋_GB2312"/>
          <w:b w:val="0"/>
          <w:bCs w:val="0"/>
          <w:color w:val="auto"/>
          <w:szCs w:val="32"/>
        </w:rPr>
      </w:pPr>
      <w:r>
        <w:rPr>
          <w:rFonts w:hint="eastAsia" w:ascii="仿宋_GB2312" w:hAnsi="仿宋_GB2312" w:eastAsia="仿宋_GB2312" w:cs="仿宋_GB2312"/>
          <w:b w:val="0"/>
          <w:bCs w:val="0"/>
          <w:color w:val="auto"/>
          <w:kern w:val="3"/>
          <w:sz w:val="32"/>
          <w:rtl w:val="0"/>
          <w:lang w:val="en-US" w:eastAsia="zh-CN"/>
        </w:rPr>
        <w:t>2.融入双循环新发展格局需要乐山全面构建现代化物流运营体系。</w:t>
      </w:r>
      <w:r>
        <w:rPr>
          <w:rFonts w:hint="eastAsia" w:ascii="仿宋_GB2312" w:hAnsi="仿宋_GB2312" w:eastAsia="仿宋_GB2312" w:cs="仿宋_GB2312"/>
          <w:b w:val="0"/>
          <w:bCs w:val="0"/>
          <w:color w:val="auto"/>
          <w:szCs w:val="32"/>
          <w:lang w:val="en-US" w:eastAsia="zh-CN"/>
        </w:rPr>
        <w:t>当前</w:t>
      </w:r>
      <w:r>
        <w:rPr>
          <w:rFonts w:hint="eastAsia" w:ascii="仿宋_GB2312" w:hAnsi="仿宋_GB2312" w:eastAsia="仿宋_GB2312" w:cs="仿宋_GB2312"/>
          <w:b w:val="0"/>
          <w:bCs w:val="0"/>
          <w:color w:val="auto"/>
          <w:szCs w:val="32"/>
        </w:rPr>
        <w:t>，国际经济合作和竞争局面正在发生深刻变化，全球经济治理体系和规则正在面临重大调整。构建以国内大循环为主体、国内国际双循环相互促进的新发展格局，是以习近平同志为核心的党中央根据我国发展阶段、环境、条件变化，审时度势作出的重大决策，是新时期我国物流业高质量发展的方向指引。</w:t>
      </w:r>
      <w:r>
        <w:rPr>
          <w:rFonts w:hint="eastAsia" w:ascii="仿宋_GB2312" w:hAnsi="仿宋_GB2312" w:eastAsia="仿宋_GB2312" w:cs="仿宋_GB2312"/>
          <w:b w:val="0"/>
          <w:bCs w:val="0"/>
          <w:color w:val="auto"/>
          <w:szCs w:val="32"/>
          <w:lang w:val="en-US" w:eastAsia="zh-CN"/>
        </w:rPr>
        <w:t>需要乐山以示范基地建设为引擎</w:t>
      </w:r>
      <w:r>
        <w:rPr>
          <w:rFonts w:hint="eastAsia" w:ascii="仿宋_GB2312" w:hAnsi="仿宋_GB2312" w:eastAsia="仿宋_GB2312" w:cs="仿宋_GB2312"/>
          <w:b w:val="0"/>
          <w:bCs w:val="0"/>
          <w:color w:val="auto"/>
          <w:szCs w:val="32"/>
        </w:rPr>
        <w:t>，一方面畅通国内大循环，依托强大国内市场，进一步统筹物流硬件软件建设，</w:t>
      </w:r>
      <w:r>
        <w:rPr>
          <w:rFonts w:hint="eastAsia" w:ascii="仿宋_GB2312" w:hAnsi="仿宋_GB2312" w:eastAsia="仿宋_GB2312" w:cs="仿宋_GB2312"/>
          <w:b w:val="0"/>
          <w:bCs w:val="0"/>
          <w:color w:val="auto"/>
          <w:szCs w:val="32"/>
          <w:lang w:val="en-US" w:eastAsia="zh-CN"/>
        </w:rPr>
        <w:t>满足成渝地区乃至中国西部广大腹地对乐山物流服务</w:t>
      </w:r>
      <w:r>
        <w:rPr>
          <w:rFonts w:hint="eastAsia" w:ascii="仿宋_GB2312" w:hAnsi="仿宋_GB2312" w:eastAsia="仿宋_GB2312" w:cs="仿宋_GB2312"/>
          <w:b w:val="0"/>
          <w:bCs w:val="0"/>
          <w:color w:val="auto"/>
          <w:szCs w:val="32"/>
        </w:rPr>
        <w:t>市场需求；另一方面促进国内国际双循环，</w:t>
      </w:r>
      <w:r>
        <w:rPr>
          <w:rFonts w:hint="eastAsia" w:ascii="仿宋_GB2312" w:hAnsi="仿宋_GB2312" w:eastAsia="仿宋_GB2312" w:cs="仿宋_GB2312"/>
          <w:b w:val="0"/>
          <w:bCs w:val="0"/>
          <w:color w:val="auto"/>
          <w:szCs w:val="32"/>
          <w:lang w:val="en-US" w:eastAsia="zh-CN"/>
        </w:rPr>
        <w:t>完善乐山</w:t>
      </w:r>
      <w:r>
        <w:rPr>
          <w:rFonts w:hint="eastAsia" w:ascii="仿宋_GB2312" w:hAnsi="仿宋_GB2312" w:eastAsia="仿宋_GB2312" w:cs="仿宋_GB2312"/>
          <w:b w:val="0"/>
          <w:bCs w:val="0"/>
          <w:color w:val="auto"/>
          <w:szCs w:val="32"/>
        </w:rPr>
        <w:t>国际物流</w:t>
      </w:r>
      <w:r>
        <w:rPr>
          <w:rFonts w:hint="eastAsia" w:ascii="仿宋_GB2312" w:hAnsi="仿宋_GB2312" w:eastAsia="仿宋_GB2312" w:cs="仿宋_GB2312"/>
          <w:b w:val="0"/>
          <w:bCs w:val="0"/>
          <w:color w:val="auto"/>
          <w:szCs w:val="32"/>
          <w:lang w:val="en-US" w:eastAsia="zh-CN"/>
        </w:rPr>
        <w:t>基础</w:t>
      </w:r>
      <w:r>
        <w:rPr>
          <w:rFonts w:hint="eastAsia" w:ascii="仿宋_GB2312" w:hAnsi="仿宋_GB2312" w:eastAsia="仿宋_GB2312" w:cs="仿宋_GB2312"/>
          <w:b w:val="0"/>
          <w:bCs w:val="0"/>
          <w:color w:val="auto"/>
          <w:szCs w:val="32"/>
        </w:rPr>
        <w:t>设施</w:t>
      </w:r>
      <w:r>
        <w:rPr>
          <w:rFonts w:hint="eastAsia" w:ascii="仿宋_GB2312" w:hAnsi="仿宋_GB2312" w:eastAsia="仿宋_GB2312" w:cs="仿宋_GB2312"/>
          <w:b w:val="0"/>
          <w:bCs w:val="0"/>
          <w:color w:val="auto"/>
          <w:szCs w:val="32"/>
          <w:lang w:val="en-US" w:eastAsia="zh-CN"/>
        </w:rPr>
        <w:t>布局，提升国际物流服务</w:t>
      </w:r>
      <w:r>
        <w:rPr>
          <w:rFonts w:hint="eastAsia" w:ascii="仿宋_GB2312" w:hAnsi="仿宋_GB2312" w:eastAsia="仿宋_GB2312" w:cs="仿宋_GB2312"/>
          <w:b w:val="0"/>
          <w:bCs w:val="0"/>
          <w:color w:val="auto"/>
          <w:szCs w:val="32"/>
        </w:rPr>
        <w:t>能力，构筑安全</w:t>
      </w:r>
      <w:r>
        <w:rPr>
          <w:rFonts w:hint="eastAsia" w:ascii="仿宋_GB2312" w:hAnsi="仿宋_GB2312" w:eastAsia="仿宋_GB2312" w:cs="仿宋_GB2312"/>
          <w:b w:val="0"/>
          <w:bCs w:val="0"/>
          <w:color w:val="auto"/>
          <w:szCs w:val="32"/>
          <w:lang w:val="en-US" w:eastAsia="zh-CN"/>
        </w:rPr>
        <w:t>可靠、现代高效</w:t>
      </w:r>
      <w:r>
        <w:rPr>
          <w:rFonts w:hint="eastAsia" w:ascii="仿宋_GB2312" w:hAnsi="仿宋_GB2312" w:eastAsia="仿宋_GB2312" w:cs="仿宋_GB2312"/>
          <w:b w:val="0"/>
          <w:bCs w:val="0"/>
          <w:color w:val="auto"/>
          <w:szCs w:val="32"/>
        </w:rPr>
        <w:t>的国际物流网络体系，扩大与“一带一路”沿线国家的开放合作，</w:t>
      </w:r>
      <w:r>
        <w:rPr>
          <w:rFonts w:hint="eastAsia" w:ascii="仿宋_GB2312" w:hAnsi="仿宋_GB2312" w:eastAsia="仿宋_GB2312" w:cs="仿宋_GB2312"/>
          <w:b w:val="0"/>
          <w:bCs w:val="0"/>
          <w:color w:val="auto"/>
          <w:szCs w:val="32"/>
          <w:lang w:val="en-US" w:eastAsia="zh-CN"/>
        </w:rPr>
        <w:t>加快融入西部陆海新通道建设，</w:t>
      </w:r>
      <w:r>
        <w:rPr>
          <w:rFonts w:hint="eastAsia" w:ascii="仿宋_GB2312" w:hAnsi="仿宋_GB2312" w:eastAsia="仿宋_GB2312" w:cs="仿宋_GB2312"/>
          <w:b w:val="0"/>
          <w:bCs w:val="0"/>
          <w:color w:val="auto"/>
          <w:szCs w:val="32"/>
        </w:rPr>
        <w:t>更好服务</w:t>
      </w:r>
      <w:r>
        <w:rPr>
          <w:rFonts w:hint="eastAsia" w:ascii="仿宋_GB2312" w:hAnsi="仿宋_GB2312" w:eastAsia="仿宋_GB2312" w:cs="仿宋_GB2312"/>
          <w:b w:val="0"/>
          <w:bCs w:val="0"/>
          <w:color w:val="auto"/>
          <w:szCs w:val="32"/>
          <w:lang w:val="en-US" w:eastAsia="zh-CN"/>
        </w:rPr>
        <w:t>乐山外贸经济高质量发展</w:t>
      </w:r>
      <w:r>
        <w:rPr>
          <w:rFonts w:hint="eastAsia" w:ascii="仿宋_GB2312" w:hAnsi="仿宋_GB2312" w:eastAsia="仿宋_GB2312" w:cs="仿宋_GB2312"/>
          <w:b w:val="0"/>
          <w:bCs w:val="0"/>
          <w:color w:val="auto"/>
          <w:szCs w:val="32"/>
        </w:rPr>
        <w:t>和</w:t>
      </w:r>
      <w:r>
        <w:rPr>
          <w:rFonts w:hint="eastAsia" w:ascii="仿宋_GB2312" w:hAnsi="仿宋_GB2312" w:eastAsia="仿宋_GB2312" w:cs="仿宋_GB2312"/>
          <w:b w:val="0"/>
          <w:bCs w:val="0"/>
          <w:color w:val="auto"/>
          <w:szCs w:val="32"/>
          <w:lang w:val="en-US" w:eastAsia="zh-CN"/>
        </w:rPr>
        <w:t>支撑四川构筑向西向南开放战略高地</w:t>
      </w:r>
      <w:r>
        <w:rPr>
          <w:rFonts w:hint="eastAsia" w:ascii="仿宋_GB2312" w:hAnsi="仿宋_GB2312" w:eastAsia="仿宋_GB2312" w:cs="仿宋_GB2312"/>
          <w:b w:val="0"/>
          <w:bCs w:val="0"/>
          <w:color w:val="auto"/>
          <w:szCs w:val="32"/>
        </w:rPr>
        <w:t>。</w:t>
      </w:r>
    </w:p>
    <w:p>
      <w:pPr>
        <w:bidi w:val="0"/>
        <w:rPr>
          <w:rFonts w:hint="eastAsia" w:ascii="仿宋_GB2312" w:hAnsi="仿宋_GB2312" w:eastAsia="仿宋_GB2312" w:cs="仿宋_GB2312"/>
          <w:b w:val="0"/>
          <w:bCs w:val="0"/>
          <w:color w:val="auto"/>
          <w:kern w:val="3"/>
          <w:sz w:val="32"/>
          <w:rtl w:val="0"/>
          <w:lang w:val="en-US" w:eastAsia="zh-CN"/>
        </w:rPr>
      </w:pPr>
      <w:r>
        <w:rPr>
          <w:rFonts w:hint="eastAsia" w:ascii="仿宋_GB2312" w:hAnsi="仿宋_GB2312" w:eastAsia="仿宋_GB2312" w:cs="仿宋_GB2312"/>
          <w:b w:val="0"/>
          <w:bCs w:val="0"/>
          <w:color w:val="auto"/>
          <w:kern w:val="3"/>
          <w:sz w:val="32"/>
          <w:rtl w:val="0"/>
          <w:lang w:val="en-US" w:eastAsia="zh-CN"/>
        </w:rPr>
        <w:t>3.保障四川大件装备运输需要乐山着力提升大件物流等专业化运输服务能力。四川是</w:t>
      </w:r>
      <w:r>
        <w:rPr>
          <w:rFonts w:hint="eastAsia" w:cs="Times New Roman"/>
          <w:color w:val="auto"/>
          <w:kern w:val="3"/>
          <w:sz w:val="32"/>
          <w:rtl w:val="0"/>
          <w:lang w:val="en-US" w:eastAsia="zh-CN"/>
        </w:rPr>
        <w:t>国家重要装备制造业基地之一，近年来着力推进“双核一带两翼”产业布局，形成德阳—成都—资阳—自贡—宜宾的装备制造产业带，2025年全省装备制造产业营业收入预计达到1万亿元。依托乐山境内大件码头，岷江航道早已成为</w:t>
      </w:r>
      <w:r>
        <w:rPr>
          <w:rFonts w:hint="default" w:ascii="Times New Roman" w:hAnsi="Times New Roman" w:eastAsia="仿宋_GB2312" w:cs="Times New Roman"/>
          <w:b w:val="0"/>
          <w:i w:val="0"/>
          <w:caps w:val="0"/>
          <w:color w:val="auto"/>
          <w:spacing w:val="0"/>
          <w:w w:val="100"/>
          <w:kern w:val="2"/>
          <w:sz w:val="32"/>
          <w:szCs w:val="32"/>
          <w:highlight w:val="none"/>
          <w:lang w:val="en-US" w:eastAsia="zh-CN" w:bidi="ar-SA"/>
        </w:rPr>
        <w:t>东方电气集团、中国二重、四川科新</w:t>
      </w:r>
      <w:r>
        <w:rPr>
          <w:rFonts w:hint="eastAsia" w:cs="Times New Roman"/>
          <w:color w:val="auto"/>
          <w:kern w:val="3"/>
          <w:sz w:val="32"/>
          <w:rtl w:val="0"/>
          <w:lang w:val="en-US" w:eastAsia="zh-CN"/>
        </w:rPr>
        <w:t>等企业重大装备的关键运输通道，是四川省实施“工业兴省、制造强省”战略，大力发展重型装备制造产业集群的重要保障。当前，全省正加快推进岷江航电综合开发，全力破解四川省重大装备水路运输瓶颈；同时应看到，乐山既有大件码头已经存在服务能力低、场地规模小等短板。为保障我省重大装备高效率、低成本出川出海，需要乐山依托示范基地建设，做强大件物流的品牌和优势，持续完善大件公路和大件码头硬支撑，提升大件审批、安全护航等软服务，为全面提升四川重大装备制造</w:t>
      </w:r>
      <w:r>
        <w:rPr>
          <w:rFonts w:hint="eastAsia" w:ascii="仿宋_GB2312" w:hAnsi="仿宋_GB2312" w:eastAsia="仿宋_GB2312" w:cs="仿宋_GB2312"/>
          <w:b w:val="0"/>
          <w:bCs w:val="0"/>
          <w:color w:val="auto"/>
          <w:kern w:val="3"/>
          <w:sz w:val="32"/>
          <w:rtl w:val="0"/>
          <w:lang w:val="en-US" w:eastAsia="zh-CN"/>
        </w:rPr>
        <w:t>产业的国际市场影响力做好大件物流服务支撑。</w:t>
      </w:r>
    </w:p>
    <w:p>
      <w:pPr>
        <w:bidi w:val="0"/>
        <w:rPr>
          <w:rFonts w:ascii="Times New Roman" w:hAnsi="Times New Roman"/>
          <w:color w:val="auto"/>
          <w:szCs w:val="32"/>
        </w:rPr>
      </w:pPr>
      <w:r>
        <w:rPr>
          <w:rFonts w:hint="eastAsia" w:ascii="仿宋_GB2312" w:hAnsi="仿宋_GB2312" w:eastAsia="仿宋_GB2312" w:cs="仿宋_GB2312"/>
          <w:b w:val="0"/>
          <w:bCs w:val="0"/>
          <w:color w:val="auto"/>
          <w:kern w:val="3"/>
          <w:sz w:val="32"/>
          <w:rtl w:val="0"/>
          <w:lang w:val="en-US" w:eastAsia="zh-CN"/>
        </w:rPr>
        <w:t>4.支撑乐山构建现代化产业体系需要乐山加快推动物流降本提质增效。物流是实体经济的“筋络”，‌以制造业为核心的实体经济是保持国家竞争力和促进经济可持续发展的基石，乐山大力发展现代物流是对习近平总书记关于构建现代物流体系，有效降低全社会物流成本重要指示的坚定落实，是服务乐山构建现代化产业体系的关键举措。目前乐山正加快打造“241”</w:t>
      </w:r>
      <w:r>
        <w:rPr>
          <w:rStyle w:val="25"/>
          <w:rFonts w:hint="eastAsia" w:ascii="仿宋_GB2312" w:hAnsi="仿宋_GB2312" w:eastAsia="仿宋_GB2312" w:cs="仿宋_GB2312"/>
          <w:b w:val="0"/>
          <w:bCs w:val="0"/>
          <w:color w:val="auto"/>
          <w:kern w:val="3"/>
          <w:sz w:val="32"/>
          <w:rtl w:val="0"/>
          <w:lang w:val="en-US" w:eastAsia="zh-CN"/>
        </w:rPr>
        <w:footnoteReference w:id="0"/>
      </w:r>
      <w:r>
        <w:rPr>
          <w:rFonts w:hint="eastAsia" w:ascii="仿宋_GB2312" w:hAnsi="仿宋_GB2312" w:eastAsia="仿宋_GB2312" w:cs="仿宋_GB2312"/>
          <w:b w:val="0"/>
          <w:bCs w:val="0"/>
          <w:color w:val="auto"/>
          <w:kern w:val="3"/>
          <w:sz w:val="32"/>
          <w:rtl w:val="0"/>
          <w:lang w:val="en-US" w:eastAsia="zh-CN"/>
        </w:rPr>
        <w:t>现代工业产业体系和“211+”</w:t>
      </w:r>
      <w:r>
        <w:rPr>
          <w:rStyle w:val="25"/>
          <w:rFonts w:hint="eastAsia" w:ascii="仿宋_GB2312" w:hAnsi="仿宋_GB2312" w:eastAsia="仿宋_GB2312" w:cs="仿宋_GB2312"/>
          <w:b w:val="0"/>
          <w:bCs w:val="0"/>
          <w:color w:val="auto"/>
          <w:kern w:val="3"/>
          <w:sz w:val="32"/>
          <w:rtl w:val="0"/>
          <w:lang w:val="en-US" w:eastAsia="zh-CN"/>
        </w:rPr>
        <w:footnoteReference w:id="1"/>
      </w:r>
      <w:r>
        <w:rPr>
          <w:rFonts w:hint="eastAsia" w:ascii="仿宋_GB2312" w:hAnsi="仿宋_GB2312" w:eastAsia="仿宋_GB2312" w:cs="仿宋_GB2312"/>
          <w:b w:val="0"/>
          <w:bCs w:val="0"/>
          <w:color w:val="auto"/>
          <w:kern w:val="3"/>
          <w:sz w:val="32"/>
          <w:rtl w:val="0"/>
          <w:lang w:val="en-US" w:eastAsia="zh-CN"/>
        </w:rPr>
        <w:t>现代农业产业集群，乐山</w:t>
      </w:r>
      <w:r>
        <w:rPr>
          <w:rFonts w:hint="eastAsia" w:cs="Times New Roman"/>
          <w:color w:val="auto"/>
          <w:kern w:val="3"/>
          <w:sz w:val="32"/>
          <w:rtl w:val="0"/>
          <w:lang w:val="en-US" w:eastAsia="zh-CN"/>
        </w:rPr>
        <w:t>作为我省现代物流产业链协同发展地，需要围绕服务特色优势产业做大做强，以建设示范基地为契机，大力发展制造业物流、特种物流、农产品物流</w:t>
      </w:r>
      <w:r>
        <w:rPr>
          <w:rFonts w:hint="eastAsia" w:ascii="Times New Roman" w:hAnsi="Times New Roman" w:cs="Times New Roman"/>
          <w:color w:val="auto"/>
          <w:kern w:val="3"/>
          <w:sz w:val="32"/>
          <w:rtl w:val="0"/>
          <w:lang w:val="en-US" w:eastAsia="zh-CN"/>
        </w:rPr>
        <w:t>等专业化物流</w:t>
      </w:r>
      <w:r>
        <w:rPr>
          <w:rFonts w:hint="eastAsia" w:cs="Times New Roman"/>
          <w:color w:val="auto"/>
          <w:kern w:val="3"/>
          <w:sz w:val="32"/>
          <w:rtl w:val="0"/>
          <w:lang w:val="en-US" w:eastAsia="zh-CN"/>
        </w:rPr>
        <w:t>，积极推动物流与制造业、农业融合发展，推动物资在生产、分配、流通、消费等各环节高效流转，</w:t>
      </w:r>
      <w:r>
        <w:rPr>
          <w:rFonts w:hint="eastAsia" w:ascii="Times New Roman" w:hAnsi="Times New Roman" w:cs="Times New Roman"/>
          <w:color w:val="auto"/>
          <w:kern w:val="3"/>
          <w:sz w:val="32"/>
          <w:rtl w:val="0"/>
          <w:lang w:val="en-US" w:eastAsia="zh-CN"/>
        </w:rPr>
        <w:t>提高物流服务质量和经济运行效率，增强产业核心竞争力。</w:t>
      </w:r>
    </w:p>
    <w:p>
      <w:pPr>
        <w:keepNext w:val="0"/>
        <w:keepLines w:val="0"/>
        <w:pageBreakBefore w:val="0"/>
        <w:widowControl/>
        <w:kinsoku/>
        <w:wordWrap/>
        <w:overflowPunct/>
        <w:topLinePunct w:val="0"/>
        <w:autoSpaceDE/>
        <w:autoSpaceDN/>
        <w:bidi w:val="0"/>
        <w:adjustRightInd/>
        <w:snapToGrid/>
        <w:textAlignment w:val="auto"/>
        <w:rPr>
          <w:rFonts w:hint="eastAsia" w:ascii="仿宋" w:hAnsi="仿宋" w:eastAsia="仿宋" w:cs="仿宋"/>
          <w:color w:val="auto"/>
          <w:sz w:val="24"/>
          <w:szCs w:val="24"/>
          <w:highlight w:val="yellow"/>
          <w:lang w:val="en-US" w:eastAsia="zh-CN"/>
        </w:rPr>
      </w:pPr>
      <w:r>
        <w:rPr>
          <w:rFonts w:hint="eastAsia" w:ascii="仿宋_GB2312" w:hAnsi="仿宋_GB2312" w:eastAsia="仿宋_GB2312" w:cs="仿宋_GB2312"/>
          <w:b w:val="0"/>
          <w:bCs w:val="0"/>
          <w:color w:val="auto"/>
          <w:kern w:val="3"/>
          <w:sz w:val="32"/>
          <w:rtl w:val="0"/>
          <w:lang w:val="en-US" w:eastAsia="zh-CN"/>
        </w:rPr>
        <w:t>5.建设全省重要的区域交通物流枢纽需要乐山加快打造全国物流发展示范样板。省委、省政</w:t>
      </w:r>
      <w:r>
        <w:rPr>
          <w:rFonts w:hint="eastAsia" w:ascii="Times New Roman" w:hAnsi="Times New Roman" w:cs="Times New Roman"/>
          <w:color w:val="auto"/>
          <w:kern w:val="3"/>
          <w:sz w:val="32"/>
          <w:rtl w:val="0"/>
          <w:lang w:val="en-US" w:eastAsia="zh-CN"/>
        </w:rPr>
        <w:t>府印发了《关于支持乐山高质量发展加快提升区域中心城市能级的意见》，并赋予乐山打造具有国际竞争力的中国绿色硅谷、享誉全球的世界重要旅游目的地、全省重要的区域交通物流枢纽三大使命任务，支持乐山港打造成都平原经济区“天府港”。</w:t>
      </w:r>
      <w:r>
        <w:rPr>
          <w:rFonts w:hint="eastAsia" w:cs="Times New Roman"/>
          <w:color w:val="auto"/>
          <w:kern w:val="3"/>
          <w:sz w:val="32"/>
          <w:rtl w:val="0"/>
          <w:lang w:val="en-US" w:eastAsia="zh-CN"/>
        </w:rPr>
        <w:t>在乐山市打造全省重要的区域交通物流枢纽三年攻坚行动动员部署大会上，提出提升物流能级，建好物流枢纽体系，打造示范基地，提高物流服务水平和运输效率。当前，乐山机场即将建成通航，全省加快推动岷江畅通，国家级工程川藏铁路“十五五”末全线通车，长江三峡水运新通道即将开工，岷江、长江水运通道瓶颈将从根本上得到解决，这些都为乐山全面打造</w:t>
      </w:r>
      <w:r>
        <w:rPr>
          <w:rFonts w:hint="eastAsia" w:ascii="Times New Roman" w:hAnsi="Times New Roman" w:cs="Times New Roman"/>
          <w:color w:val="auto"/>
          <w:kern w:val="3"/>
          <w:sz w:val="32"/>
          <w:rtl w:val="0"/>
          <w:lang w:val="en-US" w:eastAsia="zh-CN"/>
        </w:rPr>
        <w:t>全省重要的区域交通物流枢纽</w:t>
      </w:r>
      <w:r>
        <w:rPr>
          <w:rFonts w:hint="eastAsia" w:cs="Times New Roman"/>
          <w:color w:val="auto"/>
          <w:kern w:val="3"/>
          <w:sz w:val="32"/>
          <w:rtl w:val="0"/>
          <w:lang w:val="en-US" w:eastAsia="zh-CN"/>
        </w:rPr>
        <w:t>，深度融入长江经济带发展和“一带一路”带来前所未有的重要机遇。</w:t>
      </w:r>
      <w:r>
        <w:rPr>
          <w:rFonts w:hint="eastAsia" w:ascii="Times New Roman" w:hAnsi="Times New Roman" w:cs="Times New Roman"/>
          <w:color w:val="auto"/>
          <w:kern w:val="3"/>
          <w:sz w:val="32"/>
          <w:rtl w:val="0"/>
          <w:lang w:val="en-US" w:eastAsia="zh-CN"/>
        </w:rPr>
        <w:t>乐山</w:t>
      </w:r>
      <w:r>
        <w:rPr>
          <w:rFonts w:hint="eastAsia" w:cs="Times New Roman"/>
          <w:color w:val="auto"/>
          <w:kern w:val="3"/>
          <w:sz w:val="32"/>
          <w:rtl w:val="0"/>
          <w:lang w:val="en-US" w:eastAsia="zh-CN"/>
        </w:rPr>
        <w:t>要</w:t>
      </w:r>
      <w:r>
        <w:rPr>
          <w:rFonts w:hint="eastAsia" w:ascii="Times New Roman" w:hAnsi="Times New Roman" w:cs="Times New Roman"/>
          <w:color w:val="auto"/>
          <w:kern w:val="3"/>
          <w:sz w:val="32"/>
          <w:rtl w:val="0"/>
          <w:lang w:val="en-US" w:eastAsia="zh-CN"/>
        </w:rPr>
        <w:t>充分发挥公铁水空四种运输方式齐全这一突出优势，</w:t>
      </w:r>
      <w:r>
        <w:rPr>
          <w:rFonts w:hint="eastAsia" w:cs="Times New Roman"/>
          <w:color w:val="auto"/>
          <w:kern w:val="3"/>
          <w:sz w:val="32"/>
          <w:rtl w:val="0"/>
          <w:lang w:val="en-US" w:eastAsia="zh-CN"/>
        </w:rPr>
        <w:t>以示范基地为载体，</w:t>
      </w:r>
      <w:r>
        <w:rPr>
          <w:rFonts w:hint="eastAsia" w:ascii="Times New Roman" w:hAnsi="Times New Roman" w:cs="Times New Roman"/>
          <w:color w:val="auto"/>
          <w:kern w:val="3"/>
          <w:sz w:val="32"/>
          <w:rtl w:val="0"/>
          <w:lang w:val="en-US" w:eastAsia="zh-CN"/>
        </w:rPr>
        <w:t>优化全市物流枢纽空间布局，补齐多式联运物流基础设施短板，通过构建现代化、智能化、绿色化的物流服务体系，</w:t>
      </w:r>
      <w:r>
        <w:rPr>
          <w:rFonts w:hint="eastAsia" w:cs="Times New Roman"/>
          <w:color w:val="auto"/>
          <w:kern w:val="3"/>
          <w:sz w:val="32"/>
          <w:rtl w:val="0"/>
          <w:lang w:val="en-US" w:eastAsia="zh-CN"/>
        </w:rPr>
        <w:t>实现多式联运信息开放共享，“一单制”“一箱制”突破发展，公转铁、公转水取得显著成效，有力支撑全省运输结构调整，</w:t>
      </w:r>
      <w:r>
        <w:rPr>
          <w:rFonts w:hint="eastAsia" w:ascii="Times New Roman" w:hAnsi="Times New Roman" w:cs="Times New Roman"/>
          <w:color w:val="auto"/>
          <w:kern w:val="3"/>
          <w:sz w:val="32"/>
          <w:rtl w:val="0"/>
          <w:lang w:val="en-US" w:eastAsia="zh-CN"/>
        </w:rPr>
        <w:t>全面提升乐山物流枢纽的综合服务能力和辐射带动能力，重塑乐山在中西部地区城市中的物流竞争</w:t>
      </w:r>
      <w:r>
        <w:rPr>
          <w:rFonts w:hint="eastAsia" w:cs="Times New Roman"/>
          <w:color w:val="auto"/>
          <w:kern w:val="3"/>
          <w:sz w:val="32"/>
          <w:rtl w:val="0"/>
          <w:lang w:val="en-US" w:eastAsia="zh-CN"/>
        </w:rPr>
        <w:t>格局</w:t>
      </w:r>
      <w:r>
        <w:rPr>
          <w:rFonts w:hint="eastAsia" w:ascii="Times New Roman" w:hAnsi="Times New Roman" w:cs="Times New Roman"/>
          <w:color w:val="auto"/>
          <w:kern w:val="3"/>
          <w:sz w:val="32"/>
          <w:rtl w:val="0"/>
          <w:lang w:val="en-US" w:eastAsia="zh-CN"/>
        </w:rPr>
        <w:t>。</w:t>
      </w:r>
    </w:p>
    <w:p>
      <w:pPr>
        <w:numPr>
          <w:ilvl w:val="0"/>
          <w:numId w:val="0"/>
        </w:numPr>
        <w:bidi w:val="0"/>
        <w:spacing w:line="640" w:lineRule="exact"/>
        <w:ind w:firstLine="640" w:firstLineChars="200"/>
        <w:rPr>
          <w:rFonts w:hint="eastAsia" w:ascii="Times New Roman" w:hAnsi="Times New Roman" w:cs="Times New Roman"/>
          <w:color w:val="auto"/>
          <w:kern w:val="3"/>
          <w:sz w:val="32"/>
          <w:rtl w:val="0"/>
          <w:lang w:val="en-US" w:eastAsia="zh-CN"/>
        </w:rPr>
      </w:pPr>
      <w:r>
        <w:rPr>
          <w:rFonts w:hint="eastAsia" w:cs="Times New Roman"/>
          <w:color w:val="auto"/>
          <w:kern w:val="3"/>
          <w:sz w:val="32"/>
          <w:rtl w:val="0"/>
          <w:lang w:val="en-US" w:eastAsia="zh-CN"/>
        </w:rPr>
        <w:t>因此，乐山建设示范基地，既是落实党中央、国务院，以及省委、省政府重大战略部署的内在要求，也是乐山补齐物流基础设施关键短板、服务自身经济产业高质量发展的战略举措，对于乐山加快形成布局合理、结构优化、集群成链、智慧绿色、特色鲜明的现代物流产业体系具有重要意义。</w:t>
      </w:r>
    </w:p>
    <w:p>
      <w:pPr>
        <w:pStyle w:val="4"/>
        <w:bidi w:val="0"/>
        <w:rPr>
          <w:rFonts w:hint="eastAsia"/>
          <w:color w:val="auto"/>
          <w:lang w:val="en-US" w:eastAsia="zh-CN"/>
        </w:rPr>
      </w:pPr>
      <w:bookmarkStart w:id="23" w:name="_Toc29529"/>
      <w:bookmarkStart w:id="24" w:name="_Toc46"/>
      <w:bookmarkStart w:id="25" w:name="_Toc23651"/>
      <w:bookmarkStart w:id="26" w:name="_Toc15288"/>
      <w:bookmarkStart w:id="27" w:name="_Toc2749"/>
      <w:bookmarkStart w:id="28" w:name="_Toc30269"/>
      <w:bookmarkStart w:id="29" w:name="_Toc468"/>
      <w:r>
        <w:rPr>
          <w:rFonts w:hint="eastAsia"/>
          <w:color w:val="auto"/>
          <w:lang w:val="en-US" w:eastAsia="zh-CN"/>
        </w:rPr>
        <w:t>编制依据</w:t>
      </w:r>
      <w:bookmarkEnd w:id="23"/>
      <w:bookmarkEnd w:id="24"/>
      <w:bookmarkEnd w:id="25"/>
      <w:bookmarkEnd w:id="26"/>
      <w:bookmarkEnd w:id="27"/>
      <w:bookmarkEnd w:id="28"/>
      <w:bookmarkEnd w:id="29"/>
    </w:p>
    <w:p>
      <w:pPr>
        <w:keepNext w:val="0"/>
        <w:keepLines w:val="0"/>
        <w:pageBreakBefore w:val="0"/>
        <w:widowControl w:val="0"/>
        <w:numPr>
          <w:ilvl w:val="0"/>
          <w:numId w:val="0"/>
        </w:numPr>
        <w:kinsoku/>
        <w:wordWrap/>
        <w:overflowPunct/>
        <w:topLinePunct w:val="0"/>
        <w:autoSpaceDE/>
        <w:autoSpaceDN/>
        <w:bidi w:val="0"/>
        <w:adjustRightInd w:val="0"/>
        <w:snapToGrid w:val="0"/>
        <w:spacing w:line="640" w:lineRule="exact"/>
        <w:ind w:left="0" w:leftChars="0" w:firstLine="640" w:firstLineChars="200"/>
        <w:textAlignment w:val="auto"/>
        <w:rPr>
          <w:rFonts w:hint="eastAsia" w:ascii="仿宋_GB2312" w:hAnsi="仿宋_GB2312" w:eastAsia="仿宋_GB2312" w:cs="仿宋_GB2312"/>
          <w:color w:val="auto"/>
          <w:kern w:val="3"/>
          <w:sz w:val="32"/>
          <w:rtl w:val="0"/>
          <w:lang w:val="en-US" w:eastAsia="zh-CN"/>
        </w:rPr>
      </w:pPr>
      <w:r>
        <w:rPr>
          <w:rFonts w:hint="eastAsia" w:ascii="仿宋_GB2312" w:hAnsi="仿宋_GB2312" w:eastAsia="仿宋_GB2312" w:cs="仿宋_GB2312"/>
          <w:color w:val="auto"/>
          <w:kern w:val="3"/>
          <w:sz w:val="32"/>
          <w:rtl w:val="0"/>
          <w:lang w:val="en-US" w:eastAsia="zh-CN"/>
        </w:rPr>
        <w:t>1.中共中央办公厅、国务院办公厅，《有效降低全社会物流成本行动方案》，2024年11月；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640" w:lineRule="exact"/>
        <w:ind w:left="0" w:leftChars="0" w:firstLine="640" w:firstLineChars="200"/>
        <w:textAlignment w:val="auto"/>
        <w:rPr>
          <w:rFonts w:hint="eastAsia" w:ascii="仿宋_GB2312" w:hAnsi="仿宋_GB2312" w:eastAsia="仿宋_GB2312" w:cs="仿宋_GB2312"/>
          <w:color w:val="auto"/>
          <w:kern w:val="3"/>
          <w:sz w:val="32"/>
          <w:rtl w:val="0"/>
          <w:lang w:val="en-US" w:eastAsia="zh-CN"/>
        </w:rPr>
      </w:pPr>
      <w:r>
        <w:rPr>
          <w:rFonts w:hint="eastAsia" w:ascii="仿宋_GB2312" w:hAnsi="仿宋_GB2312" w:eastAsia="仿宋_GB2312" w:cs="仿宋_GB2312"/>
          <w:color w:val="auto"/>
          <w:kern w:val="3"/>
          <w:sz w:val="32"/>
          <w:rtl w:val="0"/>
          <w:lang w:val="en-US" w:eastAsia="zh-CN"/>
        </w:rPr>
        <w:t>2.交通运输部、国家发展改革委，《交通物流降本提质增效行动计划》，2024年11月；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640" w:lineRule="exact"/>
        <w:ind w:left="0" w:leftChars="0" w:firstLine="640" w:firstLineChars="200"/>
        <w:textAlignment w:val="auto"/>
        <w:rPr>
          <w:rFonts w:hint="eastAsia" w:ascii="仿宋_GB2312" w:hAnsi="仿宋_GB2312" w:eastAsia="仿宋_GB2312" w:cs="仿宋_GB2312"/>
          <w:color w:val="auto"/>
          <w:kern w:val="3"/>
          <w:sz w:val="32"/>
          <w:rtl w:val="0"/>
          <w:lang w:val="en-US" w:eastAsia="zh-CN"/>
        </w:rPr>
      </w:pPr>
      <w:r>
        <w:rPr>
          <w:rFonts w:hint="eastAsia" w:ascii="仿宋_GB2312" w:hAnsi="仿宋_GB2312" w:eastAsia="仿宋_GB2312" w:cs="仿宋_GB2312"/>
          <w:color w:val="auto"/>
          <w:kern w:val="3"/>
          <w:sz w:val="32"/>
          <w:rtl w:val="0"/>
          <w:lang w:val="en-US" w:eastAsia="zh-CN"/>
        </w:rPr>
        <w:t>3.中共四川省委、四川省人民政府，《关于支持乐山高质量发展加快提升区域中心城市能级的意见》，2023年12月；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640" w:lineRule="exact"/>
        <w:ind w:left="0" w:leftChars="0" w:firstLine="640" w:firstLineChars="200"/>
        <w:textAlignment w:val="auto"/>
        <w:rPr>
          <w:rFonts w:hint="eastAsia" w:ascii="仿宋_GB2312" w:hAnsi="仿宋_GB2312" w:eastAsia="仿宋_GB2312" w:cs="仿宋_GB2312"/>
          <w:color w:val="auto"/>
          <w:kern w:val="3"/>
          <w:sz w:val="32"/>
          <w:rtl w:val="0"/>
          <w:lang w:val="en-US" w:eastAsia="zh-CN"/>
        </w:rPr>
      </w:pPr>
      <w:r>
        <w:rPr>
          <w:rFonts w:hint="eastAsia" w:ascii="仿宋_GB2312" w:hAnsi="仿宋_GB2312" w:eastAsia="仿宋_GB2312" w:cs="仿宋_GB2312"/>
          <w:color w:val="auto"/>
          <w:kern w:val="3"/>
          <w:sz w:val="32"/>
          <w:rtl w:val="0"/>
          <w:lang w:val="en-US" w:eastAsia="zh-CN"/>
        </w:rPr>
        <w:t>4.四川省交通运输厅、四川省发展改革委，《四川省交通物流降本提质增效实施方案》，2025年3月；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640" w:lineRule="exact"/>
        <w:ind w:left="0" w:leftChars="0" w:firstLine="640" w:firstLineChars="200"/>
        <w:textAlignment w:val="auto"/>
        <w:rPr>
          <w:rFonts w:hint="eastAsia" w:ascii="仿宋_GB2312" w:hAnsi="仿宋_GB2312" w:eastAsia="仿宋_GB2312" w:cs="仿宋_GB2312"/>
          <w:color w:val="auto"/>
          <w:kern w:val="3"/>
          <w:sz w:val="32"/>
          <w:rtl w:val="0"/>
          <w:lang w:val="en-US" w:eastAsia="zh-CN"/>
        </w:rPr>
      </w:pPr>
      <w:r>
        <w:rPr>
          <w:rFonts w:hint="eastAsia" w:ascii="仿宋_GB2312" w:hAnsi="仿宋_GB2312" w:eastAsia="仿宋_GB2312" w:cs="仿宋_GB2312"/>
          <w:color w:val="auto"/>
          <w:kern w:val="3"/>
          <w:sz w:val="32"/>
          <w:rtl w:val="0"/>
          <w:lang w:val="en-US" w:eastAsia="zh-CN"/>
        </w:rPr>
        <w:t>5.四</w:t>
      </w:r>
      <w:r>
        <w:rPr>
          <w:rFonts w:hint="eastAsia" w:ascii="仿宋_GB2312" w:hAnsi="仿宋_GB2312" w:eastAsia="仿宋_GB2312" w:cs="仿宋_GB2312"/>
          <w:color w:val="auto"/>
          <w:spacing w:val="-17"/>
          <w:kern w:val="3"/>
          <w:sz w:val="32"/>
          <w:rtl w:val="0"/>
          <w:lang w:val="en-US" w:eastAsia="zh-CN"/>
        </w:rPr>
        <w:t>川省交通运输厅，《四川省现代物流产业链协同推进方案（2025—</w:t>
      </w:r>
      <w:r>
        <w:rPr>
          <w:rFonts w:hint="eastAsia" w:ascii="仿宋_GB2312" w:hAnsi="仿宋_GB2312" w:eastAsia="仿宋_GB2312" w:cs="仿宋_GB2312"/>
          <w:color w:val="auto"/>
          <w:kern w:val="3"/>
          <w:sz w:val="32"/>
          <w:rtl w:val="0"/>
          <w:lang w:val="en-US" w:eastAsia="zh-CN"/>
        </w:rPr>
        <w:t>2027年）》，2025年4月；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640" w:lineRule="exact"/>
        <w:ind w:left="0" w:leftChars="0" w:firstLine="640" w:firstLineChars="200"/>
        <w:textAlignment w:val="auto"/>
        <w:rPr>
          <w:rFonts w:hint="eastAsia" w:ascii="仿宋_GB2312" w:hAnsi="仿宋_GB2312" w:eastAsia="仿宋_GB2312" w:cs="仿宋_GB2312"/>
          <w:color w:val="auto"/>
          <w:kern w:val="3"/>
          <w:sz w:val="32"/>
          <w:rtl w:val="0"/>
          <w:lang w:val="en-US" w:eastAsia="zh-CN"/>
        </w:rPr>
      </w:pPr>
      <w:r>
        <w:rPr>
          <w:rFonts w:hint="eastAsia" w:ascii="仿宋_GB2312" w:hAnsi="仿宋_GB2312" w:eastAsia="仿宋_GB2312" w:cs="仿宋_GB2312"/>
          <w:color w:val="auto"/>
          <w:kern w:val="3"/>
          <w:sz w:val="32"/>
          <w:rtl w:val="0"/>
          <w:lang w:val="en-US" w:eastAsia="zh-CN"/>
        </w:rPr>
        <w:t>6.四川省交通运输厅，《四川省推进多式联运高质量发展行动方案》，2025年4月；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640" w:lineRule="exact"/>
        <w:ind w:left="0" w:leftChars="0" w:firstLine="640" w:firstLineChars="200"/>
        <w:textAlignment w:val="auto"/>
        <w:rPr>
          <w:rFonts w:hint="eastAsia" w:ascii="仿宋_GB2312" w:hAnsi="仿宋_GB2312" w:eastAsia="仿宋_GB2312" w:cs="仿宋_GB2312"/>
          <w:color w:val="auto"/>
          <w:kern w:val="3"/>
          <w:sz w:val="32"/>
          <w:rtl w:val="0"/>
          <w:lang w:val="en-US" w:eastAsia="zh-CN"/>
        </w:rPr>
      </w:pPr>
      <w:r>
        <w:rPr>
          <w:rFonts w:hint="eastAsia" w:ascii="仿宋_GB2312" w:hAnsi="仿宋_GB2312" w:eastAsia="仿宋_GB2312" w:cs="仿宋_GB2312"/>
          <w:color w:val="auto"/>
          <w:kern w:val="3"/>
          <w:sz w:val="32"/>
          <w:rtl w:val="0"/>
          <w:lang w:val="en-US" w:eastAsia="zh-CN"/>
        </w:rPr>
        <w:t>7.中共乐山市委、乐山市人民政府，《乐山市打造全省重要的区域交通物流枢纽三年攻坚计划（2025—2027年）》，2025年6月；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640" w:lineRule="exact"/>
        <w:ind w:left="0" w:leftChars="0" w:firstLine="640" w:firstLineChars="200"/>
        <w:textAlignment w:val="auto"/>
        <w:rPr>
          <w:rFonts w:hint="eastAsia" w:ascii="仿宋_GB2312" w:hAnsi="仿宋_GB2312" w:eastAsia="仿宋_GB2312" w:cs="仿宋_GB2312"/>
          <w:color w:val="auto"/>
          <w:kern w:val="3"/>
          <w:sz w:val="32"/>
          <w:rtl w:val="0"/>
          <w:lang w:val="en-US" w:eastAsia="zh-CN"/>
        </w:rPr>
      </w:pPr>
      <w:r>
        <w:rPr>
          <w:rFonts w:hint="eastAsia" w:ascii="仿宋_GB2312" w:hAnsi="仿宋_GB2312" w:eastAsia="仿宋_GB2312" w:cs="仿宋_GB2312"/>
          <w:color w:val="auto"/>
          <w:kern w:val="3"/>
          <w:sz w:val="32"/>
          <w:rtl w:val="0"/>
          <w:lang w:val="en-US" w:eastAsia="zh-CN"/>
        </w:rPr>
        <w:t>8.乐山市人民政府，《乐山市国土空间总体规划（2021—2035年）》，2024年11月；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640" w:lineRule="exact"/>
        <w:ind w:left="0" w:leftChars="0" w:firstLine="640" w:firstLineChars="200"/>
        <w:textAlignment w:val="auto"/>
        <w:rPr>
          <w:rFonts w:hint="eastAsia" w:ascii="Times New Roman" w:hAnsi="Times New Roman" w:cs="Times New Roman"/>
          <w:color w:val="auto"/>
          <w:kern w:val="3"/>
          <w:sz w:val="32"/>
          <w:rtl w:val="0"/>
          <w:lang w:val="en-US" w:eastAsia="zh-CN"/>
        </w:rPr>
      </w:pPr>
      <w:r>
        <w:rPr>
          <w:rFonts w:hint="eastAsia" w:ascii="仿宋_GB2312" w:hAnsi="仿宋_GB2312" w:eastAsia="仿宋_GB2312" w:cs="仿宋_GB2312"/>
          <w:color w:val="auto"/>
          <w:kern w:val="3"/>
          <w:sz w:val="32"/>
          <w:rtl w:val="0"/>
          <w:lang w:val="en-US" w:eastAsia="zh-CN"/>
        </w:rPr>
        <w:t>9.乐山市人民政府办公室，《乐山港总体规划（2023—2035年）》，2025年3月。</w:t>
      </w:r>
    </w:p>
    <w:p>
      <w:pPr>
        <w:pStyle w:val="4"/>
        <w:bidi w:val="0"/>
        <w:rPr>
          <w:rFonts w:hint="eastAsia"/>
          <w:color w:val="auto"/>
          <w:lang w:val="en-US" w:eastAsia="zh-CN"/>
        </w:rPr>
      </w:pPr>
      <w:bookmarkStart w:id="30" w:name="_Toc19671"/>
      <w:bookmarkStart w:id="31" w:name="_Toc4005"/>
      <w:bookmarkStart w:id="32" w:name="_Toc19963"/>
      <w:bookmarkStart w:id="33" w:name="_Toc28595"/>
      <w:bookmarkStart w:id="34" w:name="_Toc27303"/>
      <w:bookmarkStart w:id="35" w:name="_Toc32502"/>
      <w:bookmarkStart w:id="36" w:name="_Toc10010"/>
      <w:r>
        <w:rPr>
          <w:rFonts w:hint="eastAsia"/>
          <w:color w:val="auto"/>
          <w:lang w:val="en-US" w:eastAsia="zh-CN"/>
        </w:rPr>
        <w:t>规划内容与期限</w:t>
      </w:r>
      <w:bookmarkEnd w:id="30"/>
      <w:bookmarkEnd w:id="31"/>
      <w:bookmarkEnd w:id="32"/>
      <w:bookmarkEnd w:id="33"/>
      <w:bookmarkEnd w:id="34"/>
      <w:bookmarkEnd w:id="35"/>
      <w:bookmarkEnd w:id="36"/>
    </w:p>
    <w:p>
      <w:pPr>
        <w:spacing w:line="600" w:lineRule="exact"/>
        <w:ind w:firstLine="640" w:firstLineChars="200"/>
        <w:rPr>
          <w:rFonts w:hint="default" w:eastAsia="楷体"/>
          <w:color w:val="auto"/>
          <w:lang w:val="en-US" w:eastAsia="zh-CN"/>
        </w:rPr>
      </w:pPr>
      <w:r>
        <w:rPr>
          <w:rFonts w:hint="eastAsia" w:cs="Times New Roman"/>
          <w:b w:val="0"/>
          <w:bCs w:val="0"/>
          <w:color w:val="auto"/>
          <w:sz w:val="32"/>
          <w:szCs w:val="32"/>
          <w:lang w:val="en-US" w:eastAsia="zh-CN"/>
        </w:rPr>
        <w:t>本项目充分结合乐山市国土空间规划和乐山港总体规划，围绕服务产业和保障民生，规划</w:t>
      </w:r>
      <w:r>
        <w:rPr>
          <w:rFonts w:hint="eastAsia" w:ascii="Times New Roman" w:hAnsi="Times New Roman"/>
          <w:color w:val="auto"/>
          <w:lang w:val="en-US" w:eastAsia="zh-CN"/>
        </w:rPr>
        <w:t>研究</w:t>
      </w:r>
      <w:r>
        <w:rPr>
          <w:rFonts w:hint="eastAsia" w:cs="Times New Roman"/>
          <w:b w:val="0"/>
          <w:bCs w:val="0"/>
          <w:color w:val="auto"/>
          <w:sz w:val="32"/>
          <w:szCs w:val="32"/>
          <w:lang w:val="en-US" w:eastAsia="zh-CN"/>
        </w:rPr>
        <w:t>示范基地的目标定位、布局选址、功能布局、开发模式等重点内容，明确近远期建设重点项目，并提出保障措施建议。</w:t>
      </w:r>
    </w:p>
    <w:p>
      <w:pPr>
        <w:spacing w:line="600" w:lineRule="exact"/>
        <w:ind w:firstLine="640" w:firstLineChars="200"/>
        <w:rPr>
          <w:rFonts w:hint="eastAsia"/>
          <w:color w:val="auto"/>
          <w:lang w:val="en-US" w:eastAsia="zh-CN"/>
        </w:rPr>
      </w:pPr>
      <w:r>
        <w:rPr>
          <w:color w:val="auto"/>
        </w:rPr>
        <w:t>本</w:t>
      </w:r>
      <w:r>
        <w:rPr>
          <w:rFonts w:hint="eastAsia"/>
          <w:color w:val="auto"/>
          <w:lang w:val="en-US" w:eastAsia="zh-CN"/>
        </w:rPr>
        <w:t>规划</w:t>
      </w:r>
      <w:r>
        <w:rPr>
          <w:color w:val="auto"/>
        </w:rPr>
        <w:t>以20</w:t>
      </w:r>
      <w:r>
        <w:rPr>
          <w:rFonts w:hint="eastAsia"/>
          <w:color w:val="auto"/>
          <w:lang w:val="en-US" w:eastAsia="zh-CN"/>
        </w:rPr>
        <w:t>25</w:t>
      </w:r>
      <w:r>
        <w:rPr>
          <w:color w:val="auto"/>
        </w:rPr>
        <w:t>年为研究基准年，近期年限为20</w:t>
      </w:r>
      <w:r>
        <w:rPr>
          <w:rFonts w:hint="eastAsia"/>
          <w:color w:val="auto"/>
          <w:lang w:val="en-US" w:eastAsia="zh-CN"/>
        </w:rPr>
        <w:t>30年，远期</w:t>
      </w:r>
      <w:r>
        <w:rPr>
          <w:color w:val="auto"/>
        </w:rPr>
        <w:t>为203</w:t>
      </w:r>
      <w:r>
        <w:rPr>
          <w:rFonts w:hint="eastAsia"/>
          <w:color w:val="auto"/>
          <w:lang w:val="en-US" w:eastAsia="zh-CN"/>
        </w:rPr>
        <w:t>5</w:t>
      </w:r>
      <w:r>
        <w:rPr>
          <w:color w:val="auto"/>
        </w:rPr>
        <w:t>年</w:t>
      </w:r>
      <w:r>
        <w:rPr>
          <w:rFonts w:hint="eastAsia"/>
          <w:color w:val="auto"/>
          <w:lang w:eastAsia="zh-CN"/>
        </w:rPr>
        <w:t>，</w:t>
      </w:r>
      <w:r>
        <w:rPr>
          <w:rFonts w:hint="eastAsia"/>
          <w:color w:val="auto"/>
          <w:lang w:val="en-US" w:eastAsia="zh-CN"/>
        </w:rPr>
        <w:t>远景展望至2040年</w:t>
      </w:r>
      <w:r>
        <w:rPr>
          <w:rFonts w:hint="eastAsia" w:ascii="Times New Roman" w:hAnsi="Times New Roman" w:eastAsia="仿宋_GB2312" w:cs="Times New Roman"/>
          <w:b w:val="0"/>
          <w:bCs w:val="0"/>
          <w:color w:val="auto"/>
          <w:sz w:val="32"/>
          <w:szCs w:val="32"/>
          <w:lang w:val="en-US" w:eastAsia="zh-CN"/>
        </w:rPr>
        <w:t>。</w:t>
      </w:r>
    </w:p>
    <w:p>
      <w:pPr>
        <w:pStyle w:val="4"/>
        <w:keepNext/>
        <w:keepLines/>
        <w:pageBreakBefore w:val="0"/>
        <w:widowControl w:val="0"/>
        <w:kinsoku/>
        <w:wordWrap/>
        <w:overflowPunct/>
        <w:topLinePunct w:val="0"/>
        <w:autoSpaceDE/>
        <w:autoSpaceDN/>
        <w:bidi w:val="0"/>
        <w:adjustRightInd w:val="0"/>
        <w:snapToGrid/>
        <w:textAlignment w:val="auto"/>
        <w:rPr>
          <w:rFonts w:hint="default"/>
          <w:color w:val="auto"/>
          <w:lang w:val="en-US" w:eastAsia="zh-CN"/>
        </w:rPr>
      </w:pPr>
      <w:bookmarkStart w:id="37" w:name="_Toc16949"/>
      <w:bookmarkStart w:id="38" w:name="_Toc548"/>
      <w:bookmarkStart w:id="39" w:name="_Toc11681"/>
      <w:bookmarkStart w:id="40" w:name="_Toc18519"/>
      <w:bookmarkStart w:id="41" w:name="_Toc11174"/>
      <w:bookmarkStart w:id="42" w:name="_Toc21706"/>
      <w:bookmarkStart w:id="43" w:name="_Toc4706"/>
      <w:r>
        <w:rPr>
          <w:rFonts w:hint="eastAsia"/>
          <w:color w:val="auto"/>
          <w:lang w:val="en-US" w:eastAsia="zh-CN"/>
        </w:rPr>
        <w:t>技术路线</w:t>
      </w:r>
      <w:bookmarkEnd w:id="37"/>
      <w:bookmarkEnd w:id="38"/>
      <w:bookmarkEnd w:id="39"/>
      <w:bookmarkEnd w:id="40"/>
      <w:bookmarkEnd w:id="41"/>
      <w:bookmarkEnd w:id="42"/>
      <w:bookmarkEnd w:id="43"/>
    </w:p>
    <w:p>
      <w:pPr>
        <w:spacing w:line="600" w:lineRule="exact"/>
        <w:ind w:firstLine="640" w:firstLineChars="200"/>
        <w:rPr>
          <w:rFonts w:hint="default" w:ascii="Times New Roman" w:hAnsi="Times New Roman" w:cs="Times New Roman"/>
          <w:color w:val="auto"/>
          <w:kern w:val="3"/>
          <w:sz w:val="32"/>
          <w:rtl w:val="0"/>
          <w:lang w:val="en-US" w:eastAsia="zh-CN"/>
        </w:rPr>
      </w:pPr>
      <w:r>
        <w:rPr>
          <w:rFonts w:hint="eastAsia" w:ascii="Times New Roman" w:hAnsi="Times New Roman"/>
          <w:color w:val="auto"/>
          <w:rtl w:val="0"/>
          <w:lang w:val="en-US" w:eastAsia="zh-CN"/>
        </w:rPr>
        <w:t>本规划</w:t>
      </w:r>
      <w:r>
        <w:rPr>
          <w:rFonts w:hint="eastAsia" w:ascii="Times New Roman" w:hAnsi="Times New Roman"/>
          <w:color w:val="auto"/>
          <w:lang w:val="en-US" w:eastAsia="zh-CN"/>
        </w:rPr>
        <w:t>采用“需求导向、目标导向”相结合的方法，对示范基地建设规划方案进行研究。</w:t>
      </w:r>
    </w:p>
    <w:p>
      <w:pPr>
        <w:keepNext w:val="0"/>
        <w:keepLines w:val="0"/>
        <w:pageBreakBefore w:val="0"/>
        <w:widowControl w:val="0"/>
        <w:suppressLineNumbers w:val="0"/>
        <w:kinsoku/>
        <w:wordWrap/>
        <w:overflowPunct/>
        <w:topLinePunct w:val="0"/>
        <w:autoSpaceDE/>
        <w:autoSpaceDN/>
        <w:bidi w:val="0"/>
        <w:adjustRightInd/>
        <w:snapToGrid/>
        <w:jc w:val="left"/>
        <w:textAlignment w:val="auto"/>
        <w:rPr>
          <w:rFonts w:hint="eastAsia" w:ascii="Times New Roman" w:hAnsi="Times New Roman" w:cs="Times New Roman"/>
          <w:color w:val="auto"/>
          <w:kern w:val="3"/>
          <w:sz w:val="32"/>
          <w:rtl w:val="0"/>
          <w:lang w:val="en-US" w:eastAsia="zh-CN"/>
        </w:rPr>
      </w:pPr>
      <w:r>
        <w:rPr>
          <w:rFonts w:hint="eastAsia" w:ascii="Times New Roman" w:hAnsi="Times New Roman" w:cs="Times New Roman"/>
          <w:color w:val="auto"/>
          <w:kern w:val="3"/>
          <w:sz w:val="32"/>
          <w:rtl w:val="0"/>
          <w:lang w:val="en-US" w:eastAsia="zh-CN"/>
        </w:rPr>
        <w:t>——充分分析乐山经济产业发展情况，在深入调研的基础上系统总结全市物流发展基础条件和货运物流需求现状。</w:t>
      </w:r>
    </w:p>
    <w:p>
      <w:pPr>
        <w:keepNext w:val="0"/>
        <w:keepLines w:val="0"/>
        <w:pageBreakBefore w:val="0"/>
        <w:widowControl w:val="0"/>
        <w:suppressLineNumbers w:val="0"/>
        <w:kinsoku/>
        <w:wordWrap/>
        <w:overflowPunct/>
        <w:topLinePunct w:val="0"/>
        <w:autoSpaceDE/>
        <w:autoSpaceDN/>
        <w:bidi w:val="0"/>
        <w:adjustRightInd/>
        <w:snapToGrid/>
        <w:jc w:val="left"/>
        <w:textAlignment w:val="auto"/>
        <w:rPr>
          <w:rFonts w:hint="eastAsia" w:ascii="Times New Roman" w:hAnsi="Times New Roman" w:cs="Times New Roman"/>
          <w:color w:val="auto"/>
          <w:kern w:val="3"/>
          <w:sz w:val="32"/>
          <w:rtl w:val="0"/>
          <w:lang w:val="en-US" w:eastAsia="zh-CN"/>
        </w:rPr>
      </w:pPr>
      <w:r>
        <w:rPr>
          <w:rFonts w:hint="eastAsia" w:ascii="Times New Roman" w:hAnsi="Times New Roman" w:cs="Times New Roman"/>
          <w:color w:val="auto"/>
          <w:kern w:val="3"/>
          <w:sz w:val="32"/>
          <w:rtl w:val="0"/>
          <w:lang w:val="en-US" w:eastAsia="zh-CN"/>
        </w:rPr>
        <w:t>——结合经济社会发展趋势科学预测未来全市货运流量流向分布，学习借鉴</w:t>
      </w:r>
      <w:r>
        <w:rPr>
          <w:rFonts w:hint="eastAsia" w:cs="Times New Roman"/>
          <w:color w:val="auto"/>
          <w:kern w:val="3"/>
          <w:sz w:val="32"/>
          <w:rtl w:val="0"/>
          <w:lang w:val="en-US" w:eastAsia="zh-CN"/>
        </w:rPr>
        <w:t>发达</w:t>
      </w:r>
      <w:r>
        <w:rPr>
          <w:rFonts w:hint="eastAsia" w:ascii="Times New Roman" w:hAnsi="Times New Roman" w:cs="Times New Roman"/>
          <w:color w:val="auto"/>
          <w:kern w:val="3"/>
          <w:sz w:val="32"/>
          <w:rtl w:val="0"/>
          <w:lang w:val="en-US" w:eastAsia="zh-CN"/>
        </w:rPr>
        <w:t>地区在多式联运园区建设、运营等方面的典型经验，综合提出示范基地应具有的特征。</w:t>
      </w:r>
    </w:p>
    <w:p>
      <w:pPr>
        <w:keepNext w:val="0"/>
        <w:keepLines w:val="0"/>
        <w:widowControl/>
        <w:suppressLineNumbers w:val="0"/>
        <w:jc w:val="left"/>
        <w:rPr>
          <w:rFonts w:hint="eastAsia" w:ascii="Times New Roman" w:hAnsi="Times New Roman" w:cs="Times New Roman"/>
          <w:color w:val="auto"/>
          <w:kern w:val="3"/>
          <w:sz w:val="32"/>
          <w:rtl w:val="0"/>
          <w:lang w:val="en-US" w:eastAsia="zh-CN"/>
        </w:rPr>
      </w:pPr>
      <w:r>
        <w:rPr>
          <w:rFonts w:hint="eastAsia" w:ascii="Times New Roman" w:hAnsi="Times New Roman" w:cs="Times New Roman"/>
          <w:color w:val="auto"/>
          <w:kern w:val="3"/>
          <w:sz w:val="32"/>
          <w:rtl w:val="0"/>
          <w:lang w:val="en-US" w:eastAsia="zh-CN"/>
        </w:rPr>
        <w:t>——立足乐山区位优势和物流发展基础条件，响应国省战略对乐山区域物流枢纽建设的要求，提出示范基地的战略定位和主要承载功能，明确2030、2035年近</w:t>
      </w:r>
      <w:r>
        <w:rPr>
          <w:rFonts w:hint="eastAsia" w:cs="Times New Roman"/>
          <w:color w:val="auto"/>
          <w:kern w:val="3"/>
          <w:sz w:val="32"/>
          <w:rtl w:val="0"/>
          <w:lang w:val="en-US" w:eastAsia="zh-CN"/>
        </w:rPr>
        <w:t>远</w:t>
      </w:r>
      <w:r>
        <w:rPr>
          <w:rFonts w:hint="eastAsia" w:ascii="Times New Roman" w:hAnsi="Times New Roman" w:cs="Times New Roman"/>
          <w:color w:val="auto"/>
          <w:kern w:val="3"/>
          <w:sz w:val="32"/>
          <w:rtl w:val="0"/>
          <w:lang w:val="en-US" w:eastAsia="zh-CN"/>
        </w:rPr>
        <w:t>期发展总体目标及远景展望，在此基础上提出示范基地发展的总体策略。</w:t>
      </w:r>
    </w:p>
    <w:p>
      <w:pPr>
        <w:keepNext w:val="0"/>
        <w:keepLines w:val="0"/>
        <w:widowControl/>
        <w:suppressLineNumbers w:val="0"/>
        <w:jc w:val="left"/>
        <w:rPr>
          <w:rFonts w:hint="default" w:ascii="Times New Roman" w:hAnsi="Times New Roman" w:cs="Times New Roman"/>
          <w:color w:val="auto"/>
          <w:kern w:val="3"/>
          <w:sz w:val="32"/>
          <w:rtl w:val="0"/>
          <w:lang w:val="en-US" w:eastAsia="zh-CN"/>
        </w:rPr>
      </w:pPr>
      <w:r>
        <w:rPr>
          <w:rFonts w:hint="eastAsia" w:ascii="Times New Roman" w:hAnsi="Times New Roman" w:cs="Times New Roman"/>
          <w:color w:val="auto"/>
          <w:kern w:val="3"/>
          <w:sz w:val="32"/>
          <w:rtl w:val="0"/>
          <w:lang w:val="en-US" w:eastAsia="zh-CN"/>
        </w:rPr>
        <w:t>——从示范基地周边物流通道设施基础和货源腹地范围阐述未来示范基地建设的支撑条件，明确示范基地的空间范围，以及示范基地内功能分区、占地规模、关键设施布局方案。</w:t>
      </w:r>
    </w:p>
    <w:p>
      <w:pPr>
        <w:keepNext w:val="0"/>
        <w:keepLines w:val="0"/>
        <w:widowControl/>
        <w:suppressLineNumbers w:val="0"/>
        <w:jc w:val="left"/>
        <w:rPr>
          <w:rFonts w:hint="eastAsia" w:ascii="Times New Roman" w:hAnsi="Times New Roman" w:cs="Times New Roman"/>
          <w:color w:val="auto"/>
          <w:kern w:val="3"/>
          <w:sz w:val="32"/>
          <w:rtl w:val="0"/>
          <w:lang w:val="en-US" w:eastAsia="zh-CN"/>
        </w:rPr>
      </w:pPr>
      <w:r>
        <w:rPr>
          <w:rFonts w:hint="eastAsia" w:ascii="Times New Roman" w:hAnsi="Times New Roman" w:cs="Times New Roman"/>
          <w:color w:val="auto"/>
          <w:kern w:val="3"/>
          <w:sz w:val="32"/>
          <w:rtl w:val="0"/>
          <w:lang w:val="en-US" w:eastAsia="zh-CN"/>
        </w:rPr>
        <w:t>——阐述示范基地</w:t>
      </w:r>
      <w:r>
        <w:rPr>
          <w:rFonts w:hint="eastAsia" w:cs="Times New Roman"/>
          <w:color w:val="auto"/>
          <w:kern w:val="3"/>
          <w:sz w:val="32"/>
          <w:rtl w:val="0"/>
          <w:lang w:val="en-US" w:eastAsia="zh-CN"/>
        </w:rPr>
        <w:t>建设</w:t>
      </w:r>
      <w:r>
        <w:rPr>
          <w:rFonts w:hint="eastAsia" w:ascii="Times New Roman" w:hAnsi="Times New Roman" w:cs="Times New Roman"/>
          <w:color w:val="auto"/>
          <w:kern w:val="3"/>
          <w:sz w:val="32"/>
          <w:rtl w:val="0"/>
          <w:lang w:val="en-US" w:eastAsia="zh-CN"/>
        </w:rPr>
        <w:t>可选择的开发模</w:t>
      </w:r>
      <w:r>
        <w:rPr>
          <w:rFonts w:hint="eastAsia" w:cs="Times New Roman"/>
          <w:color w:val="auto"/>
          <w:kern w:val="3"/>
          <w:sz w:val="32"/>
          <w:rtl w:val="0"/>
          <w:lang w:val="en-US" w:eastAsia="zh-CN"/>
        </w:rPr>
        <w:t>式和</w:t>
      </w:r>
      <w:r>
        <w:rPr>
          <w:rFonts w:hint="eastAsia" w:ascii="Times New Roman" w:hAnsi="Times New Roman" w:cs="Times New Roman"/>
          <w:color w:val="auto"/>
          <w:kern w:val="3"/>
          <w:sz w:val="32"/>
          <w:rtl w:val="0"/>
          <w:lang w:val="en-US" w:eastAsia="zh-CN"/>
        </w:rPr>
        <w:t>方式，并结合乐山实际提出开发模式建议，明确</w:t>
      </w:r>
      <w:r>
        <w:rPr>
          <w:rFonts w:hint="eastAsia" w:cs="Times New Roman"/>
          <w:color w:val="auto"/>
          <w:kern w:val="3"/>
          <w:sz w:val="32"/>
          <w:rtl w:val="0"/>
          <w:lang w:val="en-US" w:eastAsia="zh-CN"/>
        </w:rPr>
        <w:t>近远期</w:t>
      </w:r>
      <w:r>
        <w:rPr>
          <w:rFonts w:hint="eastAsia" w:ascii="Times New Roman" w:hAnsi="Times New Roman" w:cs="Times New Roman"/>
          <w:color w:val="auto"/>
          <w:kern w:val="3"/>
          <w:sz w:val="32"/>
          <w:rtl w:val="0"/>
          <w:lang w:val="en-US" w:eastAsia="zh-CN"/>
        </w:rPr>
        <w:t>建设安排和</w:t>
      </w:r>
      <w:r>
        <w:rPr>
          <w:rFonts w:hint="eastAsia" w:cs="Times New Roman"/>
          <w:color w:val="auto"/>
          <w:kern w:val="3"/>
          <w:sz w:val="32"/>
          <w:rtl w:val="0"/>
          <w:lang w:val="en-US" w:eastAsia="zh-CN"/>
        </w:rPr>
        <w:t>保障措施</w:t>
      </w:r>
      <w:r>
        <w:rPr>
          <w:rFonts w:hint="eastAsia" w:ascii="Times New Roman" w:hAnsi="Times New Roman" w:cs="Times New Roman"/>
          <w:color w:val="auto"/>
          <w:kern w:val="3"/>
          <w:sz w:val="32"/>
          <w:rtl w:val="0"/>
          <w:lang w:val="en-US" w:eastAsia="zh-CN"/>
        </w:rPr>
        <w:t>。</w:t>
      </w:r>
    </w:p>
    <w:p>
      <w:pPr>
        <w:pStyle w:val="27"/>
        <w:bidi w:val="0"/>
        <w:rPr>
          <w:rFonts w:hint="default"/>
          <w:color w:val="auto"/>
          <w:rtl w:val="0"/>
          <w:lang w:val="en-US" w:eastAsia="zh-CN"/>
        </w:rPr>
      </w:pPr>
      <w:r>
        <w:rPr>
          <w:rFonts w:hint="default"/>
          <w:color w:val="auto"/>
          <w:rtl w:val="0"/>
          <w:lang w:val="en-US" w:eastAsia="zh-CN"/>
        </w:rPr>
        <w:drawing>
          <wp:inline distT="0" distB="0" distL="114300" distR="114300">
            <wp:extent cx="5363845" cy="8172450"/>
            <wp:effectExtent l="0" t="0" r="8255" b="0"/>
            <wp:docPr id="9" name="图片 9" descr="9272ae84d358164e6d76fedc218272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272ae84d358164e6d76fedc218272b1"/>
                    <pic:cNvPicPr>
                      <a:picLocks noChangeAspect="1"/>
                    </pic:cNvPicPr>
                  </pic:nvPicPr>
                  <pic:blipFill>
                    <a:blip r:embed="rId22"/>
                    <a:srcRect l="6967" t="2802" r="2789" b="1566"/>
                    <a:stretch>
                      <a:fillRect/>
                    </a:stretch>
                  </pic:blipFill>
                  <pic:spPr>
                    <a:xfrm>
                      <a:off x="0" y="0"/>
                      <a:ext cx="5363845" cy="8172450"/>
                    </a:xfrm>
                    <a:prstGeom prst="rect">
                      <a:avLst/>
                    </a:prstGeom>
                  </pic:spPr>
                </pic:pic>
              </a:graphicData>
            </a:graphic>
          </wp:inline>
        </w:drawing>
      </w:r>
    </w:p>
    <w:p>
      <w:pPr>
        <w:pStyle w:val="7"/>
        <w:bidi w:val="0"/>
        <w:rPr>
          <w:rFonts w:hint="eastAsia"/>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1</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2</w:t>
      </w:r>
      <w:r>
        <w:rPr>
          <w:color w:val="auto"/>
        </w:rPr>
        <w:fldChar w:fldCharType="end"/>
      </w:r>
      <w:r>
        <w:rPr>
          <w:rFonts w:hint="eastAsia"/>
          <w:color w:val="auto"/>
          <w:lang w:val="en-US" w:eastAsia="zh-CN"/>
        </w:rPr>
        <w:t xml:space="preserve"> 项目技术路线图</w:t>
      </w:r>
      <w:bookmarkStart w:id="44" w:name="_Toc4200"/>
      <w:bookmarkStart w:id="45" w:name="_Toc5731"/>
      <w:bookmarkStart w:id="46" w:name="_Toc29004"/>
      <w:bookmarkStart w:id="47" w:name="_Toc6693"/>
      <w:bookmarkStart w:id="48" w:name="_Toc30260"/>
      <w:bookmarkStart w:id="49" w:name="_Toc3093"/>
    </w:p>
    <w:p>
      <w:pPr>
        <w:pStyle w:val="3"/>
        <w:bidi w:val="0"/>
        <w:rPr>
          <w:rFonts w:hint="default"/>
          <w:color w:val="auto"/>
          <w:lang w:val="en-US" w:eastAsia="zh-CN"/>
        </w:rPr>
        <w:sectPr>
          <w:headerReference r:id="rId11" w:type="default"/>
          <w:footerReference r:id="rId12" w:type="default"/>
          <w:pgSz w:w="23811" w:h="16838" w:orient="landscape"/>
          <w:pgMar w:top="1800" w:right="1440" w:bottom="1800" w:left="1440" w:header="851" w:footer="992" w:gutter="0"/>
          <w:pgNumType w:fmt="decimal" w:start="1"/>
          <w:cols w:space="1280" w:num="2"/>
          <w:docGrid w:type="lines" w:linePitch="312" w:charSpace="0"/>
        </w:sectPr>
      </w:pPr>
    </w:p>
    <w:p>
      <w:pPr>
        <w:pStyle w:val="3"/>
        <w:bidi w:val="0"/>
        <w:rPr>
          <w:rFonts w:hint="default"/>
          <w:color w:val="auto"/>
          <w:lang w:val="en-US" w:eastAsia="zh-CN"/>
        </w:rPr>
      </w:pPr>
      <w:bookmarkStart w:id="50" w:name="_Toc21304"/>
      <w:r>
        <w:rPr>
          <w:rFonts w:hint="default"/>
          <w:color w:val="auto"/>
          <w:lang w:val="en-US" w:eastAsia="zh-CN"/>
        </w:rPr>
        <w:t>发展基础</w:t>
      </w:r>
      <w:bookmarkEnd w:id="44"/>
      <w:bookmarkEnd w:id="45"/>
      <w:bookmarkEnd w:id="46"/>
      <w:bookmarkEnd w:id="47"/>
      <w:bookmarkEnd w:id="48"/>
      <w:bookmarkEnd w:id="49"/>
      <w:bookmarkEnd w:id="50"/>
    </w:p>
    <w:p>
      <w:pPr>
        <w:pStyle w:val="4"/>
        <w:bidi w:val="0"/>
        <w:rPr>
          <w:rFonts w:hint="default"/>
          <w:color w:val="auto"/>
          <w:lang w:val="en-US" w:eastAsia="zh-CN"/>
        </w:rPr>
      </w:pPr>
      <w:bookmarkStart w:id="51" w:name="_Toc17608"/>
      <w:bookmarkStart w:id="52" w:name="_Toc16311"/>
      <w:bookmarkStart w:id="53" w:name="_Toc13364"/>
      <w:bookmarkStart w:id="54" w:name="_Toc15178"/>
      <w:bookmarkStart w:id="55" w:name="_Toc9231"/>
      <w:bookmarkStart w:id="56" w:name="_Toc8086"/>
      <w:bookmarkStart w:id="57" w:name="_Toc6237"/>
      <w:r>
        <w:rPr>
          <w:rFonts w:hint="eastAsia"/>
          <w:color w:val="auto"/>
          <w:lang w:val="en-US" w:eastAsia="zh-CN"/>
        </w:rPr>
        <w:t>城市总体</w:t>
      </w:r>
      <w:r>
        <w:rPr>
          <w:rFonts w:hint="default"/>
          <w:color w:val="auto"/>
          <w:lang w:val="en-US" w:eastAsia="zh-CN"/>
        </w:rPr>
        <w:t>发展情况</w:t>
      </w:r>
      <w:bookmarkEnd w:id="51"/>
      <w:bookmarkEnd w:id="52"/>
      <w:bookmarkEnd w:id="53"/>
      <w:bookmarkEnd w:id="54"/>
      <w:bookmarkEnd w:id="55"/>
      <w:bookmarkEnd w:id="56"/>
      <w:bookmarkEnd w:id="57"/>
    </w:p>
    <w:p>
      <w:pPr>
        <w:rPr>
          <w:rFonts w:hint="eastAsia"/>
          <w:color w:val="auto"/>
          <w:lang w:val="en-US" w:eastAsia="zh-CN"/>
        </w:rPr>
      </w:pPr>
      <w:r>
        <w:rPr>
          <w:rFonts w:hint="default" w:ascii="Times New Roman" w:hAnsi="Times New Roman" w:cs="Times New Roman"/>
          <w:color w:val="auto"/>
          <w:lang w:eastAsia="zh-CN"/>
        </w:rPr>
        <w:t>乐山</w:t>
      </w:r>
      <w:r>
        <w:rPr>
          <w:rFonts w:hint="eastAsia" w:ascii="Times New Roman" w:hAnsi="Times New Roman" w:cs="Times New Roman"/>
          <w:color w:val="auto"/>
          <w:lang w:val="en-US" w:eastAsia="zh-CN"/>
        </w:rPr>
        <w:t>作为全省区域中心城市，</w:t>
      </w:r>
      <w:r>
        <w:rPr>
          <w:rFonts w:hint="default" w:ascii="Times New Roman" w:hAnsi="Times New Roman" w:cs="Times New Roman"/>
          <w:color w:val="auto"/>
          <w:lang w:eastAsia="zh-CN"/>
        </w:rPr>
        <w:t>是四川省重要的农业经济区</w:t>
      </w:r>
      <w:r>
        <w:rPr>
          <w:rFonts w:hint="eastAsia" w:ascii="Times New Roman" w:hAnsi="Times New Roman" w:cs="Times New Roman"/>
          <w:color w:val="auto"/>
          <w:lang w:eastAsia="zh-CN"/>
        </w:rPr>
        <w:t>、</w:t>
      </w:r>
      <w:r>
        <w:rPr>
          <w:rFonts w:hint="default" w:ascii="Times New Roman" w:hAnsi="Times New Roman" w:cs="Times New Roman"/>
          <w:color w:val="auto"/>
          <w:lang w:eastAsia="zh-CN"/>
        </w:rPr>
        <w:t>全国老</w:t>
      </w:r>
      <w:r>
        <w:rPr>
          <w:rFonts w:hint="eastAsia" w:ascii="Times New Roman" w:hAnsi="Times New Roman" w:cs="Times New Roman"/>
          <w:color w:val="auto"/>
          <w:lang w:val="en-US" w:eastAsia="zh-CN"/>
        </w:rPr>
        <w:t>牌</w:t>
      </w:r>
      <w:r>
        <w:rPr>
          <w:rFonts w:hint="default" w:ascii="Times New Roman" w:hAnsi="Times New Roman" w:cs="Times New Roman"/>
          <w:color w:val="auto"/>
          <w:lang w:eastAsia="zh-CN"/>
        </w:rPr>
        <w:t>工业基</w:t>
      </w:r>
      <w:r>
        <w:rPr>
          <w:rFonts w:hint="default" w:ascii="Times New Roman" w:hAnsi="Times New Roman" w:cs="Times New Roman"/>
          <w:color w:val="auto"/>
          <w:lang w:val="en-US" w:eastAsia="zh-CN"/>
        </w:rPr>
        <w:t>地、中国优秀旅游城市</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拥有丰富的矿产资源、水力资源、旅游资源，产业发展基础厚实</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《四川省人民政府办公厅关于建立重点产业链协同推进机制的通知》明确乐山作为全省新能源、农产品精深加工</w:t>
      </w:r>
      <w:r>
        <w:rPr>
          <w:rFonts w:hint="eastAsia" w:ascii="Times New Roman" w:hAnsi="Times New Roman" w:cs="Times New Roman"/>
          <w:color w:val="auto"/>
          <w:lang w:val="en-US" w:eastAsia="zh-CN"/>
        </w:rPr>
        <w:t>、文化旅游</w:t>
      </w:r>
      <w:r>
        <w:rPr>
          <w:rFonts w:hint="default" w:ascii="Times New Roman" w:hAnsi="Times New Roman" w:cs="Times New Roman"/>
          <w:color w:val="auto"/>
          <w:lang w:val="en-US" w:eastAsia="zh-CN"/>
        </w:rPr>
        <w:t>等3条重点产业链主要承载地</w:t>
      </w:r>
      <w:r>
        <w:rPr>
          <w:rFonts w:hint="eastAsia" w:cs="Times New Roman"/>
          <w:color w:val="auto"/>
          <w:lang w:val="en-US" w:eastAsia="zh-CN"/>
        </w:rPr>
        <w:t>，</w:t>
      </w:r>
      <w:r>
        <w:rPr>
          <w:rFonts w:hint="default" w:ascii="Times New Roman" w:hAnsi="Times New Roman" w:cs="Times New Roman"/>
          <w:color w:val="auto"/>
          <w:lang w:val="en-US" w:eastAsia="zh-CN"/>
        </w:rPr>
        <w:t>数量居全省第三</w:t>
      </w:r>
      <w:r>
        <w:rPr>
          <w:rFonts w:hint="eastAsia" w:cs="Times New Roman"/>
          <w:color w:val="auto"/>
          <w:lang w:val="en-US" w:eastAsia="zh-CN"/>
        </w:rPr>
        <w:t>，彰显了乐山作为我省区域中心城市的重要地位</w:t>
      </w:r>
      <w:r>
        <w:rPr>
          <w:rFonts w:hint="eastAsia" w:ascii="Times New Roman" w:hAnsi="Times New Roman" w:cs="Times New Roman"/>
          <w:color w:val="auto"/>
          <w:lang w:val="en-US" w:eastAsia="zh-CN"/>
        </w:rPr>
        <w:t>。</w:t>
      </w:r>
    </w:p>
    <w:p>
      <w:pPr>
        <w:keepNext/>
        <w:keepLines/>
        <w:widowControl w:val="0"/>
        <w:numPr>
          <w:ilvl w:val="2"/>
          <w:numId w:val="1"/>
        </w:numPr>
        <w:bidi w:val="0"/>
        <w:adjustRightInd w:val="0"/>
        <w:snapToGrid w:val="0"/>
        <w:spacing w:line="640" w:lineRule="exact"/>
        <w:ind w:left="0" w:firstLine="643" w:firstLineChars="200"/>
        <w:jc w:val="both"/>
        <w:outlineLvl w:val="2"/>
        <w:rPr>
          <w:rFonts w:hint="eastAsia" w:ascii="Times New Roman" w:hAnsi="Times New Roman" w:eastAsia="仿宋_GB2312" w:cstheme="minorBidi"/>
          <w:b/>
          <w:bCs/>
          <w:color w:val="auto"/>
          <w:kern w:val="2"/>
          <w:sz w:val="32"/>
          <w:szCs w:val="32"/>
          <w:lang w:val="en-US" w:eastAsia="zh-CN" w:bidi="ar-SA"/>
        </w:rPr>
      </w:pPr>
      <w:r>
        <w:rPr>
          <w:rFonts w:hint="eastAsia" w:ascii="Times New Roman" w:hAnsi="Times New Roman" w:eastAsia="仿宋_GB2312" w:cstheme="minorBidi"/>
          <w:b/>
          <w:bCs/>
          <w:color w:val="auto"/>
          <w:kern w:val="2"/>
          <w:sz w:val="32"/>
          <w:szCs w:val="32"/>
          <w:lang w:val="en-US" w:eastAsia="zh-CN" w:bidi="ar-SA"/>
        </w:rPr>
        <w:t>经济产业</w:t>
      </w:r>
    </w:p>
    <w:p>
      <w:pPr>
        <w:rPr>
          <w:rFonts w:hint="eastAsia" w:ascii="Times New Roman" w:hAnsi="Times New Roman" w:cs="Times New Roman"/>
          <w:b/>
          <w:bCs/>
          <w:color w:val="auto"/>
          <w:kern w:val="3"/>
          <w:sz w:val="32"/>
          <w:rtl w:val="0"/>
          <w:lang w:val="en-US" w:eastAsia="zh-CN"/>
        </w:rPr>
      </w:pPr>
      <w:r>
        <w:rPr>
          <w:rFonts w:hint="eastAsia" w:ascii="Times New Roman" w:hAnsi="Times New Roman" w:cs="Times New Roman"/>
          <w:b/>
          <w:bCs/>
          <w:color w:val="auto"/>
          <w:kern w:val="3"/>
          <w:sz w:val="32"/>
          <w:rtl w:val="0"/>
          <w:lang w:val="en-US" w:eastAsia="zh-CN"/>
        </w:rPr>
        <w:t>1.新型工业量质齐升</w:t>
      </w:r>
    </w:p>
    <w:p>
      <w:pP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乐山是全国加工贸易梯度转移重点承接地、全国知名化工产业基地和全省重要的盐磷化工产业承载地，拥有34个工业门类、占全国41个工业门类的83％，建成国家级高新区1个、省级经开区</w:t>
      </w:r>
      <w:r>
        <w:rPr>
          <w:rFonts w:hint="eastAsia" w:cs="Times New Roman"/>
          <w:color w:val="auto"/>
          <w:lang w:val="en-US" w:eastAsia="zh-CN"/>
        </w:rPr>
        <w:t>6</w:t>
      </w:r>
      <w:r>
        <w:rPr>
          <w:rFonts w:hint="eastAsia" w:ascii="Times New Roman" w:hAnsi="Times New Roman" w:cs="Times New Roman"/>
          <w:color w:val="auto"/>
          <w:lang w:val="en-US" w:eastAsia="zh-CN"/>
        </w:rPr>
        <w:t>个</w:t>
      </w:r>
      <w:r>
        <w:rPr>
          <w:rFonts w:hint="eastAsia" w:cs="Times New Roman"/>
          <w:color w:val="auto"/>
          <w:lang w:val="en-US" w:eastAsia="zh-CN"/>
        </w:rPr>
        <w:t>、</w:t>
      </w:r>
      <w:r>
        <w:rPr>
          <w:rFonts w:hint="eastAsia" w:ascii="Times New Roman" w:hAnsi="Times New Roman" w:cs="Times New Roman"/>
          <w:color w:val="auto"/>
          <w:sz w:val="32"/>
          <w:szCs w:val="22"/>
          <w:lang w:val="en-US" w:eastAsia="zh-CN"/>
        </w:rPr>
        <w:t>省级外贸转型升级基地1个</w:t>
      </w:r>
      <w:r>
        <w:rPr>
          <w:rFonts w:hint="eastAsia" w:ascii="Times New Roman" w:hAnsi="Times New Roman" w:cs="Times New Roman"/>
          <w:color w:val="auto"/>
          <w:lang w:val="en-US" w:eastAsia="zh-CN"/>
        </w:rPr>
        <w:t>。近年来，乐山围绕加快构建“241”现代工业产业体系，已形成晶硅光伏、核技术应用、绿色化工、新型建材、食品饮料等先进制造业产业集群，正奋力开辟低空经济、新型储能、氢能利用等一批新兴产业，</w:t>
      </w:r>
      <w:r>
        <w:rPr>
          <w:rFonts w:hint="default" w:ascii="Times New Roman" w:hAnsi="Times New Roman" w:cs="Times New Roman"/>
          <w:color w:val="auto"/>
          <w:lang w:val="en-US" w:eastAsia="zh-CN"/>
        </w:rPr>
        <w:t>全钒液流电池入选全省产业新赛道名单。</w:t>
      </w:r>
      <w:r>
        <w:rPr>
          <w:rFonts w:hint="eastAsia" w:ascii="Times New Roman" w:hAnsi="Times New Roman" w:cs="Times New Roman"/>
          <w:color w:val="auto"/>
          <w:lang w:val="en-US" w:eastAsia="zh-CN"/>
        </w:rPr>
        <w:t>晶硅光伏作为我省首批特色优势产业，乐山坚定扛牢省委</w:t>
      </w:r>
      <w:r>
        <w:rPr>
          <w:rFonts w:hint="eastAsia" w:cs="Times New Roman"/>
          <w:color w:val="auto"/>
          <w:lang w:val="en-US" w:eastAsia="zh-CN"/>
        </w:rPr>
        <w:t>、省政府</w:t>
      </w:r>
      <w:r>
        <w:rPr>
          <w:rFonts w:hint="eastAsia" w:ascii="Times New Roman" w:hAnsi="Times New Roman" w:cs="Times New Roman"/>
          <w:color w:val="auto"/>
          <w:lang w:val="en-US" w:eastAsia="zh-CN"/>
        </w:rPr>
        <w:t>赋予乐山建设中国绿色硅谷的重要使命，坚定实施晶硅光伏头号工程，</w:t>
      </w:r>
      <w:r>
        <w:rPr>
          <w:rFonts w:hint="default" w:ascii="Times New Roman" w:hAnsi="Times New Roman" w:cs="Times New Roman"/>
          <w:color w:val="auto"/>
          <w:lang w:val="en-US" w:eastAsia="zh-CN"/>
        </w:rPr>
        <w:t>晶硅光伏产业入选全国民营经济百强产业集群，多晶硅产量约占全球产量的10%，高纯晶硅产能稳居全球第一方阵，</w:t>
      </w:r>
      <w:r>
        <w:rPr>
          <w:rFonts w:hint="eastAsia" w:ascii="Times New Roman" w:hAnsi="Times New Roman" w:cs="Times New Roman"/>
          <w:color w:val="auto"/>
          <w:lang w:val="en-US" w:eastAsia="zh-CN"/>
        </w:rPr>
        <w:t>被授予“中国绿色硅谷”称号</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2024年全市第二产业增加值1117.4亿元，同比增长3.4%</w:t>
      </w:r>
      <w:r>
        <w:rPr>
          <w:rFonts w:hint="eastAsia" w:cs="Times New Roman"/>
          <w:color w:val="auto"/>
          <w:lang w:val="en-US" w:eastAsia="zh-CN"/>
        </w:rPr>
        <w:t>，带动高效化、专业化工业物流需求快速增长。</w:t>
      </w:r>
    </w:p>
    <w:p>
      <w:pPr>
        <w:pStyle w:val="7"/>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r>
        <w:rPr>
          <w:rFonts w:hint="eastAsia"/>
          <w:color w:val="auto"/>
          <w:lang w:val="en-US" w:eastAsia="zh-CN"/>
        </w:rPr>
        <w:t xml:space="preserve"> </w:t>
      </w:r>
      <w:r>
        <w:rPr>
          <w:rFonts w:hint="default" w:ascii="Times New Roman" w:hAnsi="Times New Roman" w:eastAsia="楷体" w:cs="Times New Roman"/>
          <w:color w:val="auto"/>
          <w:kern w:val="3"/>
          <w:sz w:val="28"/>
          <w:szCs w:val="20"/>
          <w:lang w:val="en-US" w:eastAsia="zh-CN" w:bidi="ar-SA"/>
        </w:rPr>
        <w:t>乐山省级及以上</w:t>
      </w:r>
      <w:r>
        <w:rPr>
          <w:rFonts w:hint="eastAsia" w:ascii="Times New Roman" w:hAnsi="Times New Roman" w:cs="Times New Roman"/>
          <w:color w:val="auto"/>
          <w:kern w:val="3"/>
          <w:sz w:val="28"/>
          <w:szCs w:val="20"/>
          <w:lang w:val="en-US" w:eastAsia="zh-CN" w:bidi="ar-SA"/>
        </w:rPr>
        <w:t>工业</w:t>
      </w:r>
      <w:r>
        <w:rPr>
          <w:rFonts w:hint="default" w:ascii="Times New Roman" w:hAnsi="Times New Roman" w:eastAsia="楷体" w:cs="Times New Roman"/>
          <w:color w:val="auto"/>
          <w:kern w:val="3"/>
          <w:sz w:val="28"/>
          <w:szCs w:val="20"/>
          <w:lang w:val="en-US" w:eastAsia="zh-CN" w:bidi="ar-SA"/>
        </w:rPr>
        <w:t>园区明细表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762"/>
        <w:gridCol w:w="2005"/>
        <w:gridCol w:w="3941"/>
        <w:gridCol w:w="3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tblHeader/>
          <w:jc w:val="center"/>
        </w:trPr>
        <w:tc>
          <w:tcPr>
            <w:tcW w:w="384" w:type="pct"/>
            <w:noWrap w:val="0"/>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黑体" w:cs="Times New Roman"/>
                <w:b w:val="0"/>
                <w:bCs/>
                <w:color w:val="auto"/>
                <w:kern w:val="0"/>
                <w:sz w:val="24"/>
                <w:szCs w:val="24"/>
                <w:lang w:bidi="ar"/>
              </w:rPr>
            </w:pPr>
            <w:r>
              <w:rPr>
                <w:rFonts w:hint="default" w:ascii="Times New Roman" w:hAnsi="Times New Roman" w:eastAsia="黑体" w:cs="Times New Roman"/>
                <w:b w:val="0"/>
                <w:bCs/>
                <w:color w:val="auto"/>
                <w:kern w:val="0"/>
                <w:sz w:val="24"/>
                <w:szCs w:val="24"/>
                <w:lang w:bidi="ar"/>
              </w:rPr>
              <w:t>序号</w:t>
            </w:r>
          </w:p>
        </w:tc>
        <w:tc>
          <w:tcPr>
            <w:tcW w:w="1010" w:type="pct"/>
            <w:noWrap w:val="0"/>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黑体" w:cs="Times New Roman"/>
                <w:b w:val="0"/>
                <w:bCs/>
                <w:color w:val="auto"/>
                <w:kern w:val="0"/>
                <w:sz w:val="24"/>
                <w:szCs w:val="24"/>
                <w:lang w:val="en-US" w:eastAsia="zh-CN" w:bidi="ar"/>
              </w:rPr>
            </w:pPr>
            <w:r>
              <w:rPr>
                <w:rFonts w:hint="default" w:ascii="Times New Roman" w:hAnsi="Times New Roman" w:eastAsia="黑体" w:cs="Times New Roman"/>
                <w:b w:val="0"/>
                <w:bCs/>
                <w:color w:val="auto"/>
                <w:kern w:val="0"/>
                <w:sz w:val="24"/>
                <w:szCs w:val="24"/>
                <w:lang w:val="en-US" w:eastAsia="zh-CN" w:bidi="ar"/>
              </w:rPr>
              <w:t>园区类别</w:t>
            </w:r>
          </w:p>
        </w:tc>
        <w:tc>
          <w:tcPr>
            <w:tcW w:w="1985" w:type="pct"/>
            <w:noWrap w:val="0"/>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黑体" w:cs="Times New Roman"/>
                <w:b w:val="0"/>
                <w:bCs/>
                <w:color w:val="auto"/>
                <w:kern w:val="0"/>
                <w:sz w:val="24"/>
                <w:szCs w:val="24"/>
                <w:lang w:bidi="ar"/>
              </w:rPr>
            </w:pPr>
            <w:r>
              <w:rPr>
                <w:rFonts w:hint="default" w:ascii="Times New Roman" w:hAnsi="Times New Roman" w:eastAsia="黑体" w:cs="Times New Roman"/>
                <w:b w:val="0"/>
                <w:bCs/>
                <w:color w:val="auto"/>
                <w:kern w:val="0"/>
                <w:sz w:val="24"/>
                <w:szCs w:val="24"/>
                <w:lang w:val="en-US" w:eastAsia="zh-CN" w:bidi="ar"/>
              </w:rPr>
              <w:t>园区</w:t>
            </w:r>
            <w:r>
              <w:rPr>
                <w:rFonts w:hint="default" w:ascii="Times New Roman" w:hAnsi="Times New Roman" w:eastAsia="黑体" w:cs="Times New Roman"/>
                <w:b w:val="0"/>
                <w:bCs/>
                <w:color w:val="auto"/>
                <w:kern w:val="0"/>
                <w:sz w:val="24"/>
                <w:szCs w:val="24"/>
                <w:lang w:bidi="ar"/>
              </w:rPr>
              <w:t>名称</w:t>
            </w:r>
          </w:p>
        </w:tc>
        <w:tc>
          <w:tcPr>
            <w:tcW w:w="1619" w:type="pct"/>
            <w:noWrap w:val="0"/>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黑体" w:cs="Times New Roman"/>
                <w:b w:val="0"/>
                <w:bCs/>
                <w:color w:val="auto"/>
                <w:kern w:val="0"/>
                <w:sz w:val="24"/>
                <w:szCs w:val="24"/>
                <w:lang w:bidi="ar"/>
              </w:rPr>
            </w:pPr>
            <w:r>
              <w:rPr>
                <w:rFonts w:hint="default" w:ascii="Times New Roman" w:hAnsi="Times New Roman" w:eastAsia="黑体" w:cs="Times New Roman"/>
                <w:b w:val="0"/>
                <w:bCs/>
                <w:color w:val="auto"/>
                <w:kern w:val="0"/>
                <w:sz w:val="24"/>
                <w:szCs w:val="24"/>
                <w:lang w:bidi="ar"/>
              </w:rPr>
              <w:t>主导产业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4" w:type="pct"/>
            <w:noWrap w:val="0"/>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sz w:val="22"/>
                <w:szCs w:val="22"/>
              </w:rPr>
            </w:pPr>
            <w:r>
              <w:rPr>
                <w:rFonts w:hint="default" w:ascii="Times New Roman" w:hAnsi="Times New Roman" w:eastAsia="仿宋_GB2312" w:cs="Times New Roman"/>
                <w:color w:val="auto"/>
                <w:sz w:val="22"/>
                <w:szCs w:val="22"/>
                <w:lang w:val="en-US" w:eastAsia="zh-CN"/>
              </w:rPr>
              <w:t>1</w:t>
            </w:r>
          </w:p>
        </w:tc>
        <w:tc>
          <w:tcPr>
            <w:tcW w:w="1010" w:type="pct"/>
            <w:noWrap w:val="0"/>
            <w:vAlign w:val="center"/>
          </w:tcPr>
          <w:p>
            <w:pPr>
              <w:keepNext/>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国家级高新区</w:t>
            </w:r>
          </w:p>
        </w:tc>
        <w:tc>
          <w:tcPr>
            <w:tcW w:w="1985" w:type="pct"/>
            <w:noWrap w:val="0"/>
            <w:vAlign w:val="center"/>
          </w:tcPr>
          <w:p>
            <w:pPr>
              <w:keepNext/>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乐山高新技术产业开发区</w:t>
            </w:r>
          </w:p>
        </w:tc>
        <w:tc>
          <w:tcPr>
            <w:tcW w:w="1619" w:type="pct"/>
            <w:noWrap w:val="0"/>
            <w:vAlign w:val="center"/>
          </w:tcPr>
          <w:p>
            <w:pPr>
              <w:keepNext/>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cs="Times New Roman"/>
                <w:color w:val="auto"/>
                <w:sz w:val="22"/>
                <w:szCs w:val="22"/>
                <w:lang w:val="en-US" w:eastAsia="zh-CN"/>
              </w:rPr>
              <w:t>新能源装备、电子信息、生物医药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4"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0"/>
                <w:sz w:val="22"/>
                <w:szCs w:val="22"/>
                <w:lang w:val="en-US" w:eastAsia="zh-CN" w:bidi="ar"/>
              </w:rPr>
            </w:pPr>
            <w:r>
              <w:rPr>
                <w:rFonts w:hint="eastAsia" w:cs="Times New Roman"/>
                <w:color w:val="auto"/>
                <w:kern w:val="0"/>
                <w:sz w:val="22"/>
                <w:szCs w:val="22"/>
                <w:lang w:val="en-US" w:eastAsia="zh-CN" w:bidi="ar"/>
              </w:rPr>
              <w:t>2</w:t>
            </w:r>
          </w:p>
        </w:tc>
        <w:tc>
          <w:tcPr>
            <w:tcW w:w="1010" w:type="pct"/>
            <w:vMerge w:val="restar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省级经开区</w:t>
            </w:r>
          </w:p>
        </w:tc>
        <w:tc>
          <w:tcPr>
            <w:tcW w:w="1985"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沙湾经济开发区（国家级新型工业化产业示范基地）</w:t>
            </w:r>
          </w:p>
        </w:tc>
        <w:tc>
          <w:tcPr>
            <w:tcW w:w="1619"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不锈钢、钒钛钢、机械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4"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0"/>
                <w:sz w:val="22"/>
                <w:szCs w:val="22"/>
                <w:lang w:val="en-US" w:eastAsia="zh-CN" w:bidi="ar"/>
              </w:rPr>
            </w:pPr>
            <w:r>
              <w:rPr>
                <w:rFonts w:hint="eastAsia" w:cs="Times New Roman"/>
                <w:color w:val="auto"/>
                <w:kern w:val="0"/>
                <w:sz w:val="22"/>
                <w:szCs w:val="22"/>
                <w:lang w:val="en-US" w:eastAsia="zh-CN" w:bidi="ar"/>
              </w:rPr>
              <w:t>3</w:t>
            </w:r>
          </w:p>
        </w:tc>
        <w:tc>
          <w:tcPr>
            <w:tcW w:w="1010"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p>
        </w:tc>
        <w:tc>
          <w:tcPr>
            <w:tcW w:w="1985"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犍为经济开发区（省级特色产业基地）</w:t>
            </w:r>
          </w:p>
        </w:tc>
        <w:tc>
          <w:tcPr>
            <w:tcW w:w="1619"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竹浆纸、建材、机械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4"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cs="Times New Roman"/>
                <w:color w:val="auto"/>
                <w:kern w:val="3"/>
                <w:sz w:val="22"/>
                <w:szCs w:val="22"/>
                <w:lang w:val="en-US" w:eastAsia="zh-CN" w:bidi="ar-SA"/>
              </w:rPr>
              <w:t>4</w:t>
            </w:r>
          </w:p>
        </w:tc>
        <w:tc>
          <w:tcPr>
            <w:tcW w:w="1010"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p>
        </w:tc>
        <w:tc>
          <w:tcPr>
            <w:tcW w:w="1985"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井研经济开发区</w:t>
            </w:r>
          </w:p>
        </w:tc>
        <w:tc>
          <w:tcPr>
            <w:tcW w:w="1619"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农副食品、纺织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4"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cs="Times New Roman"/>
                <w:color w:val="auto"/>
                <w:kern w:val="3"/>
                <w:sz w:val="22"/>
                <w:szCs w:val="22"/>
                <w:lang w:val="en-US" w:eastAsia="zh-CN" w:bidi="ar-SA"/>
              </w:rPr>
              <w:t>5</w:t>
            </w:r>
          </w:p>
        </w:tc>
        <w:tc>
          <w:tcPr>
            <w:tcW w:w="1010"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p>
        </w:tc>
        <w:tc>
          <w:tcPr>
            <w:tcW w:w="1985"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eastAsia="仿宋_GB2312" w:cs="Times New Roman"/>
                <w:color w:val="auto"/>
                <w:sz w:val="24"/>
                <w:szCs w:val="24"/>
                <w:lang w:val="en-US" w:eastAsia="zh-CN"/>
              </w:rPr>
            </w:pPr>
            <w:r>
              <w:rPr>
                <w:rFonts w:hint="eastAsia" w:cs="Times New Roman"/>
                <w:color w:val="auto"/>
                <w:sz w:val="24"/>
                <w:szCs w:val="24"/>
                <w:lang w:val="en-US" w:eastAsia="zh-CN"/>
              </w:rPr>
              <w:t>四川</w:t>
            </w:r>
            <w:r>
              <w:rPr>
                <w:rFonts w:hint="default" w:ascii="Times New Roman" w:hAnsi="Times New Roman" w:cs="Times New Roman"/>
                <w:color w:val="auto"/>
                <w:sz w:val="24"/>
                <w:szCs w:val="24"/>
                <w:lang w:val="en-US" w:eastAsia="zh-CN"/>
              </w:rPr>
              <w:t>夹江经济开发区（</w:t>
            </w:r>
            <w:r>
              <w:rPr>
                <w:rFonts w:hint="default" w:ascii="Times New Roman" w:hAnsi="Times New Roman" w:eastAsia="仿宋_GB2312" w:cs="Times New Roman"/>
                <w:color w:val="auto"/>
                <w:sz w:val="24"/>
                <w:szCs w:val="24"/>
              </w:rPr>
              <w:t>省级新型工业化产业示范基地</w:t>
            </w:r>
            <w:r>
              <w:rPr>
                <w:rFonts w:hint="default" w:ascii="Times New Roman" w:hAnsi="Times New Roman" w:cs="Times New Roman"/>
                <w:color w:val="auto"/>
                <w:sz w:val="24"/>
                <w:szCs w:val="24"/>
                <w:lang w:eastAsia="zh-CN"/>
              </w:rPr>
              <w:t>）</w:t>
            </w:r>
          </w:p>
        </w:tc>
        <w:tc>
          <w:tcPr>
            <w:tcW w:w="1619"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非金属矿物制品业、医药制造业、造纸和制品业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4"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cs="Times New Roman"/>
                <w:color w:val="auto"/>
                <w:kern w:val="3"/>
                <w:sz w:val="22"/>
                <w:szCs w:val="22"/>
                <w:lang w:val="en-US" w:eastAsia="zh-CN" w:bidi="ar-SA"/>
              </w:rPr>
              <w:t>6</w:t>
            </w:r>
          </w:p>
        </w:tc>
        <w:tc>
          <w:tcPr>
            <w:tcW w:w="1010"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p>
        </w:tc>
        <w:tc>
          <w:tcPr>
            <w:tcW w:w="1985"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峨眉山经济开发区</w:t>
            </w:r>
          </w:p>
        </w:tc>
        <w:tc>
          <w:tcPr>
            <w:tcW w:w="1619"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建材、食品饮料、机械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4"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cs="Times New Roman"/>
                <w:color w:val="auto"/>
                <w:kern w:val="3"/>
                <w:sz w:val="22"/>
                <w:szCs w:val="22"/>
                <w:lang w:val="en-US" w:eastAsia="zh-CN" w:bidi="ar-SA"/>
              </w:rPr>
            </w:pPr>
            <w:r>
              <w:rPr>
                <w:rFonts w:hint="eastAsia" w:cs="Times New Roman"/>
                <w:color w:val="auto"/>
                <w:kern w:val="3"/>
                <w:sz w:val="22"/>
                <w:szCs w:val="22"/>
                <w:lang w:val="en-US" w:eastAsia="zh-CN" w:bidi="ar-SA"/>
              </w:rPr>
              <w:t>6</w:t>
            </w:r>
          </w:p>
        </w:tc>
        <w:tc>
          <w:tcPr>
            <w:tcW w:w="1010"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p>
        </w:tc>
        <w:tc>
          <w:tcPr>
            <w:tcW w:w="1985"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五通桥经济开发区</w:t>
            </w:r>
          </w:p>
        </w:tc>
        <w:tc>
          <w:tcPr>
            <w:tcW w:w="1619"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硅晶光伏、稀土新材料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4"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cs="Times New Roman"/>
                <w:color w:val="auto"/>
                <w:kern w:val="3"/>
                <w:sz w:val="22"/>
                <w:szCs w:val="22"/>
                <w:lang w:val="en-US" w:eastAsia="zh-CN" w:bidi="ar-SA"/>
              </w:rPr>
              <w:t>7</w:t>
            </w:r>
          </w:p>
        </w:tc>
        <w:tc>
          <w:tcPr>
            <w:tcW w:w="1010"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省级外贸转型升级基地</w:t>
            </w:r>
          </w:p>
        </w:tc>
        <w:tc>
          <w:tcPr>
            <w:tcW w:w="1985"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乐山市化工循环产业园区</w:t>
            </w:r>
          </w:p>
        </w:tc>
        <w:tc>
          <w:tcPr>
            <w:tcW w:w="1619"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专业化工</w:t>
            </w:r>
          </w:p>
        </w:tc>
      </w:tr>
    </w:tbl>
    <w:p>
      <w:pPr>
        <w:rPr>
          <w:rFonts w:hint="eastAsia" w:cs="Times New Roman"/>
          <w:b/>
          <w:bCs/>
          <w:color w:val="auto"/>
          <w:kern w:val="3"/>
          <w:sz w:val="32"/>
          <w:rtl w:val="0"/>
          <w:lang w:val="en-US" w:eastAsia="zh-CN"/>
        </w:rPr>
      </w:pPr>
      <w:r>
        <w:rPr>
          <w:rFonts w:hint="eastAsia" w:ascii="Times New Roman" w:hAnsi="Times New Roman" w:cs="Times New Roman"/>
          <w:b/>
          <w:bCs/>
          <w:color w:val="auto"/>
          <w:kern w:val="3"/>
          <w:sz w:val="32"/>
          <w:rtl w:val="0"/>
          <w:lang w:val="en-US" w:eastAsia="zh-CN"/>
        </w:rPr>
        <w:t>2.特色农业全球</w:t>
      </w:r>
      <w:r>
        <w:rPr>
          <w:rFonts w:hint="eastAsia" w:cs="Times New Roman"/>
          <w:b/>
          <w:bCs/>
          <w:color w:val="auto"/>
          <w:kern w:val="3"/>
          <w:sz w:val="32"/>
          <w:rtl w:val="0"/>
          <w:lang w:val="en-US" w:eastAsia="zh-CN"/>
        </w:rPr>
        <w:t>畅销</w:t>
      </w:r>
    </w:p>
    <w:p>
      <w:pP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全市积极推进打造新时代更高水平的“天府粮仓”乐山片区，粮食产量常年稳定在120万吨以上，禽蛋、水产产量居全省前列，峨眉山茶、晚熟柑橘、道地中药材、林竹四大产业集群初具规模，茶产业综合实力居四川省</w:t>
      </w:r>
      <w:r>
        <w:rPr>
          <w:rFonts w:hint="eastAsia" w:cs="Times New Roman"/>
          <w:color w:val="auto"/>
          <w:lang w:val="en-US" w:eastAsia="zh-CN"/>
        </w:rPr>
        <w:t>前列</w:t>
      </w:r>
      <w:r>
        <w:rPr>
          <w:rFonts w:hint="eastAsia" w:ascii="Times New Roman" w:hAnsi="Times New Roman" w:cs="Times New Roman"/>
          <w:color w:val="auto"/>
          <w:lang w:val="en-US" w:eastAsia="zh-CN"/>
        </w:rPr>
        <w:t>，荣获“中国绿茶之都”“世界高端绿茶发源地”称号</w:t>
      </w:r>
      <w:r>
        <w:rPr>
          <w:rFonts w:hint="eastAsia" w:cs="Times New Roman"/>
          <w:color w:val="auto"/>
          <w:lang w:val="en-US" w:eastAsia="zh-CN"/>
        </w:rPr>
        <w:t>，建成国家级现代农业产业园1个、省星级现代农业园区17个。</w:t>
      </w:r>
      <w:r>
        <w:rPr>
          <w:rFonts w:hint="eastAsia" w:ascii="Times New Roman" w:hAnsi="Times New Roman" w:cs="Times New Roman"/>
          <w:color w:val="auto"/>
          <w:lang w:val="en-US" w:eastAsia="zh-CN"/>
        </w:rPr>
        <w:t>2024年全市第一产业增加值262</w:t>
      </w:r>
      <w:r>
        <w:rPr>
          <w:rFonts w:hint="eastAsia" w:cs="Times New Roman"/>
          <w:color w:val="auto"/>
          <w:lang w:val="en-US" w:eastAsia="zh-CN"/>
        </w:rPr>
        <w:t>.73</w:t>
      </w:r>
      <w:r>
        <w:rPr>
          <w:rFonts w:hint="eastAsia" w:ascii="Times New Roman" w:hAnsi="Times New Roman" w:cs="Times New Roman"/>
          <w:color w:val="auto"/>
          <w:lang w:val="en-US" w:eastAsia="zh-CN"/>
        </w:rPr>
        <w:t>亿元，同比增长2.8%</w:t>
      </w:r>
      <w:r>
        <w:rPr>
          <w:rFonts w:hint="eastAsia" w:cs="Times New Roman"/>
          <w:color w:val="auto"/>
          <w:lang w:val="en-US" w:eastAsia="zh-CN"/>
        </w:rPr>
        <w:t>，推动农产品冷链物流需求稳步增长。</w:t>
      </w:r>
    </w:p>
    <w:p>
      <w:pPr>
        <w:pStyle w:val="7"/>
        <w:keepNext/>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2</w:t>
      </w:r>
      <w:r>
        <w:rPr>
          <w:color w:val="auto"/>
        </w:rPr>
        <w:fldChar w:fldCharType="end"/>
      </w:r>
      <w:r>
        <w:rPr>
          <w:rFonts w:hint="eastAsia"/>
          <w:color w:val="auto"/>
          <w:lang w:val="en-US" w:eastAsia="zh-CN"/>
        </w:rPr>
        <w:t xml:space="preserve"> </w:t>
      </w:r>
      <w:r>
        <w:rPr>
          <w:rFonts w:hint="default" w:ascii="Times New Roman" w:hAnsi="Times New Roman" w:eastAsia="楷体" w:cs="Times New Roman"/>
          <w:color w:val="auto"/>
          <w:kern w:val="3"/>
          <w:sz w:val="28"/>
          <w:szCs w:val="20"/>
          <w:lang w:val="en-US" w:eastAsia="zh-CN" w:bidi="ar-SA"/>
        </w:rPr>
        <w:t>乐山省级及以上</w:t>
      </w:r>
      <w:r>
        <w:rPr>
          <w:rFonts w:hint="eastAsia" w:ascii="Times New Roman" w:hAnsi="Times New Roman" w:cs="Times New Roman"/>
          <w:color w:val="auto"/>
          <w:kern w:val="3"/>
          <w:sz w:val="28"/>
          <w:szCs w:val="20"/>
          <w:lang w:val="en-US" w:eastAsia="zh-CN" w:bidi="ar-SA"/>
        </w:rPr>
        <w:t>农业</w:t>
      </w:r>
      <w:r>
        <w:rPr>
          <w:rFonts w:hint="default" w:ascii="Times New Roman" w:hAnsi="Times New Roman" w:eastAsia="楷体" w:cs="Times New Roman"/>
          <w:color w:val="auto"/>
          <w:kern w:val="3"/>
          <w:sz w:val="28"/>
          <w:szCs w:val="20"/>
          <w:lang w:val="en-US" w:eastAsia="zh-CN" w:bidi="ar-SA"/>
        </w:rPr>
        <w:t>园区明细表</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764"/>
        <w:gridCol w:w="2006"/>
        <w:gridCol w:w="3941"/>
        <w:gridCol w:w="3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tblHeader/>
          <w:jc w:val="center"/>
        </w:trPr>
        <w:tc>
          <w:tcPr>
            <w:tcW w:w="385" w:type="pct"/>
            <w:noWrap w:val="0"/>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黑体" w:cs="Times New Roman"/>
                <w:b w:val="0"/>
                <w:bCs/>
                <w:color w:val="auto"/>
                <w:kern w:val="0"/>
                <w:sz w:val="24"/>
                <w:szCs w:val="24"/>
                <w:lang w:bidi="ar"/>
              </w:rPr>
            </w:pPr>
            <w:r>
              <w:rPr>
                <w:rFonts w:hint="default" w:ascii="Times New Roman" w:hAnsi="Times New Roman" w:eastAsia="黑体" w:cs="Times New Roman"/>
                <w:b w:val="0"/>
                <w:bCs/>
                <w:color w:val="auto"/>
                <w:kern w:val="0"/>
                <w:sz w:val="24"/>
                <w:szCs w:val="24"/>
                <w:lang w:bidi="ar"/>
              </w:rPr>
              <w:t>序号</w:t>
            </w:r>
          </w:p>
        </w:tc>
        <w:tc>
          <w:tcPr>
            <w:tcW w:w="1010" w:type="pct"/>
            <w:noWrap w:val="0"/>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黑体" w:cs="Times New Roman"/>
                <w:b w:val="0"/>
                <w:bCs/>
                <w:color w:val="auto"/>
                <w:kern w:val="0"/>
                <w:sz w:val="24"/>
                <w:szCs w:val="24"/>
                <w:lang w:val="en-US" w:eastAsia="zh-CN" w:bidi="ar"/>
              </w:rPr>
            </w:pPr>
            <w:r>
              <w:rPr>
                <w:rFonts w:hint="default" w:ascii="Times New Roman" w:hAnsi="Times New Roman" w:eastAsia="黑体" w:cs="Times New Roman"/>
                <w:b w:val="0"/>
                <w:bCs/>
                <w:color w:val="auto"/>
                <w:kern w:val="0"/>
                <w:sz w:val="24"/>
                <w:szCs w:val="24"/>
                <w:lang w:val="en-US" w:eastAsia="zh-CN" w:bidi="ar"/>
              </w:rPr>
              <w:t>园区类别</w:t>
            </w:r>
          </w:p>
        </w:tc>
        <w:tc>
          <w:tcPr>
            <w:tcW w:w="1984" w:type="pct"/>
            <w:noWrap w:val="0"/>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黑体" w:cs="Times New Roman"/>
                <w:b w:val="0"/>
                <w:bCs/>
                <w:color w:val="auto"/>
                <w:kern w:val="0"/>
                <w:sz w:val="24"/>
                <w:szCs w:val="24"/>
                <w:lang w:bidi="ar"/>
              </w:rPr>
            </w:pPr>
            <w:r>
              <w:rPr>
                <w:rFonts w:hint="default" w:ascii="Times New Roman" w:hAnsi="Times New Roman" w:eastAsia="黑体" w:cs="Times New Roman"/>
                <w:b w:val="0"/>
                <w:bCs/>
                <w:color w:val="auto"/>
                <w:kern w:val="0"/>
                <w:sz w:val="24"/>
                <w:szCs w:val="24"/>
                <w:lang w:val="en-US" w:eastAsia="zh-CN" w:bidi="ar"/>
              </w:rPr>
              <w:t>园区</w:t>
            </w:r>
            <w:r>
              <w:rPr>
                <w:rFonts w:hint="default" w:ascii="Times New Roman" w:hAnsi="Times New Roman" w:eastAsia="黑体" w:cs="Times New Roman"/>
                <w:b w:val="0"/>
                <w:bCs/>
                <w:color w:val="auto"/>
                <w:kern w:val="0"/>
                <w:sz w:val="24"/>
                <w:szCs w:val="24"/>
                <w:lang w:bidi="ar"/>
              </w:rPr>
              <w:t>名称</w:t>
            </w:r>
          </w:p>
        </w:tc>
        <w:tc>
          <w:tcPr>
            <w:tcW w:w="1618" w:type="pct"/>
            <w:noWrap w:val="0"/>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黑体" w:cs="Times New Roman"/>
                <w:b w:val="0"/>
                <w:bCs/>
                <w:color w:val="auto"/>
                <w:kern w:val="0"/>
                <w:sz w:val="24"/>
                <w:szCs w:val="24"/>
                <w:lang w:bidi="ar"/>
              </w:rPr>
            </w:pPr>
            <w:r>
              <w:rPr>
                <w:rFonts w:hint="default" w:ascii="Times New Roman" w:hAnsi="Times New Roman" w:eastAsia="黑体" w:cs="Times New Roman"/>
                <w:b w:val="0"/>
                <w:bCs/>
                <w:color w:val="auto"/>
                <w:kern w:val="0"/>
                <w:sz w:val="24"/>
                <w:szCs w:val="24"/>
                <w:lang w:bidi="ar"/>
              </w:rPr>
              <w:t>主导产业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1</w:t>
            </w:r>
          </w:p>
        </w:tc>
        <w:tc>
          <w:tcPr>
            <w:tcW w:w="1010" w:type="pct"/>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line="320" w:lineRule="exact"/>
              <w:ind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cs="Times New Roman"/>
                <w:color w:val="auto"/>
                <w:sz w:val="24"/>
                <w:szCs w:val="24"/>
                <w:lang w:val="en-US" w:eastAsia="zh-CN"/>
              </w:rPr>
              <w:t>国家</w:t>
            </w:r>
            <w:r>
              <w:rPr>
                <w:rFonts w:hint="eastAsia" w:cs="Times New Roman"/>
                <w:color w:val="auto"/>
                <w:sz w:val="24"/>
                <w:szCs w:val="24"/>
                <w:lang w:val="en-US" w:eastAsia="zh-CN"/>
              </w:rPr>
              <w:t>现代</w:t>
            </w:r>
            <w:r>
              <w:rPr>
                <w:rFonts w:hint="default" w:ascii="Times New Roman" w:hAnsi="Times New Roman" w:cs="Times New Roman"/>
                <w:color w:val="auto"/>
                <w:sz w:val="24"/>
                <w:szCs w:val="24"/>
                <w:lang w:val="en-US" w:eastAsia="zh-CN"/>
              </w:rPr>
              <w:t>农业</w:t>
            </w:r>
            <w:r>
              <w:rPr>
                <w:rFonts w:hint="eastAsia" w:cs="Times New Roman"/>
                <w:color w:val="auto"/>
                <w:sz w:val="24"/>
                <w:szCs w:val="24"/>
                <w:lang w:val="en-US" w:eastAsia="zh-CN"/>
              </w:rPr>
              <w:t>产业</w:t>
            </w:r>
            <w:r>
              <w:rPr>
                <w:rFonts w:hint="default" w:ascii="Times New Roman" w:hAnsi="Times New Roman" w:cs="Times New Roman"/>
                <w:color w:val="auto"/>
                <w:sz w:val="24"/>
                <w:szCs w:val="24"/>
                <w:lang w:val="en-US" w:eastAsia="zh-CN"/>
              </w:rPr>
              <w:t>园</w:t>
            </w:r>
          </w:p>
        </w:tc>
        <w:tc>
          <w:tcPr>
            <w:tcW w:w="1984" w:type="pct"/>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cs="Times New Roman"/>
                <w:color w:val="auto"/>
                <w:sz w:val="24"/>
                <w:szCs w:val="24"/>
                <w:lang w:val="en-US" w:eastAsia="zh-CN"/>
              </w:rPr>
              <w:t>四川省峨眉山市现代农业产业园</w:t>
            </w:r>
          </w:p>
        </w:tc>
        <w:tc>
          <w:tcPr>
            <w:tcW w:w="1618" w:type="pct"/>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茶</w:t>
            </w:r>
            <w:r>
              <w:rPr>
                <w:rFonts w:hint="eastAsia" w:cs="Times New Roman"/>
                <w:color w:val="auto"/>
                <w:sz w:val="24"/>
                <w:szCs w:val="24"/>
                <w:lang w:val="en-US" w:eastAsia="zh-CN"/>
              </w:rPr>
              <w:t>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2</w:t>
            </w:r>
          </w:p>
        </w:tc>
        <w:tc>
          <w:tcPr>
            <w:tcW w:w="1010"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省</w:t>
            </w:r>
            <w:r>
              <w:rPr>
                <w:rFonts w:hint="eastAsia" w:cs="Times New Roman"/>
                <w:color w:val="auto"/>
                <w:sz w:val="24"/>
                <w:szCs w:val="24"/>
                <w:lang w:val="en-US" w:eastAsia="zh-CN"/>
              </w:rPr>
              <w:t>星</w:t>
            </w:r>
            <w:r>
              <w:rPr>
                <w:rFonts w:hint="default" w:ascii="Times New Roman" w:hAnsi="Times New Roman" w:cs="Times New Roman"/>
                <w:color w:val="auto"/>
                <w:sz w:val="24"/>
                <w:szCs w:val="24"/>
                <w:lang w:val="en-US" w:eastAsia="zh-CN"/>
              </w:rPr>
              <w:t>级</w:t>
            </w:r>
            <w:r>
              <w:rPr>
                <w:rFonts w:hint="eastAsia" w:cs="Times New Roman"/>
                <w:color w:val="auto"/>
                <w:sz w:val="24"/>
                <w:szCs w:val="24"/>
                <w:lang w:val="en-US" w:eastAsia="zh-CN"/>
              </w:rPr>
              <w:t>现代</w:t>
            </w:r>
            <w:r>
              <w:rPr>
                <w:rFonts w:hint="default" w:ascii="Times New Roman" w:hAnsi="Times New Roman" w:cs="Times New Roman"/>
                <w:color w:val="auto"/>
                <w:sz w:val="24"/>
                <w:szCs w:val="24"/>
                <w:lang w:val="en-US" w:eastAsia="zh-CN"/>
              </w:rPr>
              <w:t>农业园区</w:t>
            </w: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犍为县茉莉花农旅现代农业园区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茶叶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3</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cs="Times New Roman"/>
                <w:color w:val="auto"/>
                <w:sz w:val="22"/>
                <w:szCs w:val="22"/>
                <w:lang w:val="en-US" w:eastAsia="zh-CN"/>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乐山市沙湾区中药材现代农业园区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cs="Times New Roman"/>
                <w:color w:val="auto"/>
                <w:kern w:val="3"/>
                <w:sz w:val="24"/>
                <w:szCs w:val="24"/>
                <w:lang w:val="en-US" w:eastAsia="zh-CN" w:bidi="ar-SA"/>
              </w:rPr>
              <w:t>中药材（</w:t>
            </w:r>
            <w:r>
              <w:rPr>
                <w:rFonts w:hint="default" w:ascii="Times New Roman" w:hAnsi="Times New Roman" w:eastAsia="仿宋_GB2312" w:cs="Times New Roman"/>
                <w:color w:val="auto"/>
                <w:kern w:val="3"/>
                <w:sz w:val="24"/>
                <w:szCs w:val="24"/>
                <w:lang w:val="en-US" w:eastAsia="zh-CN" w:bidi="ar-SA"/>
              </w:rPr>
              <w:t>川佛手 、柔毛淫羊藿</w:t>
            </w:r>
            <w:r>
              <w:rPr>
                <w:rFonts w:hint="eastAsia" w:cs="Times New Roman"/>
                <w:color w:val="auto"/>
                <w:kern w:val="3"/>
                <w:sz w:val="24"/>
                <w:szCs w:val="24"/>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4</w:t>
            </w:r>
          </w:p>
        </w:tc>
        <w:tc>
          <w:tcPr>
            <w:tcW w:w="1010"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80" w:leftChars="-25" w:right="-80" w:rightChars="-25"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井研县集益柑橘生猪种养循环现代农业园区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柑橘、生猪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5</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乐山市</w:t>
            </w:r>
            <w:r>
              <w:rPr>
                <w:rFonts w:hint="eastAsia" w:ascii="Times New Roman" w:hAnsi="Times New Roman" w:cs="Times New Roman"/>
                <w:color w:val="auto"/>
                <w:sz w:val="24"/>
                <w:szCs w:val="24"/>
                <w:lang w:val="en-US" w:eastAsia="zh-CN"/>
              </w:rPr>
              <w:t>市中区水产现代农业园区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水产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6</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夹江县茶叶生猪种养循环现代农业园区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茶叶、生猪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7</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马边彝族自治县茶叶现代农业园区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茶叶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8</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乐山市</w:t>
            </w:r>
            <w:r>
              <w:rPr>
                <w:rFonts w:hint="eastAsia" w:ascii="Times New Roman" w:hAnsi="Times New Roman" w:cs="Times New Roman"/>
                <w:color w:val="auto"/>
                <w:sz w:val="24"/>
                <w:szCs w:val="24"/>
                <w:lang w:val="en-US" w:eastAsia="zh-CN"/>
              </w:rPr>
              <w:t>市中区剑峰生猪种养循环现代农业园区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生猪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9</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乐山市</w:t>
            </w:r>
            <w:r>
              <w:rPr>
                <w:rFonts w:hint="eastAsia" w:ascii="Times New Roman" w:hAnsi="Times New Roman" w:cs="Times New Roman"/>
                <w:color w:val="auto"/>
                <w:sz w:val="24"/>
                <w:szCs w:val="24"/>
                <w:lang w:val="en-US" w:eastAsia="zh-CN"/>
              </w:rPr>
              <w:t>五通桥区稻菜现代农业园区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水稻、蔬菜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10</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乐山市</w:t>
            </w:r>
            <w:r>
              <w:rPr>
                <w:rFonts w:hint="eastAsia" w:ascii="Times New Roman" w:hAnsi="Times New Roman" w:cs="Times New Roman"/>
                <w:color w:val="auto"/>
                <w:sz w:val="24"/>
                <w:szCs w:val="24"/>
                <w:lang w:val="en-US" w:eastAsia="zh-CN"/>
              </w:rPr>
              <w:t>沙湾区踏水稻菜现代农业园区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水稻、蔬菜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11</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乐山市</w:t>
            </w:r>
            <w:r>
              <w:rPr>
                <w:rFonts w:hint="eastAsia" w:ascii="Times New Roman" w:hAnsi="Times New Roman" w:cs="Times New Roman"/>
                <w:color w:val="auto"/>
                <w:sz w:val="24"/>
                <w:szCs w:val="24"/>
                <w:lang w:val="en-US" w:eastAsia="zh-CN"/>
              </w:rPr>
              <w:t>金口河区中药材现代农业园区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川牛膝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12</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峨眉山市稻药现代农业园区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水稻+中药材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13</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犍为县罗城粮油现代农业园区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水稻、油菜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r>
              <w:rPr>
                <w:rFonts w:hint="eastAsia" w:ascii="Times New Roman" w:hAnsi="Times New Roman" w:cs="Times New Roman"/>
                <w:color w:val="auto"/>
                <w:kern w:val="3"/>
                <w:sz w:val="22"/>
                <w:szCs w:val="22"/>
                <w:lang w:val="en-US" w:eastAsia="zh-CN" w:bidi="ar-SA"/>
              </w:rPr>
              <w:t>14</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夹江县黄土稻药现代农业园区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cs="Times New Roman"/>
                <w:color w:val="auto"/>
                <w:sz w:val="24"/>
                <w:szCs w:val="24"/>
                <w:lang w:val="en-US" w:eastAsia="zh-CN"/>
              </w:rPr>
              <w:t>水稻+泽泻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2"/>
                <w:sz w:val="22"/>
                <w:szCs w:val="22"/>
                <w:lang w:val="en-US" w:eastAsia="zh-CN" w:bidi="ar-SA"/>
              </w:rPr>
            </w:pPr>
            <w:r>
              <w:rPr>
                <w:rFonts w:hint="eastAsia" w:ascii="Times New Roman" w:hAnsi="Times New Roman" w:cs="Times New Roman"/>
                <w:color w:val="auto"/>
                <w:sz w:val="22"/>
                <w:szCs w:val="22"/>
                <w:lang w:val="en-US" w:eastAsia="zh-CN"/>
              </w:rPr>
              <w:t>15</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沐川县茶叶生猪种养循环现代农业园区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茶叶、生猪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2"/>
                <w:sz w:val="22"/>
                <w:szCs w:val="22"/>
                <w:lang w:val="en-US" w:eastAsia="zh-CN" w:bidi="ar-SA"/>
              </w:rPr>
            </w:pPr>
            <w:r>
              <w:rPr>
                <w:rFonts w:hint="eastAsia" w:cs="Times New Roman"/>
                <w:color w:val="auto"/>
                <w:sz w:val="22"/>
                <w:szCs w:val="22"/>
                <w:lang w:val="en-US" w:eastAsia="zh-CN"/>
              </w:rPr>
              <w:t>16</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沐川县魔芋现代农业园区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魔芋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2"/>
                <w:sz w:val="22"/>
                <w:szCs w:val="22"/>
                <w:lang w:val="en-US" w:eastAsia="zh-CN" w:bidi="ar-SA"/>
              </w:rPr>
            </w:pPr>
            <w:r>
              <w:rPr>
                <w:rFonts w:hint="eastAsia" w:cs="Times New Roman"/>
                <w:color w:val="auto"/>
                <w:sz w:val="22"/>
                <w:szCs w:val="22"/>
                <w:lang w:val="en-US" w:eastAsia="zh-CN"/>
              </w:rPr>
              <w:t>17</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峨边彝族自治县马铃薯现代农业园区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马铃薯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atLeast"/>
          <w:jc w:val="center"/>
        </w:trPr>
        <w:tc>
          <w:tcPr>
            <w:tcW w:w="385"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auto"/>
                <w:kern w:val="2"/>
                <w:sz w:val="22"/>
                <w:szCs w:val="22"/>
                <w:lang w:val="en-US" w:eastAsia="zh-CN" w:bidi="ar-SA"/>
              </w:rPr>
            </w:pPr>
            <w:r>
              <w:rPr>
                <w:rFonts w:hint="eastAsia" w:cs="Times New Roman"/>
                <w:color w:val="auto"/>
                <w:sz w:val="22"/>
                <w:szCs w:val="22"/>
                <w:lang w:val="en-US" w:eastAsia="zh-CN"/>
              </w:rPr>
              <w:t>18</w:t>
            </w:r>
          </w:p>
        </w:tc>
        <w:tc>
          <w:tcPr>
            <w:tcW w:w="101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60" w:leftChars="-50" w:right="-160" w:rightChars="-50" w:firstLine="0" w:firstLineChars="0"/>
              <w:jc w:val="center"/>
              <w:textAlignment w:val="center"/>
              <w:rPr>
                <w:rFonts w:hint="default" w:ascii="Times New Roman" w:hAnsi="Times New Roman" w:eastAsia="仿宋_GB2312" w:cs="Times New Roman"/>
                <w:color w:val="auto"/>
                <w:kern w:val="3"/>
                <w:sz w:val="22"/>
                <w:szCs w:val="22"/>
                <w:lang w:val="en-US" w:eastAsia="zh-CN" w:bidi="ar-SA"/>
              </w:rPr>
            </w:pPr>
          </w:p>
        </w:tc>
        <w:tc>
          <w:tcPr>
            <w:tcW w:w="1984"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马边彝族自治县荣丁猕猴桃现代农业园区</w:t>
            </w:r>
          </w:p>
        </w:tc>
        <w:tc>
          <w:tcPr>
            <w:tcW w:w="1618" w:type="pct"/>
            <w:noWrap w:val="0"/>
            <w:vAlign w:val="center"/>
          </w:tcPr>
          <w:p>
            <w:pPr>
              <w:keepNext w:val="0"/>
              <w:keepLines w:val="0"/>
              <w:pageBreakBefore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猕猴桃</w:t>
            </w:r>
          </w:p>
        </w:tc>
      </w:tr>
    </w:tbl>
    <w:p>
      <w:pPr>
        <w:rPr>
          <w:rFonts w:hint="eastAsia" w:ascii="Times New Roman" w:hAnsi="Times New Roman" w:cs="Times New Roman"/>
          <w:b/>
          <w:bCs/>
          <w:color w:val="auto"/>
          <w:kern w:val="3"/>
          <w:sz w:val="32"/>
          <w:rtl w:val="0"/>
          <w:lang w:val="en-US" w:eastAsia="zh-CN"/>
        </w:rPr>
      </w:pPr>
      <w:r>
        <w:rPr>
          <w:rFonts w:hint="eastAsia" w:ascii="Times New Roman" w:hAnsi="Times New Roman" w:cs="Times New Roman"/>
          <w:b/>
          <w:bCs/>
          <w:color w:val="auto"/>
          <w:kern w:val="3"/>
          <w:sz w:val="32"/>
          <w:rtl w:val="0"/>
          <w:lang w:val="en-US" w:eastAsia="zh-CN"/>
        </w:rPr>
        <w:t>3.现代服务加快转型</w:t>
      </w:r>
    </w:p>
    <w:p>
      <w:pP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近年来乐山市深入实施扩大内需战略，积极举办购物节、电商直播大赛等系列活动，培育营销“乐山造”消费品牌，持续深化物流企业与商贸企业合作，不断完善“交商邮供”融合发展体系，大力推进物流业向现代服务业转型。2024年全市第三产业增加值1152.4亿元、同比增长6%，其中物流业增加值97.3亿元、同比增长4.7%，占服务业增加值的8.4%。</w:t>
      </w:r>
    </w:p>
    <w:p>
      <w:pPr>
        <w:rPr>
          <w:rFonts w:hint="eastAsia" w:ascii="Times New Roman" w:hAnsi="Times New Roman" w:cs="Times New Roman"/>
          <w:b/>
          <w:bCs/>
          <w:color w:val="auto"/>
          <w:kern w:val="3"/>
          <w:sz w:val="32"/>
          <w:rtl w:val="0"/>
          <w:lang w:val="en-US" w:eastAsia="zh-CN"/>
        </w:rPr>
      </w:pPr>
      <w:r>
        <w:rPr>
          <w:rFonts w:hint="eastAsia" w:cs="Times New Roman"/>
          <w:b/>
          <w:bCs/>
          <w:color w:val="auto"/>
          <w:kern w:val="3"/>
          <w:sz w:val="32"/>
          <w:rtl w:val="0"/>
          <w:lang w:val="en-US" w:eastAsia="zh-CN"/>
        </w:rPr>
        <w:t>4</w:t>
      </w:r>
      <w:r>
        <w:rPr>
          <w:rFonts w:hint="eastAsia" w:ascii="Times New Roman" w:hAnsi="Times New Roman" w:cs="Times New Roman"/>
          <w:b/>
          <w:bCs/>
          <w:color w:val="auto"/>
          <w:kern w:val="3"/>
          <w:sz w:val="32"/>
          <w:rtl w:val="0"/>
          <w:lang w:val="en-US" w:eastAsia="zh-CN"/>
        </w:rPr>
        <w:t>.外贸增速全省领先</w:t>
      </w:r>
    </w:p>
    <w:p>
      <w:pPr>
        <w:rPr>
          <w:rFonts w:hint="eastAsia"/>
          <w:color w:val="auto"/>
          <w:lang w:val="en-US" w:eastAsia="zh-CN"/>
        </w:rPr>
      </w:pPr>
      <w:r>
        <w:rPr>
          <w:rFonts w:hint="eastAsia" w:ascii="Times New Roman" w:hAnsi="Times New Roman" w:cs="Times New Roman"/>
          <w:color w:val="auto"/>
          <w:lang w:val="en-US" w:eastAsia="zh-CN"/>
        </w:rPr>
        <w:t>乐山市</w:t>
      </w:r>
      <w:r>
        <w:rPr>
          <w:rFonts w:hint="default" w:ascii="Times New Roman" w:hAnsi="Times New Roman" w:cs="Times New Roman"/>
          <w:b w:val="0"/>
          <w:bCs w:val="0"/>
          <w:color w:val="auto"/>
          <w:lang w:val="en-US" w:eastAsia="zh-CN"/>
        </w:rPr>
        <w:t>作为全国首批对外开放城市，</w:t>
      </w:r>
      <w:r>
        <w:rPr>
          <w:rFonts w:hint="eastAsia" w:ascii="Times New Roman" w:hAnsi="Times New Roman" w:cs="Times New Roman"/>
          <w:color w:val="auto"/>
          <w:lang w:val="en-US" w:eastAsia="zh-CN"/>
        </w:rPr>
        <w:t>积极融入“一带一路”、西部陆海新通道建设，不断深化与沿线国家和地区的经贸合作</w:t>
      </w:r>
      <w:r>
        <w:rPr>
          <w:rFonts w:hint="default" w:ascii="Times New Roman" w:hAnsi="Times New Roman" w:cs="Times New Roman"/>
          <w:b w:val="0"/>
          <w:bCs w:val="0"/>
          <w:color w:val="auto"/>
          <w:lang w:val="en-US" w:eastAsia="zh-CN"/>
        </w:rPr>
        <w:t>，</w:t>
      </w:r>
      <w:r>
        <w:rPr>
          <w:rFonts w:hint="eastAsia" w:ascii="Times New Roman" w:hAnsi="Times New Roman" w:cs="Times New Roman"/>
          <w:b w:val="0"/>
          <w:bCs w:val="0"/>
          <w:color w:val="auto"/>
          <w:lang w:val="en-US" w:eastAsia="zh-CN"/>
        </w:rPr>
        <w:t>“乐山造”产品出口国家和地区超过120个，累计培育外贸实绩企业</w:t>
      </w:r>
      <w:r>
        <w:rPr>
          <w:rFonts w:hint="eastAsia" w:cs="Times New Roman"/>
          <w:b w:val="0"/>
          <w:bCs w:val="0"/>
          <w:color w:val="auto"/>
          <w:lang w:val="en-US" w:eastAsia="zh-CN"/>
        </w:rPr>
        <w:t>123</w:t>
      </w:r>
      <w:r>
        <w:rPr>
          <w:rFonts w:hint="eastAsia" w:ascii="Times New Roman" w:hAnsi="Times New Roman" w:cs="Times New Roman"/>
          <w:b w:val="0"/>
          <w:bCs w:val="0"/>
          <w:color w:val="auto"/>
          <w:lang w:val="en-US" w:eastAsia="zh-CN"/>
        </w:rPr>
        <w:t>家，成功获批省级外贸转型升级基地1个。2</w:t>
      </w:r>
      <w:r>
        <w:rPr>
          <w:rFonts w:hint="eastAsia" w:ascii="Times New Roman" w:hAnsi="Times New Roman" w:cs="Times New Roman"/>
          <w:color w:val="auto"/>
          <w:lang w:val="en-US" w:eastAsia="zh-CN"/>
        </w:rPr>
        <w:t>024年，乐山市货物贸易进出口总值80.7亿元，</w:t>
      </w:r>
      <w:r>
        <w:rPr>
          <w:rFonts w:hint="eastAsia" w:cs="Times New Roman"/>
          <w:color w:val="auto"/>
          <w:lang w:val="en-US" w:eastAsia="zh-CN"/>
        </w:rPr>
        <w:t>占GDP比重约3.2%，低于全省16.2%的平均水平；但乐山外贸同比</w:t>
      </w:r>
      <w:r>
        <w:rPr>
          <w:rFonts w:hint="eastAsia" w:ascii="Times New Roman" w:hAnsi="Times New Roman" w:cs="Times New Roman"/>
          <w:color w:val="auto"/>
          <w:lang w:val="en-US" w:eastAsia="zh-CN"/>
        </w:rPr>
        <w:t>增长14.6％，</w:t>
      </w:r>
      <w:r>
        <w:rPr>
          <w:rFonts w:hint="eastAsia" w:cs="Times New Roman"/>
          <w:color w:val="auto"/>
          <w:lang w:val="en-US" w:eastAsia="zh-CN"/>
        </w:rPr>
        <w:t>其中</w:t>
      </w:r>
      <w:r>
        <w:rPr>
          <w:rFonts w:hint="eastAsia" w:ascii="Times New Roman" w:hAnsi="Times New Roman" w:cs="Times New Roman"/>
          <w:color w:val="auto"/>
          <w:lang w:val="en-US" w:eastAsia="zh-CN"/>
        </w:rPr>
        <w:t>出口增速全省第三</w:t>
      </w:r>
      <w:r>
        <w:rPr>
          <w:rFonts w:hint="eastAsia" w:cs="Times New Roman"/>
          <w:color w:val="auto"/>
          <w:lang w:val="en-US" w:eastAsia="zh-CN"/>
        </w:rPr>
        <w:t>，</w:t>
      </w:r>
      <w:r>
        <w:rPr>
          <w:rFonts w:hint="eastAsia" w:ascii="Times New Roman" w:hAnsi="Times New Roman" w:cs="Times New Roman"/>
          <w:b w:val="0"/>
          <w:bCs w:val="0"/>
          <w:color w:val="auto"/>
          <w:lang w:val="en-US" w:eastAsia="zh-CN"/>
        </w:rPr>
        <w:t>茶叶、魔芋等农产品远销欧亚，稀土、魔芋制品出口规模</w:t>
      </w:r>
      <w:r>
        <w:rPr>
          <w:rFonts w:hint="eastAsia" w:cs="Times New Roman"/>
          <w:b w:val="0"/>
          <w:bCs w:val="0"/>
          <w:color w:val="auto"/>
          <w:lang w:val="en-US" w:eastAsia="zh-CN"/>
        </w:rPr>
        <w:t>全省领跑，全市未来仍然具有强劲的国际物流发展需求</w:t>
      </w:r>
      <w:r>
        <w:rPr>
          <w:rFonts w:hint="eastAsia" w:ascii="Times New Roman" w:hAnsi="Times New Roman" w:cs="Times New Roman"/>
          <w:b w:val="0"/>
          <w:bCs w:val="0"/>
          <w:color w:val="auto"/>
          <w:lang w:val="en-US" w:eastAsia="zh-CN"/>
        </w:rPr>
        <w:t>。</w:t>
      </w:r>
    </w:p>
    <w:p>
      <w:pPr>
        <w:pStyle w:val="5"/>
        <w:bidi w:val="0"/>
        <w:rPr>
          <w:rFonts w:hint="eastAsia"/>
          <w:color w:val="auto"/>
          <w:lang w:val="en-US" w:eastAsia="zh-CN"/>
        </w:rPr>
      </w:pPr>
      <w:r>
        <w:rPr>
          <w:rFonts w:hint="eastAsia"/>
          <w:color w:val="auto"/>
          <w:lang w:val="en-US" w:eastAsia="zh-CN"/>
        </w:rPr>
        <w:t>交通区位</w:t>
      </w:r>
    </w:p>
    <w:p>
      <w:pPr>
        <w:keepNext w:val="0"/>
        <w:keepLines w:val="0"/>
        <w:widowControl/>
        <w:suppressLineNumbers w:val="0"/>
        <w:jc w:val="left"/>
        <w:rPr>
          <w:rFonts w:hint="eastAsia" w:cs="Times New Roman"/>
          <w:b/>
          <w:bCs/>
          <w:color w:val="auto"/>
          <w:kern w:val="3"/>
          <w:sz w:val="32"/>
          <w:rtl w:val="0"/>
          <w:lang w:val="en-US" w:eastAsia="zh-CN"/>
        </w:rPr>
      </w:pPr>
      <w:r>
        <w:rPr>
          <w:rFonts w:hint="eastAsia" w:ascii="Times New Roman" w:hAnsi="Times New Roman" w:cs="Times New Roman"/>
          <w:b/>
          <w:bCs/>
          <w:color w:val="auto"/>
          <w:kern w:val="3"/>
          <w:sz w:val="32"/>
          <w:rtl w:val="0"/>
          <w:lang w:val="en-US" w:eastAsia="zh-CN"/>
        </w:rPr>
        <w:t>1.乐山是</w:t>
      </w:r>
      <w:r>
        <w:rPr>
          <w:rFonts w:hint="eastAsia" w:cs="Times New Roman"/>
          <w:b/>
          <w:bCs/>
          <w:color w:val="auto"/>
          <w:kern w:val="3"/>
          <w:sz w:val="32"/>
          <w:rtl w:val="0"/>
          <w:lang w:val="en-US" w:eastAsia="zh-CN"/>
        </w:rPr>
        <w:t>9条</w:t>
      </w:r>
      <w:r>
        <w:rPr>
          <w:rFonts w:hint="eastAsia" w:ascii="Times New Roman" w:hAnsi="Times New Roman" w:cs="Times New Roman"/>
          <w:b/>
          <w:bCs/>
          <w:color w:val="auto"/>
          <w:kern w:val="3"/>
          <w:sz w:val="32"/>
          <w:rtl w:val="0"/>
          <w:lang w:val="en-US" w:eastAsia="zh-CN"/>
        </w:rPr>
        <w:t>国家重要战略通道的</w:t>
      </w:r>
      <w:r>
        <w:rPr>
          <w:rFonts w:hint="eastAsia" w:cs="Times New Roman"/>
          <w:b/>
          <w:bCs/>
          <w:color w:val="auto"/>
          <w:kern w:val="3"/>
          <w:sz w:val="32"/>
          <w:rtl w:val="0"/>
          <w:lang w:val="en-US" w:eastAsia="zh-CN"/>
        </w:rPr>
        <w:t>关键组成</w:t>
      </w:r>
    </w:p>
    <w:p>
      <w:pPr>
        <w:keepNext w:val="0"/>
        <w:keepLines w:val="0"/>
        <w:widowControl/>
        <w:suppressLineNumbers w:val="0"/>
        <w:jc w:val="left"/>
        <w:rPr>
          <w:rFonts w:hint="eastAsia" w:ascii="Times New Roman" w:hAnsi="Times New Roman" w:cs="Times New Roman"/>
          <w:color w:val="auto"/>
          <w:kern w:val="3"/>
          <w:sz w:val="32"/>
          <w:rtl w:val="0"/>
          <w:lang w:val="en-US" w:eastAsia="zh-CN"/>
        </w:rPr>
      </w:pPr>
      <w:r>
        <w:rPr>
          <w:rFonts w:hint="default" w:ascii="Times New Roman" w:hAnsi="Times New Roman" w:cs="Times New Roman"/>
          <w:color w:val="auto"/>
          <w:kern w:val="3"/>
          <w:sz w:val="32"/>
          <w:rtl w:val="0"/>
          <w:lang w:val="en-US" w:eastAsia="zh-CN"/>
        </w:rPr>
        <w:t>乐山</w:t>
      </w:r>
      <w:r>
        <w:rPr>
          <w:rFonts w:hint="eastAsia" w:ascii="Times New Roman" w:hAnsi="Times New Roman" w:cs="Times New Roman"/>
          <w:color w:val="auto"/>
          <w:kern w:val="3"/>
          <w:sz w:val="32"/>
          <w:rtl w:val="0"/>
          <w:lang w:val="en-US" w:eastAsia="zh-CN"/>
        </w:rPr>
        <w:t>地处</w:t>
      </w:r>
      <w:r>
        <w:rPr>
          <w:rFonts w:hint="eastAsia" w:cs="Times New Roman"/>
          <w:color w:val="auto"/>
          <w:kern w:val="3"/>
          <w:sz w:val="32"/>
          <w:rtl w:val="0"/>
          <w:lang w:val="en-US" w:eastAsia="zh-CN"/>
        </w:rPr>
        <w:t>“一带一路”</w:t>
      </w:r>
      <w:r>
        <w:rPr>
          <w:rFonts w:hint="eastAsia" w:ascii="Times New Roman" w:hAnsi="Times New Roman" w:cs="Times New Roman"/>
          <w:color w:val="auto"/>
          <w:kern w:val="3"/>
          <w:sz w:val="32"/>
          <w:rtl w:val="0"/>
          <w:lang w:val="en-US" w:eastAsia="zh-CN"/>
        </w:rPr>
        <w:t>、长江经济带和西部陆海新通道“Y”字型衔接交汇点</w:t>
      </w:r>
      <w:r>
        <w:rPr>
          <w:rFonts w:hint="eastAsia" w:cs="Times New Roman"/>
          <w:color w:val="auto"/>
          <w:kern w:val="3"/>
          <w:sz w:val="32"/>
          <w:rtl w:val="0"/>
          <w:lang w:val="en-US" w:eastAsia="zh-CN"/>
        </w:rPr>
        <w:t>，</w:t>
      </w:r>
      <w:r>
        <w:rPr>
          <w:rFonts w:hint="eastAsia" w:ascii="Times New Roman" w:hAnsi="Times New Roman" w:cs="Times New Roman"/>
          <w:color w:val="auto"/>
          <w:kern w:val="3"/>
          <w:sz w:val="32"/>
          <w:rtl w:val="0"/>
          <w:lang w:val="en-US" w:eastAsia="zh-CN"/>
        </w:rPr>
        <w:t>是国内国际双循环重要的中转枢纽。《西部陆海新通道总体规划》提出构建以成都、重庆为起点的东中西</w:t>
      </w:r>
      <w:r>
        <w:rPr>
          <w:rFonts w:hint="default" w:ascii="Times New Roman" w:hAnsi="Times New Roman" w:cs="Times New Roman"/>
          <w:color w:val="auto"/>
          <w:kern w:val="3"/>
          <w:sz w:val="32"/>
          <w:rtl w:val="0"/>
          <w:lang w:val="en-US" w:eastAsia="zh-CN"/>
        </w:rPr>
        <w:t>3条通道，</w:t>
      </w:r>
      <w:r>
        <w:rPr>
          <w:rFonts w:hint="eastAsia" w:cs="Times New Roman"/>
          <w:color w:val="auto"/>
          <w:kern w:val="3"/>
          <w:sz w:val="32"/>
          <w:rtl w:val="0"/>
          <w:lang w:val="en-US" w:eastAsia="zh-CN"/>
        </w:rPr>
        <w:t>乐山</w:t>
      </w:r>
      <w:r>
        <w:rPr>
          <w:rFonts w:hint="eastAsia" w:ascii="Times New Roman" w:hAnsi="Times New Roman" w:cs="Times New Roman"/>
          <w:color w:val="auto"/>
          <w:kern w:val="3"/>
          <w:sz w:val="32"/>
          <w:rtl w:val="0"/>
          <w:lang w:val="en-US" w:eastAsia="zh-CN"/>
        </w:rPr>
        <w:t>是自成都经泸州（宜宾）、百色至北部湾出海口通道上的重要节点城市。乐山通过与成都国际铁路港港地联动、资源整合，正加快打造</w:t>
      </w:r>
      <w:r>
        <w:rPr>
          <w:rFonts w:hint="default" w:ascii="Times New Roman" w:hAnsi="Times New Roman" w:cs="Times New Roman"/>
          <w:color w:val="auto"/>
          <w:kern w:val="3"/>
          <w:sz w:val="32"/>
          <w:rtl w:val="0"/>
          <w:lang w:val="en-US" w:eastAsia="zh-CN"/>
        </w:rPr>
        <w:t>“中欧班列+西部陆海新通道”成都集结中心乐山基地</w:t>
      </w:r>
      <w:r>
        <w:rPr>
          <w:rFonts w:hint="eastAsia" w:ascii="Times New Roman" w:hAnsi="Times New Roman" w:cs="Times New Roman"/>
          <w:color w:val="auto"/>
          <w:kern w:val="3"/>
          <w:sz w:val="32"/>
          <w:rtl w:val="0"/>
          <w:lang w:val="en-US" w:eastAsia="zh-CN"/>
        </w:rPr>
        <w:t>，助力实现西部陆海新通道与中欧班列的互联互通、无缝衔接，进一步提升东南亚—中国西部—欧洲（中亚）的货物贸易流通效率。</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kern w:val="3"/>
          <w:sz w:val="32"/>
          <w:rtl w:val="0"/>
          <w:lang w:val="en-US" w:eastAsia="zh-CN"/>
        </w:rPr>
      </w:pPr>
      <w:r>
        <w:rPr>
          <w:rFonts w:hint="eastAsia" w:ascii="Times New Roman" w:hAnsi="Times New Roman" w:cs="Times New Roman"/>
          <w:color w:val="auto"/>
          <w:kern w:val="3"/>
          <w:sz w:val="32"/>
          <w:rtl w:val="0"/>
          <w:lang w:val="en-US" w:eastAsia="zh-CN"/>
        </w:rPr>
        <w:drawing>
          <wp:inline distT="0" distB="0" distL="114300" distR="114300">
            <wp:extent cx="5760085" cy="4008120"/>
            <wp:effectExtent l="9525" t="9525" r="21590" b="20955"/>
            <wp:docPr id="14" name="图片 14" descr="b7196327a711d06b8544d29fe79c40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b7196327a711d06b8544d29fe79c40b9"/>
                    <pic:cNvPicPr>
                      <a:picLocks noChangeAspect="1"/>
                    </pic:cNvPicPr>
                  </pic:nvPicPr>
                  <pic:blipFill>
                    <a:blip r:embed="rId23"/>
                    <a:srcRect l="3144" t="4615" r="2759" b="2799"/>
                    <a:stretch>
                      <a:fillRect/>
                    </a:stretch>
                  </pic:blipFill>
                  <pic:spPr>
                    <a:xfrm>
                      <a:off x="0" y="0"/>
                      <a:ext cx="5760085" cy="4008120"/>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cs="Times New Roman"/>
          <w:color w:val="auto"/>
        </w:rPr>
      </w:pPr>
      <w:r>
        <w:rPr>
          <w:rFonts w:hint="default" w:ascii="Times New Roman" w:hAnsi="Times New Roman" w:eastAsia="楷体" w:cs="Times New Roman"/>
          <w:color w:val="auto"/>
          <w:kern w:val="3"/>
          <w:sz w:val="28"/>
          <w:szCs w:val="20"/>
          <w:highlight w:val="none"/>
          <w:lang w:val="en-US" w:eastAsia="zh-CN" w:bidi="ar-SA"/>
        </w:rPr>
        <w:t xml:space="preserve">图 </w:t>
      </w:r>
      <w:r>
        <w:rPr>
          <w:rFonts w:hint="default" w:ascii="Times New Roman" w:hAnsi="Times New Roman" w:eastAsia="楷体" w:cs="Times New Roman"/>
          <w:color w:val="auto"/>
          <w:kern w:val="3"/>
          <w:sz w:val="28"/>
          <w:szCs w:val="20"/>
          <w:highlight w:val="none"/>
          <w:lang w:val="en-US" w:eastAsia="zh-CN" w:bidi="ar-SA"/>
        </w:rPr>
        <w:fldChar w:fldCharType="begin"/>
      </w:r>
      <w:r>
        <w:rPr>
          <w:rFonts w:hint="default" w:ascii="Times New Roman" w:hAnsi="Times New Roman" w:eastAsia="楷体" w:cs="Times New Roman"/>
          <w:color w:val="auto"/>
          <w:kern w:val="3"/>
          <w:sz w:val="28"/>
          <w:szCs w:val="20"/>
          <w:highlight w:val="none"/>
          <w:lang w:val="en-US" w:eastAsia="zh-CN" w:bidi="ar-SA"/>
        </w:rPr>
        <w:instrText xml:space="preserve"> STYLEREF 1 \s </w:instrText>
      </w:r>
      <w:r>
        <w:rPr>
          <w:rFonts w:hint="default" w:ascii="Times New Roman" w:hAnsi="Times New Roman" w:eastAsia="楷体" w:cs="Times New Roman"/>
          <w:color w:val="auto"/>
          <w:kern w:val="3"/>
          <w:sz w:val="28"/>
          <w:szCs w:val="20"/>
          <w:highlight w:val="none"/>
          <w:lang w:val="en-US" w:eastAsia="zh-CN" w:bidi="ar-SA"/>
        </w:rPr>
        <w:fldChar w:fldCharType="separate"/>
      </w:r>
      <w:r>
        <w:rPr>
          <w:rFonts w:hint="default" w:ascii="Times New Roman" w:hAnsi="Times New Roman" w:eastAsia="楷体" w:cs="Times New Roman"/>
          <w:color w:val="auto"/>
          <w:kern w:val="3"/>
          <w:sz w:val="28"/>
          <w:szCs w:val="20"/>
          <w:highlight w:val="none"/>
          <w:lang w:val="en-US" w:eastAsia="zh-CN" w:bidi="ar-SA"/>
        </w:rPr>
        <w:t>2</w:t>
      </w:r>
      <w:r>
        <w:rPr>
          <w:rFonts w:hint="default" w:ascii="Times New Roman" w:hAnsi="Times New Roman" w:eastAsia="楷体" w:cs="Times New Roman"/>
          <w:color w:val="auto"/>
          <w:kern w:val="3"/>
          <w:sz w:val="28"/>
          <w:szCs w:val="20"/>
          <w:highlight w:val="none"/>
          <w:lang w:val="en-US" w:eastAsia="zh-CN" w:bidi="ar-SA"/>
        </w:rPr>
        <w:fldChar w:fldCharType="end"/>
      </w:r>
      <w:r>
        <w:rPr>
          <w:rFonts w:hint="eastAsia" w:ascii="Times New Roman" w:hAnsi="Times New Roman" w:eastAsia="楷体" w:cs="Times New Roman"/>
          <w:color w:val="auto"/>
          <w:kern w:val="3"/>
          <w:sz w:val="28"/>
          <w:szCs w:val="20"/>
          <w:highlight w:val="none"/>
          <w:lang w:val="en-US" w:eastAsia="zh-CN" w:bidi="ar-SA"/>
        </w:rPr>
        <w:t>-</w:t>
      </w:r>
      <w:r>
        <w:rPr>
          <w:rFonts w:hint="default" w:ascii="Times New Roman" w:hAnsi="Times New Roman" w:eastAsia="楷体" w:cs="Times New Roman"/>
          <w:color w:val="auto"/>
          <w:kern w:val="3"/>
          <w:sz w:val="28"/>
          <w:szCs w:val="20"/>
          <w:highlight w:val="none"/>
          <w:lang w:val="en-US" w:eastAsia="zh-CN" w:bidi="ar-SA"/>
        </w:rPr>
        <w:fldChar w:fldCharType="begin"/>
      </w:r>
      <w:r>
        <w:rPr>
          <w:rFonts w:hint="default" w:ascii="Times New Roman" w:hAnsi="Times New Roman" w:eastAsia="楷体" w:cs="Times New Roman"/>
          <w:color w:val="auto"/>
          <w:kern w:val="3"/>
          <w:sz w:val="28"/>
          <w:szCs w:val="20"/>
          <w:highlight w:val="none"/>
          <w:lang w:val="en-US" w:eastAsia="zh-CN" w:bidi="ar-SA"/>
        </w:rPr>
        <w:instrText xml:space="preserve"> SEQ 图 \* ARABIC \s 1 </w:instrText>
      </w:r>
      <w:r>
        <w:rPr>
          <w:rFonts w:hint="default" w:ascii="Times New Roman" w:hAnsi="Times New Roman" w:eastAsia="楷体" w:cs="Times New Roman"/>
          <w:color w:val="auto"/>
          <w:kern w:val="3"/>
          <w:sz w:val="28"/>
          <w:szCs w:val="20"/>
          <w:highlight w:val="none"/>
          <w:lang w:val="en-US" w:eastAsia="zh-CN" w:bidi="ar-SA"/>
        </w:rPr>
        <w:fldChar w:fldCharType="separate"/>
      </w:r>
      <w:r>
        <w:rPr>
          <w:rFonts w:hint="default" w:ascii="Times New Roman" w:hAnsi="Times New Roman" w:eastAsia="楷体" w:cs="Times New Roman"/>
          <w:color w:val="auto"/>
          <w:kern w:val="3"/>
          <w:sz w:val="28"/>
          <w:szCs w:val="20"/>
          <w:highlight w:val="none"/>
          <w:lang w:val="en-US" w:eastAsia="zh-CN" w:bidi="ar-SA"/>
        </w:rPr>
        <w:t>1</w:t>
      </w:r>
      <w:r>
        <w:rPr>
          <w:rFonts w:hint="default" w:ascii="Times New Roman" w:hAnsi="Times New Roman" w:eastAsia="楷体" w:cs="Times New Roman"/>
          <w:color w:val="auto"/>
          <w:kern w:val="3"/>
          <w:sz w:val="28"/>
          <w:szCs w:val="20"/>
          <w:highlight w:val="none"/>
          <w:lang w:val="en-US" w:eastAsia="zh-CN" w:bidi="ar-SA"/>
        </w:rPr>
        <w:fldChar w:fldCharType="end"/>
      </w:r>
      <w:r>
        <w:rPr>
          <w:rFonts w:hint="default" w:ascii="Times New Roman" w:hAnsi="Times New Roman" w:eastAsia="楷体" w:cs="Times New Roman"/>
          <w:color w:val="auto"/>
          <w:kern w:val="3"/>
          <w:sz w:val="28"/>
          <w:szCs w:val="20"/>
          <w:highlight w:val="none"/>
          <w:lang w:val="en-US" w:eastAsia="zh-CN" w:bidi="ar-SA"/>
        </w:rPr>
        <w:t>乐山在</w:t>
      </w:r>
      <w:r>
        <w:rPr>
          <w:rFonts w:hint="eastAsia" w:ascii="Times New Roman" w:hAnsi="Times New Roman" w:cs="Times New Roman"/>
          <w:color w:val="auto"/>
          <w:kern w:val="3"/>
          <w:sz w:val="28"/>
          <w:szCs w:val="20"/>
          <w:highlight w:val="none"/>
          <w:lang w:val="en-US" w:eastAsia="zh-CN" w:bidi="ar-SA"/>
        </w:rPr>
        <w:t>国家战略通道中的区位</w:t>
      </w:r>
      <w:r>
        <w:rPr>
          <w:rFonts w:hint="default" w:ascii="Times New Roman" w:hAnsi="Times New Roman" w:eastAsia="楷体" w:cs="Times New Roman"/>
          <w:color w:val="auto"/>
          <w:kern w:val="3"/>
          <w:sz w:val="28"/>
          <w:szCs w:val="20"/>
          <w:highlight w:val="none"/>
          <w:lang w:val="en-US" w:eastAsia="zh-CN" w:bidi="ar-SA"/>
        </w:rPr>
        <w:t>示意图</w:t>
      </w:r>
    </w:p>
    <w:p>
      <w:pPr>
        <w:keepNext w:val="0"/>
        <w:keepLines w:val="0"/>
        <w:widowControl/>
        <w:suppressLineNumbers w:val="0"/>
        <w:jc w:val="left"/>
        <w:rPr>
          <w:rFonts w:hint="default" w:ascii="Times New Roman" w:hAnsi="Times New Roman" w:cs="Times New Roman"/>
          <w:color w:val="auto"/>
          <w:sz w:val="32"/>
          <w:szCs w:val="22"/>
          <w:rtl w:val="0"/>
          <w:lang w:val="en-US" w:eastAsia="zh-CN"/>
        </w:rPr>
      </w:pPr>
      <w:r>
        <w:rPr>
          <w:rFonts w:hint="eastAsia" w:ascii="Times New Roman" w:hAnsi="Times New Roman" w:cs="Times New Roman"/>
          <w:color w:val="auto"/>
          <w:sz w:val="32"/>
          <w:szCs w:val="22"/>
          <w:rtl w:val="0"/>
          <w:lang w:val="en-US" w:eastAsia="zh-CN"/>
        </w:rPr>
        <w:t>乐山在支撑构建全国骨架交通网络中</w:t>
      </w:r>
      <w:r>
        <w:rPr>
          <w:rFonts w:hint="eastAsia" w:cs="Times New Roman"/>
          <w:color w:val="auto"/>
          <w:sz w:val="32"/>
          <w:szCs w:val="22"/>
          <w:rtl w:val="0"/>
          <w:lang w:val="en-US" w:eastAsia="zh-CN"/>
        </w:rPr>
        <w:t>也</w:t>
      </w:r>
      <w:r>
        <w:rPr>
          <w:rFonts w:hint="eastAsia" w:ascii="Times New Roman" w:hAnsi="Times New Roman" w:cs="Times New Roman"/>
          <w:color w:val="auto"/>
          <w:sz w:val="32"/>
          <w:szCs w:val="22"/>
          <w:rtl w:val="0"/>
          <w:lang w:val="en-US" w:eastAsia="zh-CN"/>
        </w:rPr>
        <w:t>发挥着重要作用，</w:t>
      </w:r>
      <w:r>
        <w:rPr>
          <w:rFonts w:hint="default" w:ascii="Times New Roman" w:hAnsi="Times New Roman" w:cs="Times New Roman"/>
          <w:color w:val="auto"/>
          <w:sz w:val="32"/>
          <w:szCs w:val="22"/>
          <w:rtl w:val="0"/>
          <w:lang w:val="en-US" w:eastAsia="zh-CN"/>
        </w:rPr>
        <w:t>国家综合立体交通网主骨架“6轴7廊8通道”中有“2轴2廊1通道”在乐山汇集，其中“2轴”为长三角—成渝主轴、粤港澳—成渝主轴，“2廊”为西部陆海走廊、成渝昆走廊，“1通道”为川藏通道</w:t>
      </w:r>
      <w:r>
        <w:rPr>
          <w:rFonts w:hint="eastAsia" w:ascii="Times New Roman" w:hAnsi="Times New Roman" w:cs="Times New Roman"/>
          <w:color w:val="auto"/>
          <w:sz w:val="32"/>
          <w:szCs w:val="22"/>
          <w:rtl w:val="0"/>
          <w:lang w:val="en-US" w:eastAsia="zh-CN"/>
        </w:rPr>
        <w:t>；</w:t>
      </w:r>
      <w:r>
        <w:rPr>
          <w:rFonts w:hint="default" w:ascii="Times New Roman" w:hAnsi="Times New Roman" w:cs="Times New Roman"/>
          <w:color w:val="auto"/>
          <w:sz w:val="32"/>
          <w:szCs w:val="22"/>
          <w:rtl w:val="0"/>
          <w:lang w:val="en-US" w:eastAsia="zh-CN"/>
        </w:rPr>
        <w:t>国家“四横五纵”物流大通道有“1横1纵”在乐山汇集，其中“1横”为沿长江物流大通道，“1纵”为西南出海物流大通道</w:t>
      </w:r>
      <w:r>
        <w:rPr>
          <w:rFonts w:hint="eastAsia" w:ascii="Times New Roman" w:hAnsi="Times New Roman" w:cs="Times New Roman"/>
          <w:color w:val="auto"/>
          <w:sz w:val="32"/>
          <w:szCs w:val="22"/>
          <w:rtl w:val="0"/>
          <w:lang w:val="en-US" w:eastAsia="zh-CN"/>
        </w:rPr>
        <w:t>。</w:t>
      </w:r>
    </w:p>
    <w:p>
      <w:pPr>
        <w:keepNext w:val="0"/>
        <w:keepLines w:val="0"/>
        <w:pageBreakBefore w:val="0"/>
        <w:widowControl w:val="0"/>
        <w:kinsoku/>
        <w:wordWrap/>
        <w:overflowPunct/>
        <w:topLinePunct w:val="0"/>
        <w:autoSpaceDE/>
        <w:autoSpaceDN/>
        <w:bidi w:val="0"/>
        <w:adjustRightInd w:val="0"/>
        <w:snapToGrid w:val="0"/>
        <w:spacing w:before="79" w:beforeLines="25" w:after="79" w:afterLines="25" w:line="240" w:lineRule="auto"/>
        <w:ind w:firstLine="0" w:firstLineChars="0"/>
        <w:jc w:val="center"/>
        <w:textAlignment w:val="auto"/>
        <w:rPr>
          <w:rFonts w:hint="default" w:ascii="Times New Roman" w:hAnsi="Times New Roman" w:eastAsia="楷体" w:cs="Times New Roman"/>
          <w:color w:val="auto"/>
          <w:kern w:val="3"/>
          <w:sz w:val="28"/>
          <w:szCs w:val="20"/>
          <w:highlight w:val="none"/>
          <w:lang w:val="en-US" w:eastAsia="zh-CN" w:bidi="ar-SA"/>
        </w:rPr>
      </w:pPr>
      <w:r>
        <w:rPr>
          <w:rFonts w:hint="default" w:ascii="Times New Roman" w:hAnsi="Times New Roman" w:cs="Times New Roman"/>
          <w:color w:val="auto"/>
        </w:rPr>
        <w:drawing>
          <wp:inline distT="0" distB="0" distL="114300" distR="114300">
            <wp:extent cx="5760085" cy="3938270"/>
            <wp:effectExtent l="9525" t="9525" r="21590" b="1460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24"/>
                    <a:srcRect l="2164" t="2028" r="3057" b="1587"/>
                    <a:stretch>
                      <a:fillRect/>
                    </a:stretch>
                  </pic:blipFill>
                  <pic:spPr>
                    <a:xfrm>
                      <a:off x="0" y="0"/>
                      <a:ext cx="5760085" cy="3938270"/>
                    </a:xfrm>
                    <a:prstGeom prst="rect">
                      <a:avLst/>
                    </a:prstGeom>
                    <a:noFill/>
                    <a:ln>
                      <a:solidFill>
                        <a:schemeClr val="bg2">
                          <a:lumMod val="90000"/>
                        </a:schemeClr>
                      </a:solid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79" w:beforeLines="25" w:after="79" w:afterLines="25" w:line="240" w:lineRule="auto"/>
        <w:ind w:firstLine="0" w:firstLineChars="0"/>
        <w:jc w:val="center"/>
        <w:textAlignment w:val="auto"/>
        <w:rPr>
          <w:rFonts w:hint="default" w:ascii="Times New Roman" w:hAnsi="Times New Roman" w:eastAsia="楷体" w:cs="Times New Roman"/>
          <w:color w:val="auto"/>
          <w:kern w:val="3"/>
          <w:sz w:val="28"/>
          <w:szCs w:val="20"/>
          <w:highlight w:val="none"/>
          <w:lang w:val="en-US" w:eastAsia="zh-CN" w:bidi="ar-SA"/>
        </w:rPr>
      </w:pPr>
      <w:r>
        <w:rPr>
          <w:rFonts w:hint="default" w:ascii="Times New Roman" w:hAnsi="Times New Roman" w:eastAsia="楷体" w:cs="Times New Roman"/>
          <w:color w:val="auto"/>
          <w:kern w:val="3"/>
          <w:sz w:val="28"/>
          <w:szCs w:val="20"/>
          <w:highlight w:val="none"/>
          <w:lang w:val="en-US" w:eastAsia="zh-CN" w:bidi="ar-SA"/>
        </w:rPr>
        <w:t xml:space="preserve">图 </w:t>
      </w:r>
      <w:r>
        <w:rPr>
          <w:rFonts w:hint="default" w:ascii="Times New Roman" w:hAnsi="Times New Roman" w:eastAsia="楷体" w:cs="Times New Roman"/>
          <w:color w:val="auto"/>
          <w:kern w:val="3"/>
          <w:sz w:val="28"/>
          <w:szCs w:val="20"/>
          <w:highlight w:val="none"/>
          <w:lang w:val="en-US" w:eastAsia="zh-CN" w:bidi="ar-SA"/>
        </w:rPr>
        <w:fldChar w:fldCharType="begin"/>
      </w:r>
      <w:r>
        <w:rPr>
          <w:rFonts w:hint="default" w:ascii="Times New Roman" w:hAnsi="Times New Roman" w:eastAsia="楷体" w:cs="Times New Roman"/>
          <w:color w:val="auto"/>
          <w:kern w:val="3"/>
          <w:sz w:val="28"/>
          <w:szCs w:val="20"/>
          <w:highlight w:val="none"/>
          <w:lang w:val="en-US" w:eastAsia="zh-CN" w:bidi="ar-SA"/>
        </w:rPr>
        <w:instrText xml:space="preserve"> STYLEREF 1 \s </w:instrText>
      </w:r>
      <w:r>
        <w:rPr>
          <w:rFonts w:hint="default" w:ascii="Times New Roman" w:hAnsi="Times New Roman" w:eastAsia="楷体" w:cs="Times New Roman"/>
          <w:color w:val="auto"/>
          <w:kern w:val="3"/>
          <w:sz w:val="28"/>
          <w:szCs w:val="20"/>
          <w:highlight w:val="none"/>
          <w:lang w:val="en-US" w:eastAsia="zh-CN" w:bidi="ar-SA"/>
        </w:rPr>
        <w:fldChar w:fldCharType="separate"/>
      </w:r>
      <w:r>
        <w:rPr>
          <w:rFonts w:hint="default" w:ascii="Times New Roman" w:hAnsi="Times New Roman" w:eastAsia="楷体" w:cs="Times New Roman"/>
          <w:color w:val="auto"/>
          <w:kern w:val="3"/>
          <w:sz w:val="28"/>
          <w:szCs w:val="20"/>
          <w:highlight w:val="none"/>
          <w:lang w:val="en-US" w:eastAsia="zh-CN" w:bidi="ar-SA"/>
        </w:rPr>
        <w:t>2</w:t>
      </w:r>
      <w:r>
        <w:rPr>
          <w:rFonts w:hint="default" w:ascii="Times New Roman" w:hAnsi="Times New Roman" w:eastAsia="楷体" w:cs="Times New Roman"/>
          <w:color w:val="auto"/>
          <w:kern w:val="3"/>
          <w:sz w:val="28"/>
          <w:szCs w:val="20"/>
          <w:highlight w:val="none"/>
          <w:lang w:val="en-US" w:eastAsia="zh-CN" w:bidi="ar-SA"/>
        </w:rPr>
        <w:fldChar w:fldCharType="end"/>
      </w:r>
      <w:r>
        <w:rPr>
          <w:rFonts w:hint="eastAsia" w:ascii="Times New Roman" w:hAnsi="Times New Roman" w:eastAsia="楷体" w:cs="Times New Roman"/>
          <w:color w:val="auto"/>
          <w:kern w:val="3"/>
          <w:sz w:val="28"/>
          <w:szCs w:val="20"/>
          <w:highlight w:val="none"/>
          <w:lang w:val="en-US" w:eastAsia="zh-CN" w:bidi="ar-SA"/>
        </w:rPr>
        <w:t>-</w:t>
      </w:r>
      <w:r>
        <w:rPr>
          <w:rFonts w:hint="default" w:ascii="Times New Roman" w:hAnsi="Times New Roman" w:eastAsia="楷体" w:cs="Times New Roman"/>
          <w:color w:val="auto"/>
          <w:kern w:val="3"/>
          <w:sz w:val="28"/>
          <w:szCs w:val="20"/>
          <w:highlight w:val="none"/>
          <w:lang w:val="en-US" w:eastAsia="zh-CN" w:bidi="ar-SA"/>
        </w:rPr>
        <w:fldChar w:fldCharType="begin"/>
      </w:r>
      <w:r>
        <w:rPr>
          <w:rFonts w:hint="default" w:ascii="Times New Roman" w:hAnsi="Times New Roman" w:eastAsia="楷体" w:cs="Times New Roman"/>
          <w:color w:val="auto"/>
          <w:kern w:val="3"/>
          <w:sz w:val="28"/>
          <w:szCs w:val="20"/>
          <w:highlight w:val="none"/>
          <w:lang w:val="en-US" w:eastAsia="zh-CN" w:bidi="ar-SA"/>
        </w:rPr>
        <w:instrText xml:space="preserve"> SEQ 图 \* ARABIC \s 1 </w:instrText>
      </w:r>
      <w:r>
        <w:rPr>
          <w:rFonts w:hint="default" w:ascii="Times New Roman" w:hAnsi="Times New Roman" w:eastAsia="楷体" w:cs="Times New Roman"/>
          <w:color w:val="auto"/>
          <w:kern w:val="3"/>
          <w:sz w:val="28"/>
          <w:szCs w:val="20"/>
          <w:highlight w:val="none"/>
          <w:lang w:val="en-US" w:eastAsia="zh-CN" w:bidi="ar-SA"/>
        </w:rPr>
        <w:fldChar w:fldCharType="separate"/>
      </w:r>
      <w:r>
        <w:rPr>
          <w:rFonts w:hint="default" w:ascii="Times New Roman" w:hAnsi="Times New Roman" w:eastAsia="楷体" w:cs="Times New Roman"/>
          <w:color w:val="auto"/>
          <w:kern w:val="3"/>
          <w:sz w:val="28"/>
          <w:szCs w:val="20"/>
          <w:highlight w:val="none"/>
          <w:lang w:val="en-US" w:eastAsia="zh-CN" w:bidi="ar-SA"/>
        </w:rPr>
        <w:t>2</w:t>
      </w:r>
      <w:r>
        <w:rPr>
          <w:rFonts w:hint="default" w:ascii="Times New Roman" w:hAnsi="Times New Roman" w:eastAsia="楷体" w:cs="Times New Roman"/>
          <w:color w:val="auto"/>
          <w:kern w:val="3"/>
          <w:sz w:val="28"/>
          <w:szCs w:val="20"/>
          <w:highlight w:val="none"/>
          <w:lang w:val="en-US" w:eastAsia="zh-CN" w:bidi="ar-SA"/>
        </w:rPr>
        <w:fldChar w:fldCharType="end"/>
      </w:r>
      <w:r>
        <w:rPr>
          <w:rFonts w:hint="default" w:ascii="Times New Roman" w:hAnsi="Times New Roman" w:eastAsia="楷体" w:cs="Times New Roman"/>
          <w:color w:val="auto"/>
          <w:kern w:val="3"/>
          <w:sz w:val="28"/>
          <w:szCs w:val="20"/>
          <w:highlight w:val="none"/>
          <w:lang w:val="en-US" w:eastAsia="zh-CN" w:bidi="ar-SA"/>
        </w:rPr>
        <w:t>乐山在国家综合立体交通网位置示意图</w:t>
      </w:r>
    </w:p>
    <w:p>
      <w:pPr>
        <w:pStyle w:val="27"/>
        <w:bidi w:val="0"/>
        <w:rPr>
          <w:color w:val="auto"/>
        </w:rPr>
      </w:pPr>
      <w:r>
        <w:rPr>
          <w:color w:val="auto"/>
        </w:rPr>
        <w:drawing>
          <wp:inline distT="0" distB="0" distL="114300" distR="114300">
            <wp:extent cx="5760085" cy="3744595"/>
            <wp:effectExtent l="9525" t="9525" r="21590" b="1778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5"/>
                    <a:srcRect l="779" t="1007" r="645" b="1307"/>
                    <a:stretch>
                      <a:fillRect/>
                    </a:stretch>
                  </pic:blipFill>
                  <pic:spPr>
                    <a:xfrm>
                      <a:off x="0" y="0"/>
                      <a:ext cx="5760085" cy="3744595"/>
                    </a:xfrm>
                    <a:prstGeom prst="rect">
                      <a:avLst/>
                    </a:prstGeom>
                    <a:noFill/>
                    <a:ln>
                      <a:solidFill>
                        <a:schemeClr val="bg2">
                          <a:lumMod val="85000"/>
                        </a:schemeClr>
                      </a:solidFill>
                    </a:ln>
                  </pic:spPr>
                </pic:pic>
              </a:graphicData>
            </a:graphic>
          </wp:inline>
        </w:drawing>
      </w:r>
    </w:p>
    <w:p>
      <w:pPr>
        <w:pStyle w:val="7"/>
        <w:bidi w:val="0"/>
        <w:rPr>
          <w:rFonts w:hint="eastAsia" w:eastAsia="楷体"/>
          <w:color w:val="auto"/>
          <w:rtl w:val="0"/>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3</w:t>
      </w:r>
      <w:r>
        <w:rPr>
          <w:color w:val="auto"/>
        </w:rPr>
        <w:fldChar w:fldCharType="end"/>
      </w:r>
      <w:r>
        <w:rPr>
          <w:rFonts w:hint="eastAsia"/>
          <w:color w:val="auto"/>
          <w:lang w:val="en-US" w:eastAsia="zh-CN"/>
        </w:rPr>
        <w:t xml:space="preserve"> </w:t>
      </w:r>
      <w:r>
        <w:rPr>
          <w:rFonts w:hint="default" w:ascii="Times New Roman" w:hAnsi="Times New Roman" w:eastAsia="楷体" w:cs="Times New Roman"/>
          <w:color w:val="auto"/>
          <w:kern w:val="3"/>
          <w:sz w:val="28"/>
          <w:szCs w:val="20"/>
          <w:highlight w:val="none"/>
          <w:lang w:val="en-US" w:eastAsia="zh-CN" w:bidi="ar-SA"/>
        </w:rPr>
        <w:t>乐山在国家物流大通道位置示意图</w:t>
      </w:r>
    </w:p>
    <w:p>
      <w:pPr>
        <w:keepNext w:val="0"/>
        <w:keepLines w:val="0"/>
        <w:widowControl/>
        <w:suppressLineNumbers w:val="0"/>
        <w:jc w:val="left"/>
        <w:rPr>
          <w:rFonts w:hint="eastAsia" w:ascii="仿宋_GB2312" w:hAnsi="仿宋_GB2312" w:eastAsia="仿宋_GB2312" w:cs="仿宋_GB2312"/>
          <w:b w:val="0"/>
          <w:bCs w:val="0"/>
          <w:color w:val="auto"/>
          <w:sz w:val="32"/>
          <w:szCs w:val="32"/>
          <w:highlight w:val="none"/>
          <w:shd w:val="clear" w:fill="FFFFFF"/>
          <w:lang w:val="en-US" w:eastAsia="zh-CN"/>
        </w:rPr>
      </w:pPr>
      <w:r>
        <w:rPr>
          <w:rFonts w:hint="eastAsia" w:ascii="Times New Roman" w:hAnsi="Times New Roman" w:cs="Times New Roman"/>
          <w:color w:val="auto"/>
          <w:sz w:val="32"/>
          <w:szCs w:val="22"/>
          <w:rtl w:val="0"/>
          <w:lang w:val="en-US" w:eastAsia="zh-CN"/>
        </w:rPr>
        <w:t>乐山基于显著的交通战略区位优势和</w:t>
      </w:r>
      <w:r>
        <w:rPr>
          <w:rFonts w:hint="eastAsia" w:ascii="Times New Roman" w:hAnsi="Times New Roman" w:cs="Times New Roman"/>
          <w:color w:val="auto"/>
          <w:rtl w:val="0"/>
          <w:lang w:val="en-US" w:eastAsia="zh-CN"/>
        </w:rPr>
        <w:t>丰富的磷矿农资原料</w:t>
      </w:r>
      <w:r>
        <w:rPr>
          <w:rFonts w:hint="default" w:ascii="Times New Roman" w:hAnsi="Times New Roman" w:cs="Times New Roman"/>
          <w:color w:val="auto"/>
          <w:rtl w:val="0"/>
          <w:lang w:val="en-US" w:eastAsia="zh-CN"/>
        </w:rPr>
        <w:t>资</w:t>
      </w:r>
      <w:r>
        <w:rPr>
          <w:rFonts w:hint="default" w:ascii="Times New Roman" w:hAnsi="Times New Roman" w:eastAsia="仿宋_GB2312" w:cs="Times New Roman"/>
          <w:color w:val="auto"/>
          <w:rtl w:val="0"/>
          <w:lang w:val="en-US" w:eastAsia="zh-CN"/>
        </w:rPr>
        <w:t>源、钒钛钢铁制造等产业优势，成为我国</w:t>
      </w:r>
      <w:r>
        <w:rPr>
          <w:rFonts w:hint="default" w:ascii="Times New Roman" w:hAnsi="Times New Roman" w:eastAsia="仿宋_GB2312" w:cs="Times New Roman"/>
          <w:b w:val="0"/>
          <w:bCs w:val="0"/>
          <w:color w:val="auto"/>
          <w:sz w:val="32"/>
          <w:szCs w:val="32"/>
          <w:highlight w:val="none"/>
          <w:shd w:val="clear" w:fill="FFFFFF"/>
        </w:rPr>
        <w:t>西南农资骨干流通走廊</w:t>
      </w:r>
      <w:r>
        <w:rPr>
          <w:rFonts w:hint="default" w:ascii="Times New Roman" w:hAnsi="Times New Roman" w:eastAsia="仿宋_GB2312" w:cs="Times New Roman"/>
          <w:b w:val="0"/>
          <w:bCs w:val="0"/>
          <w:color w:val="auto"/>
          <w:sz w:val="32"/>
          <w:szCs w:val="32"/>
          <w:highlight w:val="none"/>
          <w:shd w:val="clear" w:fill="FFFFFF"/>
          <w:lang w:val="en-US" w:eastAsia="zh-CN"/>
        </w:rPr>
        <w:t>和西部</w:t>
      </w:r>
      <w:r>
        <w:rPr>
          <w:rFonts w:hint="default" w:ascii="Times New Roman" w:hAnsi="Times New Roman" w:eastAsia="仿宋_GB2312" w:cs="Times New Roman"/>
          <w:b w:val="0"/>
          <w:bCs w:val="0"/>
          <w:color w:val="auto"/>
          <w:sz w:val="32"/>
          <w:szCs w:val="32"/>
          <w:highlight w:val="none"/>
          <w:shd w:val="clear" w:fill="FFFFFF"/>
        </w:rPr>
        <w:t>矿产品骨干流通走廊</w:t>
      </w:r>
      <w:r>
        <w:rPr>
          <w:rFonts w:hint="eastAsia" w:ascii="仿宋_GB2312" w:hAnsi="仿宋_GB2312" w:eastAsia="仿宋_GB2312" w:cs="仿宋_GB2312"/>
          <w:b w:val="0"/>
          <w:bCs w:val="0"/>
          <w:color w:val="auto"/>
          <w:sz w:val="32"/>
          <w:szCs w:val="32"/>
          <w:highlight w:val="none"/>
          <w:shd w:val="clear" w:fill="FFFFFF"/>
          <w:lang w:val="en-US" w:eastAsia="zh-CN"/>
        </w:rPr>
        <w:t>两条</w:t>
      </w:r>
      <w:r>
        <w:rPr>
          <w:rFonts w:hint="eastAsia" w:ascii="仿宋_GB2312" w:hAnsi="仿宋_GB2312" w:eastAsia="仿宋_GB2312" w:cs="仿宋_GB2312"/>
          <w:b w:val="0"/>
          <w:bCs w:val="0"/>
          <w:color w:val="auto"/>
          <w:kern w:val="0"/>
          <w:sz w:val="32"/>
          <w:szCs w:val="32"/>
          <w:lang w:val="en-US" w:eastAsia="zh-CN"/>
        </w:rPr>
        <w:t>国家骨干流通走廊</w:t>
      </w:r>
      <w:r>
        <w:rPr>
          <w:rFonts w:hint="eastAsia" w:ascii="Times New Roman" w:hAnsi="Times New Roman" w:cs="Times New Roman"/>
          <w:b w:val="0"/>
          <w:bCs w:val="0"/>
          <w:color w:val="auto"/>
          <w:rtl w:val="0"/>
          <w:lang w:val="en-US" w:eastAsia="zh-CN"/>
        </w:rPr>
        <w:t>同时</w:t>
      </w:r>
      <w:r>
        <w:rPr>
          <w:rFonts w:hint="eastAsia" w:ascii="仿宋_GB2312" w:hAnsi="仿宋_GB2312" w:eastAsia="仿宋_GB2312" w:cs="仿宋_GB2312"/>
          <w:b w:val="0"/>
          <w:bCs w:val="0"/>
          <w:color w:val="auto"/>
          <w:sz w:val="32"/>
          <w:szCs w:val="32"/>
          <w:highlight w:val="none"/>
          <w:shd w:val="clear" w:fill="FFFFFF"/>
          <w:lang w:val="en-US" w:eastAsia="zh-CN"/>
        </w:rPr>
        <w:t>参与城市（全省仅成都、乐山、达州三个），</w:t>
      </w:r>
      <w:r>
        <w:rPr>
          <w:rFonts w:hint="eastAsia" w:ascii="仿宋_GB2312" w:hAnsi="仿宋_GB2312" w:eastAsia="仿宋_GB2312" w:cs="仿宋_GB2312"/>
          <w:b w:val="0"/>
          <w:bCs w:val="0"/>
          <w:color w:val="auto"/>
          <w:szCs w:val="32"/>
          <w:highlight w:val="none"/>
          <w:shd w:val="clear" w:fill="FFFFFF"/>
          <w:lang w:val="en-US" w:eastAsia="zh-CN"/>
        </w:rPr>
        <w:t>在</w:t>
      </w:r>
      <w:r>
        <w:rPr>
          <w:rFonts w:hint="eastAsia" w:ascii="仿宋_GB2312" w:hAnsi="仿宋_GB2312" w:cs="仿宋_GB2312"/>
          <w:b w:val="0"/>
          <w:bCs w:val="0"/>
          <w:color w:val="auto"/>
          <w:szCs w:val="32"/>
          <w:highlight w:val="none"/>
          <w:shd w:val="clear" w:fill="FFFFFF"/>
          <w:lang w:val="en-US" w:eastAsia="zh-CN"/>
        </w:rPr>
        <w:t>支撑四川产业备份基地建设，</w:t>
      </w:r>
      <w:r>
        <w:rPr>
          <w:rFonts w:hint="eastAsia" w:ascii="仿宋_GB2312" w:hAnsi="仿宋_GB2312" w:eastAsia="仿宋_GB2312" w:cs="仿宋_GB2312"/>
          <w:b w:val="0"/>
          <w:bCs w:val="0"/>
          <w:color w:val="auto"/>
          <w:szCs w:val="32"/>
          <w:highlight w:val="none"/>
          <w:shd w:val="clear" w:fill="FFFFFF"/>
          <w:lang w:val="en-US" w:eastAsia="zh-CN"/>
        </w:rPr>
        <w:t>保障国家重大装备和重要</w:t>
      </w:r>
      <w:r>
        <w:rPr>
          <w:rFonts w:hint="eastAsia" w:ascii="仿宋_GB2312" w:hAnsi="仿宋_GB2312" w:eastAsia="仿宋_GB2312" w:cs="仿宋_GB2312"/>
          <w:b w:val="0"/>
          <w:bCs w:val="0"/>
          <w:color w:val="auto"/>
          <w:sz w:val="32"/>
          <w:szCs w:val="32"/>
          <w:highlight w:val="none"/>
          <w:shd w:val="clear" w:fill="FFFFFF"/>
          <w:lang w:val="en-US" w:eastAsia="zh-CN"/>
        </w:rPr>
        <w:t>战略性矿产资源</w:t>
      </w:r>
      <w:r>
        <w:rPr>
          <w:rFonts w:hint="eastAsia" w:ascii="仿宋_GB2312" w:hAnsi="仿宋_GB2312" w:eastAsia="仿宋_GB2312" w:cs="仿宋_GB2312"/>
          <w:b w:val="0"/>
          <w:bCs w:val="0"/>
          <w:color w:val="auto"/>
          <w:szCs w:val="32"/>
          <w:highlight w:val="none"/>
          <w:shd w:val="clear" w:fill="FFFFFF"/>
          <w:lang w:val="en-US" w:eastAsia="zh-CN"/>
        </w:rPr>
        <w:t>运输安全方面发挥</w:t>
      </w:r>
      <w:r>
        <w:rPr>
          <w:rFonts w:hint="eastAsia" w:ascii="仿宋_GB2312" w:hAnsi="仿宋_GB2312" w:cs="仿宋_GB2312"/>
          <w:b w:val="0"/>
          <w:bCs w:val="0"/>
          <w:color w:val="auto"/>
          <w:szCs w:val="32"/>
          <w:highlight w:val="none"/>
          <w:shd w:val="clear" w:fill="FFFFFF"/>
          <w:lang w:val="en-US" w:eastAsia="zh-CN"/>
        </w:rPr>
        <w:t>着</w:t>
      </w:r>
      <w:r>
        <w:rPr>
          <w:rFonts w:hint="eastAsia" w:ascii="仿宋_GB2312" w:hAnsi="仿宋_GB2312" w:eastAsia="仿宋_GB2312" w:cs="仿宋_GB2312"/>
          <w:b w:val="0"/>
          <w:bCs w:val="0"/>
          <w:color w:val="auto"/>
          <w:szCs w:val="32"/>
          <w:highlight w:val="none"/>
          <w:shd w:val="clear" w:fill="FFFFFF"/>
          <w:lang w:val="en-US" w:eastAsia="zh-CN"/>
        </w:rPr>
        <w:t>重要作用</w:t>
      </w:r>
      <w:r>
        <w:rPr>
          <w:rFonts w:hint="eastAsia" w:ascii="仿宋_GB2312" w:hAnsi="仿宋_GB2312" w:eastAsia="仿宋_GB2312" w:cs="仿宋_GB2312"/>
          <w:b w:val="0"/>
          <w:bCs w:val="0"/>
          <w:color w:val="auto"/>
          <w:sz w:val="32"/>
          <w:szCs w:val="32"/>
          <w:highlight w:val="none"/>
          <w:shd w:val="clear" w:fill="FFFFFF"/>
          <w:lang w:val="en-US" w:eastAsia="zh-CN"/>
        </w:rPr>
        <w:t>。</w:t>
      </w:r>
    </w:p>
    <w:p>
      <w:pPr>
        <w:pStyle w:val="27"/>
        <w:bidi w:val="0"/>
        <w:spacing w:before="157" w:beforeLines="50"/>
        <w:rPr>
          <w:rFonts w:hint="default"/>
          <w:color w:val="auto"/>
          <w:rtl w:val="0"/>
          <w:lang w:val="en-US" w:eastAsia="zh-CN"/>
        </w:rPr>
      </w:pPr>
      <w:r>
        <w:rPr>
          <w:rFonts w:ascii="Times New Roman" w:hAnsi="Times New Roman" w:cs="Times New Roman"/>
          <w:b/>
          <w:color w:val="auto"/>
          <w:sz w:val="21"/>
        </w:rPr>
        <w:drawing>
          <wp:inline distT="0" distB="0" distL="114300" distR="114300">
            <wp:extent cx="5612765" cy="4204970"/>
            <wp:effectExtent l="0" t="0" r="3175" b="127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26"/>
                    <a:srcRect r="159"/>
                    <a:stretch>
                      <a:fillRect/>
                    </a:stretch>
                  </pic:blipFill>
                  <pic:spPr>
                    <a:xfrm>
                      <a:off x="0" y="0"/>
                      <a:ext cx="5612765" cy="4204970"/>
                    </a:xfrm>
                    <a:prstGeom prst="rect">
                      <a:avLst/>
                    </a:prstGeom>
                    <a:noFill/>
                    <a:ln>
                      <a:solidFill>
                        <a:schemeClr val="bg2">
                          <a:lumMod val="90000"/>
                        </a:schemeClr>
                      </a:solidFill>
                    </a:ln>
                  </pic:spPr>
                </pic:pic>
              </a:graphicData>
            </a:graphic>
          </wp:inline>
        </w:drawing>
      </w:r>
    </w:p>
    <w:p>
      <w:pPr>
        <w:pStyle w:val="7"/>
        <w:bidi w:val="0"/>
        <w:rPr>
          <w:rFonts w:hint="default" w:eastAsia="楷体"/>
          <w:color w:val="auto"/>
          <w:rtl w:val="0"/>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4</w:t>
      </w:r>
      <w:r>
        <w:rPr>
          <w:color w:val="auto"/>
        </w:rPr>
        <w:fldChar w:fldCharType="end"/>
      </w:r>
      <w:r>
        <w:rPr>
          <w:rFonts w:hint="eastAsia"/>
          <w:color w:val="auto"/>
          <w:lang w:val="en-US" w:eastAsia="zh-CN"/>
        </w:rPr>
        <w:t xml:space="preserve"> 乐山国家骨干流通走廊位置示意图</w:t>
      </w:r>
    </w:p>
    <w:p>
      <w:pPr>
        <w:pStyle w:val="7"/>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3</w:t>
      </w:r>
      <w:r>
        <w:rPr>
          <w:color w:val="auto"/>
        </w:rPr>
        <w:fldChar w:fldCharType="end"/>
      </w:r>
      <w:r>
        <w:rPr>
          <w:rFonts w:hint="eastAsia"/>
          <w:color w:val="auto"/>
          <w:lang w:val="en-US" w:eastAsia="zh-CN"/>
        </w:rPr>
        <w:t xml:space="preserve"> 西南农资骨干流通走廊和西部矿产品骨干流通走廊</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4"/>
        <w:gridCol w:w="4394"/>
        <w:gridCol w:w="3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63"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黑体" w:hAnsi="黑体" w:eastAsia="黑体" w:cs="黑体"/>
                <w:b w:val="0"/>
                <w:color w:val="auto"/>
                <w:kern w:val="0"/>
                <w:sz w:val="24"/>
                <w:szCs w:val="24"/>
                <w:lang w:val="en-US" w:eastAsia="zh-CN"/>
              </w:rPr>
            </w:pPr>
            <w:r>
              <w:rPr>
                <w:rFonts w:hint="eastAsia" w:ascii="黑体" w:hAnsi="黑体" w:eastAsia="黑体" w:cs="黑体"/>
                <w:b w:val="0"/>
                <w:color w:val="auto"/>
                <w:kern w:val="0"/>
                <w:sz w:val="24"/>
                <w:szCs w:val="24"/>
                <w:lang w:val="en-US" w:eastAsia="zh-CN"/>
              </w:rPr>
              <w:t>走廊名称</w:t>
            </w:r>
          </w:p>
        </w:tc>
        <w:tc>
          <w:tcPr>
            <w:tcW w:w="2188"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黑体" w:hAnsi="黑体" w:eastAsia="黑体" w:cs="黑体"/>
                <w:b w:val="0"/>
                <w:color w:val="auto"/>
                <w:kern w:val="0"/>
                <w:sz w:val="24"/>
                <w:szCs w:val="24"/>
                <w:lang w:val="en-US" w:eastAsia="zh-CN"/>
              </w:rPr>
            </w:pPr>
            <w:r>
              <w:rPr>
                <w:rFonts w:hint="eastAsia" w:ascii="黑体" w:hAnsi="黑体" w:eastAsia="黑体" w:cs="黑体"/>
                <w:b w:val="0"/>
                <w:color w:val="auto"/>
                <w:kern w:val="0"/>
                <w:sz w:val="24"/>
                <w:szCs w:val="24"/>
                <w:lang w:val="en-US" w:eastAsia="zh-CN"/>
              </w:rPr>
              <w:t>走廊定位</w:t>
            </w:r>
          </w:p>
        </w:tc>
        <w:tc>
          <w:tcPr>
            <w:tcW w:w="1848"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黑体" w:hAnsi="黑体" w:eastAsia="黑体" w:cs="黑体"/>
                <w:b w:val="0"/>
                <w:color w:val="auto"/>
                <w:kern w:val="0"/>
                <w:sz w:val="24"/>
                <w:szCs w:val="24"/>
                <w:lang w:val="en-US" w:eastAsia="zh-CN"/>
              </w:rPr>
            </w:pPr>
            <w:r>
              <w:rPr>
                <w:rFonts w:hint="eastAsia" w:ascii="黑体" w:hAnsi="黑体" w:eastAsia="黑体" w:cs="黑体"/>
                <w:b w:val="0"/>
                <w:color w:val="auto"/>
                <w:kern w:val="0"/>
                <w:sz w:val="24"/>
                <w:szCs w:val="24"/>
                <w:lang w:val="en-US" w:eastAsia="zh-CN"/>
              </w:rPr>
              <w:t>参与城市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2" w:hRule="atLeast"/>
          <w:jc w:val="center"/>
        </w:trPr>
        <w:tc>
          <w:tcPr>
            <w:tcW w:w="963"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仿宋_GB2312" w:cs="Times New Roman"/>
                <w:b w:val="0"/>
                <w:color w:val="auto"/>
                <w:kern w:val="0"/>
                <w:sz w:val="24"/>
                <w:szCs w:val="24"/>
                <w:lang w:val="en-US" w:eastAsia="zh-CN"/>
              </w:rPr>
            </w:pPr>
            <w:r>
              <w:rPr>
                <w:rFonts w:hint="eastAsia" w:ascii="Times New Roman" w:hAnsi="Times New Roman" w:eastAsia="仿宋_GB2312" w:cs="Times New Roman"/>
                <w:b w:val="0"/>
                <w:color w:val="auto"/>
                <w:kern w:val="0"/>
                <w:sz w:val="24"/>
                <w:szCs w:val="24"/>
                <w:lang w:val="en-US" w:eastAsia="zh-CN"/>
              </w:rPr>
              <w:t>西部矿产品骨干流通走廊</w:t>
            </w:r>
          </w:p>
        </w:tc>
        <w:tc>
          <w:tcPr>
            <w:tcW w:w="2188"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仿宋_GB2312" w:cs="Times New Roman"/>
                <w:b w:val="0"/>
                <w:color w:val="auto"/>
                <w:kern w:val="0"/>
                <w:sz w:val="24"/>
                <w:szCs w:val="24"/>
                <w:lang w:val="en-US" w:eastAsia="zh-CN"/>
              </w:rPr>
            </w:pPr>
            <w:r>
              <w:rPr>
                <w:rFonts w:hint="eastAsia" w:ascii="Times New Roman" w:hAnsi="Times New Roman" w:eastAsia="仿宋_GB2312" w:cs="Times New Roman"/>
                <w:b w:val="0"/>
                <w:color w:val="auto"/>
                <w:kern w:val="0"/>
                <w:sz w:val="24"/>
                <w:szCs w:val="24"/>
                <w:lang w:val="en-US" w:eastAsia="zh-CN"/>
              </w:rPr>
              <w:t>以原矿、铁精矿、钛精矿、钒产品、钛产品、钒钛钢产品等钒钛钢铁相关大宗商品流通为主，维护国家战略资源产业链供应链安全稳定，</w:t>
            </w:r>
            <w:r>
              <w:rPr>
                <w:rFonts w:hint="eastAsia" w:ascii="Times New Roman" w:hAnsi="Times New Roman" w:cs="Times New Roman"/>
                <w:b w:val="0"/>
                <w:color w:val="auto"/>
                <w:kern w:val="0"/>
                <w:sz w:val="24"/>
                <w:szCs w:val="24"/>
                <w:lang w:val="en-US" w:eastAsia="zh-CN"/>
              </w:rPr>
              <w:t>支撑</w:t>
            </w:r>
            <w:r>
              <w:rPr>
                <w:rFonts w:hint="eastAsia" w:ascii="Times New Roman" w:hAnsi="Times New Roman" w:eastAsia="仿宋_GB2312" w:cs="Times New Roman"/>
                <w:b w:val="0"/>
                <w:color w:val="auto"/>
                <w:kern w:val="0"/>
                <w:sz w:val="24"/>
                <w:szCs w:val="24"/>
                <w:lang w:val="en-US" w:eastAsia="zh-CN"/>
              </w:rPr>
              <w:t>建设产业备份基地</w:t>
            </w:r>
          </w:p>
        </w:tc>
        <w:tc>
          <w:tcPr>
            <w:tcW w:w="1848"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b w:val="0"/>
                <w:color w:val="auto"/>
                <w:kern w:val="0"/>
                <w:sz w:val="24"/>
                <w:szCs w:val="24"/>
                <w:lang w:val="en-US" w:eastAsia="zh-CN"/>
              </w:rPr>
            </w:pPr>
            <w:r>
              <w:rPr>
                <w:rFonts w:hint="eastAsia" w:ascii="Times New Roman" w:hAnsi="Times New Roman" w:eastAsia="仿宋_GB2312" w:cs="Times New Roman"/>
                <w:b w:val="0"/>
                <w:color w:val="auto"/>
                <w:kern w:val="0"/>
                <w:sz w:val="24"/>
                <w:szCs w:val="24"/>
                <w:lang w:val="en-US" w:eastAsia="zh-CN"/>
              </w:rPr>
              <w:t>攀枝花牵头，会同重庆、宝鸡、成都、昆明、</w:t>
            </w:r>
            <w:r>
              <w:rPr>
                <w:rFonts w:hint="eastAsia" w:ascii="黑体" w:hAnsi="黑体" w:eastAsia="黑体" w:cs="黑体"/>
                <w:b w:val="0"/>
                <w:color w:val="auto"/>
                <w:kern w:val="0"/>
                <w:sz w:val="24"/>
                <w:szCs w:val="24"/>
                <w:lang w:val="en-US" w:eastAsia="zh-CN"/>
              </w:rPr>
              <w:t>乐山</w:t>
            </w:r>
            <w:r>
              <w:rPr>
                <w:rFonts w:hint="eastAsia" w:ascii="Times New Roman" w:hAnsi="Times New Roman" w:eastAsia="仿宋_GB2312" w:cs="Times New Roman"/>
                <w:b w:val="0"/>
                <w:color w:val="auto"/>
                <w:kern w:val="0"/>
                <w:sz w:val="24"/>
                <w:szCs w:val="24"/>
                <w:lang w:val="en-US" w:eastAsia="zh-CN"/>
              </w:rPr>
              <w:t>、内江、达州、嘉峪关、哈密、喀什等10个城市联合建设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3"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仿宋_GB2312" w:cs="Times New Roman"/>
                <w:b w:val="0"/>
                <w:color w:val="auto"/>
                <w:kern w:val="0"/>
                <w:sz w:val="24"/>
                <w:szCs w:val="24"/>
                <w:lang w:val="en-US" w:eastAsia="zh-CN"/>
              </w:rPr>
            </w:pPr>
            <w:r>
              <w:rPr>
                <w:rFonts w:hint="default" w:ascii="Times New Roman" w:hAnsi="Times New Roman" w:eastAsia="仿宋_GB2312" w:cs="Times New Roman"/>
                <w:b w:val="0"/>
                <w:color w:val="auto"/>
                <w:kern w:val="0"/>
                <w:sz w:val="24"/>
                <w:szCs w:val="24"/>
                <w:lang w:val="en-US" w:eastAsia="zh-CN"/>
              </w:rPr>
              <w:t>西南农资骨干流通走廊</w:t>
            </w:r>
          </w:p>
        </w:tc>
        <w:tc>
          <w:tcPr>
            <w:tcW w:w="2188"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仿宋_GB2312" w:cs="Times New Roman"/>
                <w:b w:val="0"/>
                <w:color w:val="auto"/>
                <w:kern w:val="0"/>
                <w:sz w:val="24"/>
                <w:szCs w:val="24"/>
                <w:lang w:val="en-US" w:eastAsia="zh-CN"/>
              </w:rPr>
            </w:pPr>
            <w:r>
              <w:rPr>
                <w:rFonts w:hint="eastAsia" w:ascii="Times New Roman" w:hAnsi="Times New Roman" w:eastAsia="仿宋_GB2312" w:cs="Times New Roman"/>
                <w:b w:val="0"/>
                <w:color w:val="auto"/>
                <w:kern w:val="0"/>
                <w:sz w:val="24"/>
                <w:szCs w:val="24"/>
                <w:lang w:val="en-US" w:eastAsia="zh-CN"/>
              </w:rPr>
              <w:t>依托西部陆海新通道串联化肥原料地、生产地、中转地、消费地、进口地，实现化肥等重要商品保供稳价功能</w:t>
            </w:r>
          </w:p>
        </w:tc>
        <w:tc>
          <w:tcPr>
            <w:tcW w:w="1848"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仿宋_GB2312" w:cs="Times New Roman"/>
                <w:b w:val="0"/>
                <w:color w:val="auto"/>
                <w:kern w:val="0"/>
                <w:sz w:val="24"/>
                <w:szCs w:val="24"/>
                <w:lang w:val="en-US" w:eastAsia="zh-CN"/>
              </w:rPr>
            </w:pPr>
            <w:r>
              <w:rPr>
                <w:rFonts w:hint="eastAsia" w:ascii="Times New Roman" w:hAnsi="Times New Roman" w:eastAsia="仿宋_GB2312" w:cs="Times New Roman"/>
                <w:b w:val="0"/>
                <w:color w:val="auto"/>
                <w:kern w:val="0"/>
                <w:sz w:val="24"/>
                <w:szCs w:val="24"/>
                <w:lang w:val="en-US" w:eastAsia="zh-CN"/>
              </w:rPr>
              <w:t>泸州牵头，会同成都、宜宾、德阳、眉山、达州、</w:t>
            </w:r>
            <w:r>
              <w:rPr>
                <w:rFonts w:hint="eastAsia" w:ascii="黑体" w:hAnsi="黑体" w:eastAsia="黑体" w:cs="黑体"/>
                <w:b w:val="0"/>
                <w:color w:val="auto"/>
                <w:kern w:val="0"/>
                <w:sz w:val="24"/>
                <w:szCs w:val="24"/>
                <w:lang w:val="en-US" w:eastAsia="zh-CN"/>
              </w:rPr>
              <w:t>乐山</w:t>
            </w:r>
            <w:r>
              <w:rPr>
                <w:rFonts w:hint="eastAsia" w:ascii="Times New Roman" w:hAnsi="Times New Roman" w:eastAsia="仿宋_GB2312" w:cs="Times New Roman"/>
                <w:b w:val="0"/>
                <w:color w:val="auto"/>
                <w:kern w:val="0"/>
                <w:sz w:val="24"/>
                <w:szCs w:val="24"/>
                <w:lang w:val="en-US" w:eastAsia="zh-CN"/>
              </w:rPr>
              <w:t>、南宁、防城港、重庆、贵阳、毕节、黔南州、昆明13个城市联合建设</w:t>
            </w:r>
          </w:p>
        </w:tc>
      </w:tr>
    </w:tbl>
    <w:p>
      <w:pPr>
        <w:pStyle w:val="27"/>
        <w:bidi w:val="0"/>
        <w:rPr>
          <w:rFonts w:hint="eastAsia"/>
          <w:rtl w:val="0"/>
          <w:lang w:val="en-US" w:eastAsia="zh-CN"/>
        </w:rPr>
      </w:pPr>
      <w:r>
        <w:rPr>
          <w:rFonts w:hint="eastAsia"/>
          <w:rtl w:val="0"/>
          <w:lang w:val="en-US" w:eastAsia="zh-CN"/>
        </w:rPr>
        <w:drawing>
          <wp:inline distT="0" distB="0" distL="114300" distR="114300">
            <wp:extent cx="6055995" cy="4224020"/>
            <wp:effectExtent l="0" t="0" r="0" b="0"/>
            <wp:docPr id="20" name="图片 20" descr="9条骨干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9条骨干通道"/>
                    <pic:cNvPicPr>
                      <a:picLocks noChangeAspect="1"/>
                    </pic:cNvPicPr>
                  </pic:nvPicPr>
                  <pic:blipFill>
                    <a:blip r:embed="rId27"/>
                    <a:srcRect l="1517" t="1727" r="1395" b="2519"/>
                    <a:stretch>
                      <a:fillRect/>
                    </a:stretch>
                  </pic:blipFill>
                  <pic:spPr>
                    <a:xfrm>
                      <a:off x="0" y="0"/>
                      <a:ext cx="6055995" cy="4224020"/>
                    </a:xfrm>
                    <a:prstGeom prst="rect">
                      <a:avLst/>
                    </a:prstGeom>
                  </pic:spPr>
                </pic:pic>
              </a:graphicData>
            </a:graphic>
          </wp:inline>
        </w:drawing>
      </w:r>
    </w:p>
    <w:p>
      <w:pPr>
        <w:pStyle w:val="7"/>
        <w:bidi w:val="0"/>
        <w:rPr>
          <w:rFonts w:hint="default" w:eastAsia="楷体"/>
          <w:rtl w:val="0"/>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5</w:t>
      </w:r>
      <w:r>
        <w:fldChar w:fldCharType="end"/>
      </w:r>
      <w:r>
        <w:rPr>
          <w:rFonts w:hint="eastAsia"/>
          <w:lang w:val="en-US" w:eastAsia="zh-CN"/>
        </w:rPr>
        <w:t xml:space="preserve"> 乐山9条骨干通道走向示意图</w:t>
      </w:r>
    </w:p>
    <w:p>
      <w:pPr>
        <w:keepNext w:val="0"/>
        <w:keepLines w:val="0"/>
        <w:widowControl/>
        <w:suppressLineNumbers w:val="0"/>
        <w:jc w:val="left"/>
        <w:rPr>
          <w:rFonts w:hint="eastAsia" w:ascii="Times New Roman" w:hAnsi="Times New Roman" w:cs="Times New Roman"/>
          <w:b/>
          <w:bCs/>
          <w:color w:val="auto"/>
          <w:sz w:val="32"/>
          <w:szCs w:val="22"/>
          <w:rtl w:val="0"/>
          <w:lang w:val="en-US" w:eastAsia="zh-CN"/>
        </w:rPr>
      </w:pPr>
      <w:r>
        <w:rPr>
          <w:rFonts w:hint="eastAsia" w:ascii="Times New Roman" w:hAnsi="Times New Roman" w:cs="Times New Roman"/>
          <w:b/>
          <w:bCs/>
          <w:color w:val="auto"/>
          <w:sz w:val="32"/>
          <w:szCs w:val="22"/>
          <w:rtl w:val="0"/>
          <w:lang w:val="en-US" w:eastAsia="zh-CN"/>
        </w:rPr>
        <w:t>2.乐山是四川综合立体骨架走廊的重要枢纽</w:t>
      </w:r>
    </w:p>
    <w:p>
      <w:pPr>
        <w:keepNext w:val="0"/>
        <w:keepLines w:val="0"/>
        <w:widowControl/>
        <w:suppressLineNumbers w:val="0"/>
        <w:jc w:val="lef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乐山位于</w:t>
      </w:r>
      <w:r>
        <w:rPr>
          <w:rFonts w:hint="default" w:ascii="Times New Roman" w:hAnsi="Times New Roman" w:cs="Times New Roman"/>
          <w:color w:val="auto"/>
          <w:lang w:val="en-US" w:eastAsia="zh-CN"/>
        </w:rPr>
        <w:t>成都平原、川南、攀西三大经济区结合部，“襟带三江、南北通衢”，自古以来就是四川南向交通要塞，也是四川省成</w:t>
      </w:r>
      <w:r>
        <w:rPr>
          <w:rFonts w:hint="eastAsia" w:ascii="Times New Roman" w:hAnsi="Times New Roman" w:cs="Times New Roman"/>
          <w:color w:val="auto"/>
          <w:lang w:val="en-US" w:eastAsia="zh-CN"/>
        </w:rPr>
        <w:t>德</w:t>
      </w:r>
      <w:r>
        <w:rPr>
          <w:rFonts w:hint="default" w:ascii="Times New Roman" w:hAnsi="Times New Roman" w:cs="Times New Roman"/>
          <w:color w:val="auto"/>
          <w:lang w:val="en-US" w:eastAsia="zh-CN"/>
        </w:rPr>
        <w:t>绵</w:t>
      </w:r>
      <w:r>
        <w:rPr>
          <w:rFonts w:hint="eastAsia" w:ascii="Times New Roman" w:hAnsi="Times New Roman" w:cs="Times New Roman"/>
          <w:color w:val="auto"/>
          <w:lang w:val="en-US" w:eastAsia="zh-CN"/>
        </w:rPr>
        <w:t>眉</w:t>
      </w:r>
      <w:r>
        <w:rPr>
          <w:rFonts w:hint="default" w:ascii="Times New Roman" w:hAnsi="Times New Roman" w:cs="Times New Roman"/>
          <w:color w:val="auto"/>
          <w:lang w:val="en-US" w:eastAsia="zh-CN"/>
        </w:rPr>
        <w:t>乐</w:t>
      </w:r>
      <w:r>
        <w:rPr>
          <w:rFonts w:hint="eastAsia" w:ascii="Times New Roman" w:hAnsi="Times New Roman" w:cs="Times New Roman"/>
          <w:color w:val="auto"/>
          <w:lang w:val="en-US" w:eastAsia="zh-CN"/>
        </w:rPr>
        <w:t>雅广西攀经济带上</w:t>
      </w:r>
      <w:r>
        <w:rPr>
          <w:rFonts w:hint="default" w:ascii="Times New Roman" w:hAnsi="Times New Roman" w:cs="Times New Roman"/>
          <w:color w:val="auto"/>
          <w:lang w:val="en-US" w:eastAsia="zh-CN"/>
        </w:rPr>
        <w:t>的重要增长极和成都平原经济区辐射攀西、联动川南的战略前沿</w:t>
      </w:r>
      <w:r>
        <w:rPr>
          <w:rFonts w:hint="eastAsia" w:ascii="Times New Roman" w:hAnsi="Times New Roman" w:cs="Times New Roman"/>
          <w:color w:val="auto"/>
          <w:lang w:val="en-US" w:eastAsia="zh-CN"/>
        </w:rPr>
        <w:t>，在支撑全省构建</w:t>
      </w:r>
      <w:r>
        <w:rPr>
          <w:rFonts w:hint="default" w:ascii="Times New Roman" w:hAnsi="Times New Roman" w:cs="Times New Roman"/>
          <w:color w:val="auto"/>
          <w:lang w:val="en-US" w:eastAsia="zh-CN"/>
        </w:rPr>
        <w:t>“一轴两翼三带”区域经济布局</w:t>
      </w:r>
      <w:r>
        <w:rPr>
          <w:rFonts w:hint="eastAsia" w:ascii="Times New Roman" w:hAnsi="Times New Roman" w:cs="Times New Roman"/>
          <w:color w:val="auto"/>
          <w:lang w:val="en-US" w:eastAsia="zh-CN"/>
        </w:rPr>
        <w:t>，提升全省区域协调发展水平具有举足轻重的战略地位。《四川省综合立体交通网规划纲要》立足服务成渝地区双城经济圈建设、</w:t>
      </w:r>
      <w:r>
        <w:rPr>
          <w:rFonts w:hint="default" w:ascii="Times New Roman" w:hAnsi="Times New Roman" w:cs="Times New Roman"/>
          <w:color w:val="auto"/>
          <w:lang w:val="en-US" w:eastAsia="zh-CN"/>
        </w:rPr>
        <w:t>“一轴两翼三带”区域经济布局</w:t>
      </w:r>
      <w:r>
        <w:rPr>
          <w:rFonts w:hint="eastAsia" w:ascii="Times New Roman" w:hAnsi="Times New Roman" w:cs="Times New Roman"/>
          <w:color w:val="auto"/>
          <w:lang w:val="en-US" w:eastAsia="zh-CN"/>
        </w:rPr>
        <w:t>和“五区共兴”协调发展等重大战略，提出构建</w:t>
      </w:r>
      <w:r>
        <w:rPr>
          <w:rFonts w:hint="default" w:ascii="Times New Roman" w:hAnsi="Times New Roman" w:cs="Times New Roman"/>
          <w:color w:val="auto"/>
          <w:lang w:val="en-US" w:eastAsia="zh-CN"/>
        </w:rPr>
        <w:t>“1轴2环3带4联”</w:t>
      </w:r>
      <w:r>
        <w:rPr>
          <w:rFonts w:hint="eastAsia" w:ascii="Times New Roman" w:hAnsi="Times New Roman" w:cs="Times New Roman"/>
          <w:color w:val="auto"/>
          <w:lang w:val="en-US" w:eastAsia="zh-CN"/>
        </w:rPr>
        <w:t>的全省综合立体交通网内部主骨架，</w:t>
      </w:r>
      <w:r>
        <w:rPr>
          <w:rFonts w:hint="default" w:ascii="Times New Roman" w:hAnsi="Times New Roman" w:cs="Times New Roman"/>
          <w:color w:val="auto"/>
          <w:lang w:val="en-US" w:eastAsia="zh-CN"/>
        </w:rPr>
        <w:t>其中有“1环2带”在乐山汇集</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“1环”为成渝地区环线，“2带”为成德绵广成眉乐雅西攀带、攀乐宜泸</w:t>
      </w:r>
      <w:r>
        <w:rPr>
          <w:rFonts w:hint="eastAsia" w:cs="Times New Roman"/>
          <w:color w:val="auto"/>
          <w:lang w:val="en-US" w:eastAsia="zh-CN"/>
        </w:rPr>
        <w:t>渝广达</w:t>
      </w:r>
      <w:r>
        <w:rPr>
          <w:rFonts w:hint="default" w:ascii="Times New Roman" w:hAnsi="Times New Roman" w:cs="Times New Roman"/>
          <w:color w:val="auto"/>
          <w:lang w:val="en-US" w:eastAsia="zh-CN"/>
        </w:rPr>
        <w:t>带。</w:t>
      </w:r>
    </w:p>
    <w:p>
      <w:pPr>
        <w:keepNext w:val="0"/>
        <w:keepLines w:val="0"/>
        <w:widowControl/>
        <w:suppressLineNumbers w:val="0"/>
        <w:jc w:val="left"/>
        <w:rPr>
          <w:rFonts w:hint="default" w:ascii="Times New Roman" w:hAnsi="Times New Roman" w:cs="Times New Roman"/>
          <w:color w:val="auto"/>
          <w:lang w:val="en-US" w:eastAsia="zh-CN"/>
        </w:rPr>
      </w:pPr>
      <w:r>
        <w:rPr>
          <w:rFonts w:hint="eastAsia" w:cs="Times New Roman"/>
          <w:color w:val="auto"/>
          <w:kern w:val="3"/>
          <w:sz w:val="32"/>
          <w:rtl w:val="0"/>
          <w:lang w:val="en-US" w:eastAsia="zh-CN"/>
        </w:rPr>
        <w:t>此外，</w:t>
      </w:r>
      <w:r>
        <w:rPr>
          <w:rFonts w:hint="eastAsia" w:ascii="Times New Roman" w:hAnsi="Times New Roman" w:cs="Times New Roman"/>
          <w:color w:val="auto"/>
          <w:kern w:val="3"/>
          <w:sz w:val="32"/>
          <w:rtl w:val="0"/>
          <w:lang w:val="en-US" w:eastAsia="zh-CN"/>
        </w:rPr>
        <w:t>乐山拥有全省最大的大件码头，是长江上游的重要港口城市</w:t>
      </w:r>
      <w:r>
        <w:rPr>
          <w:rFonts w:ascii="Times New Roman" w:hAnsi="Times New Roman" w:eastAsia="仿宋_GB2312" w:cs="Times New Roman"/>
          <w:color w:val="auto"/>
          <w:sz w:val="32"/>
          <w:szCs w:val="22"/>
        </w:rPr>
        <w:t>，</w:t>
      </w:r>
      <w:r>
        <w:rPr>
          <w:rFonts w:hint="eastAsia" w:ascii="Times New Roman" w:hAnsi="Times New Roman" w:cs="Times New Roman"/>
          <w:color w:val="auto"/>
          <w:sz w:val="32"/>
          <w:szCs w:val="22"/>
          <w:lang w:val="en-US" w:eastAsia="zh-CN"/>
        </w:rPr>
        <w:t>当前全省正全力推进“畅通一条江”航运振兴发展行动，岷江畅通作为行动核心任务之一为乐山打造岷江水上高速通道带来新的发展契机，未来乐山依托岷江—长江黄金水道，将成为支撑成渝城市群与长江中游城市群、长三角城市群之间经济联动发展的重要引擎</w:t>
      </w:r>
      <w:r>
        <w:rPr>
          <w:rFonts w:hint="eastAsia" w:ascii="Times New Roman" w:hAnsi="Times New Roman" w:cs="Times New Roman"/>
          <w:color w:val="auto"/>
          <w:kern w:val="3"/>
          <w:sz w:val="32"/>
          <w:rtl w:val="0"/>
          <w:lang w:val="en-US" w:eastAsia="zh-CN"/>
        </w:rPr>
        <w:t>。</w:t>
      </w:r>
    </w:p>
    <w:p>
      <w:pPr>
        <w:pStyle w:val="27"/>
        <w:bidi w:val="0"/>
        <w:rPr>
          <w:rFonts w:hint="default"/>
          <w:color w:val="auto"/>
        </w:rPr>
      </w:pPr>
      <w:r>
        <w:rPr>
          <w:rFonts w:hint="default"/>
          <w:color w:val="auto"/>
        </w:rPr>
        <w:drawing>
          <wp:inline distT="0" distB="0" distL="114300" distR="114300">
            <wp:extent cx="5760085" cy="3892550"/>
            <wp:effectExtent l="9525" t="9525" r="21590" b="2222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28"/>
                    <a:stretch>
                      <a:fillRect/>
                    </a:stretch>
                  </pic:blipFill>
                  <pic:spPr>
                    <a:xfrm>
                      <a:off x="0" y="0"/>
                      <a:ext cx="5760085" cy="3892550"/>
                    </a:xfrm>
                    <a:prstGeom prst="rect">
                      <a:avLst/>
                    </a:prstGeom>
                    <a:noFill/>
                    <a:ln>
                      <a:solidFill>
                        <a:schemeClr val="bg2">
                          <a:lumMod val="90000"/>
                        </a:schemeClr>
                      </a:solidFill>
                    </a:ln>
                  </pic:spPr>
                </pic:pic>
              </a:graphicData>
            </a:graphic>
          </wp:inline>
        </w:drawing>
      </w:r>
    </w:p>
    <w:p>
      <w:pPr>
        <w:pStyle w:val="7"/>
        <w:bidi w:val="0"/>
        <w:rPr>
          <w:rFonts w:hint="default" w:ascii="Times New Roman" w:hAnsi="Times New Roman" w:eastAsia="楷体" w:cs="Times New Roman"/>
          <w:color w:val="auto"/>
          <w:kern w:val="3"/>
          <w:sz w:val="28"/>
          <w:szCs w:val="20"/>
          <w:highlight w:val="none"/>
          <w:lang w:val="en-US" w:eastAsia="zh-CN" w:bidi="ar-SA"/>
        </w:rPr>
      </w:pPr>
      <w:r>
        <w:rPr>
          <w:rFonts w:hint="default" w:ascii="Times New Roman" w:hAnsi="Times New Roman" w:eastAsia="楷体" w:cs="Times New Roman"/>
          <w:color w:val="auto"/>
          <w:kern w:val="3"/>
          <w:sz w:val="28"/>
          <w:szCs w:val="20"/>
          <w:highlight w:val="none"/>
          <w:lang w:val="en-US" w:eastAsia="zh-CN" w:bidi="ar-SA"/>
        </w:rPr>
        <w:t xml:space="preserve">图 </w:t>
      </w:r>
      <w:r>
        <w:rPr>
          <w:rFonts w:hint="default" w:ascii="Times New Roman" w:hAnsi="Times New Roman" w:eastAsia="楷体" w:cs="Times New Roman"/>
          <w:color w:val="auto"/>
          <w:kern w:val="3"/>
          <w:sz w:val="28"/>
          <w:szCs w:val="20"/>
          <w:highlight w:val="none"/>
          <w:lang w:val="en-US" w:eastAsia="zh-CN" w:bidi="ar-SA"/>
        </w:rPr>
        <w:fldChar w:fldCharType="begin"/>
      </w:r>
      <w:r>
        <w:rPr>
          <w:rFonts w:hint="default" w:ascii="Times New Roman" w:hAnsi="Times New Roman" w:eastAsia="楷体" w:cs="Times New Roman"/>
          <w:color w:val="auto"/>
          <w:kern w:val="3"/>
          <w:sz w:val="28"/>
          <w:szCs w:val="20"/>
          <w:highlight w:val="none"/>
          <w:lang w:val="en-US" w:eastAsia="zh-CN" w:bidi="ar-SA"/>
        </w:rPr>
        <w:instrText xml:space="preserve"> STYLEREF 1 \s </w:instrText>
      </w:r>
      <w:r>
        <w:rPr>
          <w:rFonts w:hint="default" w:ascii="Times New Roman" w:hAnsi="Times New Roman" w:eastAsia="楷体" w:cs="Times New Roman"/>
          <w:color w:val="auto"/>
          <w:kern w:val="3"/>
          <w:sz w:val="28"/>
          <w:szCs w:val="20"/>
          <w:highlight w:val="none"/>
          <w:lang w:val="en-US" w:eastAsia="zh-CN" w:bidi="ar-SA"/>
        </w:rPr>
        <w:fldChar w:fldCharType="separate"/>
      </w:r>
      <w:r>
        <w:rPr>
          <w:rFonts w:hint="default" w:ascii="Times New Roman" w:hAnsi="Times New Roman" w:eastAsia="楷体" w:cs="Times New Roman"/>
          <w:color w:val="auto"/>
          <w:kern w:val="3"/>
          <w:sz w:val="28"/>
          <w:szCs w:val="20"/>
          <w:highlight w:val="none"/>
          <w:lang w:val="en-US" w:eastAsia="zh-CN" w:bidi="ar-SA"/>
        </w:rPr>
        <w:t>2</w:t>
      </w:r>
      <w:r>
        <w:rPr>
          <w:rFonts w:hint="default" w:ascii="Times New Roman" w:hAnsi="Times New Roman" w:eastAsia="楷体" w:cs="Times New Roman"/>
          <w:color w:val="auto"/>
          <w:kern w:val="3"/>
          <w:sz w:val="28"/>
          <w:szCs w:val="20"/>
          <w:highlight w:val="none"/>
          <w:lang w:val="en-US" w:eastAsia="zh-CN" w:bidi="ar-SA"/>
        </w:rPr>
        <w:fldChar w:fldCharType="end"/>
      </w:r>
      <w:r>
        <w:rPr>
          <w:rFonts w:hint="eastAsia" w:ascii="Times New Roman" w:hAnsi="Times New Roman" w:eastAsia="楷体" w:cs="Times New Roman"/>
          <w:color w:val="auto"/>
          <w:kern w:val="3"/>
          <w:sz w:val="28"/>
          <w:szCs w:val="20"/>
          <w:highlight w:val="none"/>
          <w:lang w:val="en-US" w:eastAsia="zh-CN" w:bidi="ar-SA"/>
        </w:rPr>
        <w:t>-</w:t>
      </w:r>
      <w:r>
        <w:rPr>
          <w:rFonts w:hint="default" w:ascii="Times New Roman" w:hAnsi="Times New Roman" w:eastAsia="楷体" w:cs="Times New Roman"/>
          <w:color w:val="auto"/>
          <w:kern w:val="3"/>
          <w:sz w:val="28"/>
          <w:szCs w:val="20"/>
          <w:highlight w:val="none"/>
          <w:lang w:val="en-US" w:eastAsia="zh-CN" w:bidi="ar-SA"/>
        </w:rPr>
        <w:fldChar w:fldCharType="begin"/>
      </w:r>
      <w:r>
        <w:rPr>
          <w:rFonts w:hint="default" w:ascii="Times New Roman" w:hAnsi="Times New Roman" w:eastAsia="楷体" w:cs="Times New Roman"/>
          <w:color w:val="auto"/>
          <w:kern w:val="3"/>
          <w:sz w:val="28"/>
          <w:szCs w:val="20"/>
          <w:highlight w:val="none"/>
          <w:lang w:val="en-US" w:eastAsia="zh-CN" w:bidi="ar-SA"/>
        </w:rPr>
        <w:instrText xml:space="preserve"> SEQ 图 \* ARABIC \s 1 </w:instrText>
      </w:r>
      <w:r>
        <w:rPr>
          <w:rFonts w:hint="default" w:ascii="Times New Roman" w:hAnsi="Times New Roman" w:eastAsia="楷体" w:cs="Times New Roman"/>
          <w:color w:val="auto"/>
          <w:kern w:val="3"/>
          <w:sz w:val="28"/>
          <w:szCs w:val="20"/>
          <w:highlight w:val="none"/>
          <w:lang w:val="en-US" w:eastAsia="zh-CN" w:bidi="ar-SA"/>
        </w:rPr>
        <w:fldChar w:fldCharType="separate"/>
      </w:r>
      <w:r>
        <w:rPr>
          <w:rFonts w:hint="default" w:ascii="Times New Roman" w:hAnsi="Times New Roman" w:eastAsia="楷体" w:cs="Times New Roman"/>
          <w:color w:val="auto"/>
          <w:kern w:val="3"/>
          <w:sz w:val="28"/>
          <w:szCs w:val="20"/>
          <w:highlight w:val="none"/>
          <w:lang w:val="en-US" w:eastAsia="zh-CN" w:bidi="ar-SA"/>
        </w:rPr>
        <w:t>6</w:t>
      </w:r>
      <w:r>
        <w:rPr>
          <w:rFonts w:hint="default" w:ascii="Times New Roman" w:hAnsi="Times New Roman" w:eastAsia="楷体" w:cs="Times New Roman"/>
          <w:color w:val="auto"/>
          <w:kern w:val="3"/>
          <w:sz w:val="28"/>
          <w:szCs w:val="20"/>
          <w:highlight w:val="none"/>
          <w:lang w:val="en-US" w:eastAsia="zh-CN" w:bidi="ar-SA"/>
        </w:rPr>
        <w:fldChar w:fldCharType="end"/>
      </w:r>
      <w:r>
        <w:rPr>
          <w:rFonts w:hint="default" w:ascii="Times New Roman" w:hAnsi="Times New Roman" w:eastAsia="楷体" w:cs="Times New Roman"/>
          <w:color w:val="auto"/>
          <w:kern w:val="3"/>
          <w:sz w:val="28"/>
          <w:szCs w:val="20"/>
          <w:highlight w:val="none"/>
          <w:lang w:val="en-US" w:eastAsia="zh-CN" w:bidi="ar-SA"/>
        </w:rPr>
        <w:t>乐山在四川综合立体交通网内部主骨架位置示意图</w:t>
      </w:r>
    </w:p>
    <w:p>
      <w:pPr>
        <w:pStyle w:val="27"/>
        <w:bidi w:val="0"/>
        <w:rPr>
          <w:color w:val="auto"/>
        </w:rPr>
      </w:pPr>
      <w:r>
        <w:rPr>
          <w:color w:val="auto"/>
        </w:rPr>
        <w:drawing>
          <wp:inline distT="0" distB="0" distL="114300" distR="114300">
            <wp:extent cx="5760085" cy="3604895"/>
            <wp:effectExtent l="9525" t="9525" r="21590" b="2413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29"/>
                    <a:srcRect l="1723" t="5028" r="1347" b="14680"/>
                    <a:stretch>
                      <a:fillRect/>
                    </a:stretch>
                  </pic:blipFill>
                  <pic:spPr>
                    <a:xfrm>
                      <a:off x="0" y="0"/>
                      <a:ext cx="5760085" cy="3604895"/>
                    </a:xfrm>
                    <a:prstGeom prst="rect">
                      <a:avLst/>
                    </a:prstGeom>
                    <a:noFill/>
                    <a:ln>
                      <a:solidFill>
                        <a:schemeClr val="bg2">
                          <a:lumMod val="90000"/>
                        </a:schemeClr>
                      </a:solidFill>
                    </a:ln>
                  </pic:spPr>
                </pic:pic>
              </a:graphicData>
            </a:graphic>
          </wp:inline>
        </w:drawing>
      </w:r>
    </w:p>
    <w:p>
      <w:pPr>
        <w:pStyle w:val="7"/>
        <w:bidi w:val="0"/>
        <w:rPr>
          <w:rFonts w:hint="default" w:eastAsia="楷体"/>
          <w:color w:val="auto"/>
          <w:rtl w:val="0"/>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7</w:t>
      </w:r>
      <w:r>
        <w:rPr>
          <w:color w:val="auto"/>
        </w:rPr>
        <w:fldChar w:fldCharType="end"/>
      </w:r>
      <w:r>
        <w:rPr>
          <w:rFonts w:hint="eastAsia"/>
          <w:color w:val="auto"/>
          <w:lang w:val="en-US" w:eastAsia="zh-CN"/>
        </w:rPr>
        <w:t xml:space="preserve"> 乐山在长江经济带中位置示意图</w:t>
      </w:r>
    </w:p>
    <w:p>
      <w:pPr>
        <w:pStyle w:val="4"/>
        <w:bidi w:val="0"/>
        <w:rPr>
          <w:rFonts w:hint="default"/>
          <w:color w:val="auto"/>
          <w:lang w:val="en-US" w:eastAsia="zh-CN"/>
        </w:rPr>
      </w:pPr>
      <w:bookmarkStart w:id="58" w:name="_Toc25989"/>
      <w:bookmarkStart w:id="59" w:name="_Toc8997"/>
      <w:r>
        <w:rPr>
          <w:rFonts w:hint="eastAsia"/>
          <w:color w:val="auto"/>
          <w:lang w:val="en-US" w:eastAsia="zh-CN"/>
        </w:rPr>
        <w:t>交通基础设施发展情况</w:t>
      </w:r>
      <w:bookmarkEnd w:id="58"/>
      <w:bookmarkEnd w:id="59"/>
    </w:p>
    <w:p>
      <w:pPr>
        <w:spacing w:line="600" w:lineRule="exact"/>
        <w:ind w:firstLine="640" w:firstLineChars="200"/>
        <w:rPr>
          <w:rFonts w:hint="default" w:ascii="Times New Roman" w:hAnsi="Times New Roman" w:eastAsia="仿宋_GB2312"/>
          <w:color w:val="auto"/>
          <w:sz w:val="32"/>
          <w:szCs w:val="32"/>
          <w:lang w:val="en-US" w:eastAsia="zh-CN"/>
        </w:rPr>
      </w:pPr>
      <w:r>
        <w:rPr>
          <w:rFonts w:hint="default" w:ascii="Times New Roman" w:hAnsi="Times New Roman" w:eastAsia="仿宋_GB2312"/>
          <w:color w:val="auto"/>
          <w:sz w:val="32"/>
          <w:szCs w:val="32"/>
          <w:lang w:val="en-US" w:eastAsia="zh-CN"/>
        </w:rPr>
        <w:t>乐山</w:t>
      </w:r>
      <w:r>
        <w:rPr>
          <w:rFonts w:hint="eastAsia" w:ascii="Times New Roman" w:hAnsi="Times New Roman" w:eastAsia="仿宋_GB2312"/>
          <w:color w:val="auto"/>
          <w:sz w:val="32"/>
          <w:szCs w:val="32"/>
          <w:lang w:val="en-US" w:eastAsia="zh-CN"/>
        </w:rPr>
        <w:t>已实施</w:t>
      </w:r>
      <w:r>
        <w:rPr>
          <w:rFonts w:hint="default" w:ascii="Times New Roman" w:hAnsi="Times New Roman" w:eastAsia="仿宋_GB2312"/>
          <w:color w:val="auto"/>
          <w:sz w:val="32"/>
          <w:szCs w:val="32"/>
          <w:lang w:val="en-US" w:eastAsia="zh-CN"/>
        </w:rPr>
        <w:t>两轮“三年交通大会战”</w:t>
      </w:r>
      <w:r>
        <w:rPr>
          <w:rFonts w:hint="eastAsia" w:ascii="Times New Roman" w:hAnsi="Times New Roman" w:eastAsia="仿宋_GB2312"/>
          <w:color w:val="auto"/>
          <w:sz w:val="32"/>
          <w:szCs w:val="32"/>
          <w:lang w:val="en-US" w:eastAsia="zh-CN"/>
        </w:rPr>
        <w:t>，正加快实施</w:t>
      </w:r>
      <w:r>
        <w:rPr>
          <w:rFonts w:hint="default" w:ascii="Times New Roman" w:hAnsi="Times New Roman" w:eastAsia="仿宋_GB2312"/>
          <w:color w:val="auto"/>
          <w:sz w:val="32"/>
          <w:szCs w:val="32"/>
          <w:lang w:val="en-US" w:eastAsia="zh-CN"/>
        </w:rPr>
        <w:t>打造全省重要的区域交通</w:t>
      </w:r>
      <w:r>
        <w:rPr>
          <w:rFonts w:hint="default" w:ascii="Times New Roman" w:hAnsi="Times New Roman"/>
          <w:color w:val="auto"/>
          <w:sz w:val="32"/>
          <w:szCs w:val="32"/>
          <w:lang w:val="en-US" w:eastAsia="zh-CN"/>
        </w:rPr>
        <w:t>物流枢纽三年攻坚行动</w:t>
      </w:r>
      <w:r>
        <w:rPr>
          <w:rFonts w:hint="eastAsia" w:ascii="Times New Roman" w:hAnsi="Times New Roman"/>
          <w:color w:val="auto"/>
          <w:sz w:val="32"/>
          <w:szCs w:val="32"/>
          <w:lang w:val="en-US" w:eastAsia="zh-CN"/>
        </w:rPr>
        <w:t>，</w:t>
      </w:r>
      <w:r>
        <w:rPr>
          <w:rFonts w:hint="default" w:ascii="Times New Roman" w:hAnsi="Times New Roman"/>
          <w:color w:val="auto"/>
          <w:sz w:val="32"/>
          <w:szCs w:val="32"/>
          <w:lang w:val="en-US" w:eastAsia="zh-CN"/>
        </w:rPr>
        <w:t>交通建设</w:t>
      </w:r>
      <w:r>
        <w:rPr>
          <w:rFonts w:hint="eastAsia" w:ascii="Times New Roman" w:hAnsi="Times New Roman"/>
          <w:color w:val="auto"/>
          <w:sz w:val="32"/>
          <w:szCs w:val="32"/>
          <w:lang w:val="en-US" w:eastAsia="zh-CN"/>
        </w:rPr>
        <w:t>投资连续</w:t>
      </w:r>
      <w:r>
        <w:rPr>
          <w:rFonts w:hint="default" w:ascii="Times New Roman" w:hAnsi="Times New Roman"/>
          <w:color w:val="auto"/>
          <w:sz w:val="32"/>
          <w:szCs w:val="32"/>
          <w:lang w:val="en-US" w:eastAsia="zh-CN"/>
        </w:rPr>
        <w:t>多年高位运行</w:t>
      </w:r>
      <w:r>
        <w:rPr>
          <w:rFonts w:hint="eastAsia" w:ascii="Times New Roman" w:hAnsi="Times New Roman"/>
          <w:color w:val="auto"/>
          <w:sz w:val="32"/>
          <w:szCs w:val="32"/>
          <w:lang w:val="en-US" w:eastAsia="zh-CN"/>
        </w:rPr>
        <w:t>，其中内河水运投资连续8年稳居全省第一，机场、高速公路、水运航道和航电枢纽等项目加速推进，</w:t>
      </w:r>
      <w:r>
        <w:rPr>
          <w:rFonts w:hint="default" w:ascii="Times New Roman" w:hAnsi="Times New Roman" w:eastAsia="仿宋_GB2312"/>
          <w:color w:val="auto"/>
          <w:sz w:val="32"/>
          <w:szCs w:val="32"/>
          <w:lang w:val="en-US" w:eastAsia="zh-CN"/>
        </w:rPr>
        <w:t>极大改善乐山交通</w:t>
      </w:r>
      <w:r>
        <w:rPr>
          <w:rFonts w:hint="eastAsia"/>
          <w:color w:val="auto"/>
          <w:sz w:val="32"/>
          <w:szCs w:val="32"/>
          <w:lang w:val="en-US" w:eastAsia="zh-CN"/>
        </w:rPr>
        <w:t>物流</w:t>
      </w:r>
      <w:r>
        <w:rPr>
          <w:rFonts w:hint="eastAsia" w:ascii="Times New Roman" w:hAnsi="Times New Roman"/>
          <w:color w:val="auto"/>
          <w:sz w:val="32"/>
          <w:szCs w:val="32"/>
          <w:lang w:val="en-US" w:eastAsia="zh-CN"/>
        </w:rPr>
        <w:t>基础设施条件。</w:t>
      </w:r>
    </w:p>
    <w:p>
      <w:pPr>
        <w:pStyle w:val="5"/>
        <w:bidi w:val="0"/>
        <w:rPr>
          <w:rFonts w:hint="default" w:ascii="Times New Roman" w:hAnsi="Times New Roman" w:eastAsia="仿宋_GB2312"/>
          <w:color w:val="auto"/>
          <w:sz w:val="32"/>
          <w:szCs w:val="32"/>
          <w:lang w:val="en-US" w:eastAsia="zh-CN"/>
        </w:rPr>
      </w:pPr>
      <w:r>
        <w:rPr>
          <w:rFonts w:hint="eastAsia"/>
          <w:color w:val="auto"/>
          <w:sz w:val="32"/>
          <w:szCs w:val="32"/>
          <w:lang w:val="en-US" w:eastAsia="zh-CN"/>
        </w:rPr>
        <w:t>干线通道</w:t>
      </w:r>
    </w:p>
    <w:p>
      <w:pPr>
        <w:keepNext w:val="0"/>
        <w:keepLines w:val="0"/>
        <w:pageBreakBefore w:val="0"/>
        <w:widowControl/>
        <w:kinsoku/>
        <w:wordWrap/>
        <w:overflowPunct/>
        <w:topLinePunct w:val="0"/>
        <w:autoSpaceDE/>
        <w:autoSpaceDN/>
        <w:bidi w:val="0"/>
        <w:adjustRightInd/>
        <w:snapToGrid/>
        <w:spacing w:line="600" w:lineRule="exact"/>
        <w:ind w:firstLine="640" w:firstLineChars="200"/>
        <w:jc w:val="left"/>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铁路通道方面，建成成昆铁路、成昆铁路复线、成贵铁路（成绵乐城际铁路）、连燕铁路等4条铁路、501公里，铁路网密度3.9公里/百平方公里、全省第8；建成四川德胜集团钒钛有限公司专用铁路专用线等14条铁路专用线、34.8公里，铁路专用线数量全省第8，全市11个县（市、区）除马边、沐川两县外均已实现县县通铁路。</w:t>
      </w:r>
    </w:p>
    <w:p>
      <w:pPr>
        <w:spacing w:line="600" w:lineRule="exact"/>
        <w:ind w:firstLine="640" w:firstLineChars="200"/>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sz w:val="32"/>
          <w:szCs w:val="32"/>
          <w:lang w:val="en-US" w:eastAsia="zh-CN"/>
        </w:rPr>
        <w:t>高速公路通道方面，</w:t>
      </w:r>
      <w:r>
        <w:rPr>
          <w:rFonts w:hint="eastAsia" w:ascii="仿宋_GB2312" w:hAnsi="仿宋_GB2312" w:eastAsia="仿宋_GB2312" w:cs="仿宋_GB2312"/>
          <w:b w:val="0"/>
          <w:bCs w:val="0"/>
          <w:color w:val="auto"/>
          <w:lang w:val="en-US" w:eastAsia="zh-CN"/>
        </w:rPr>
        <w:t>建成G93成渝地区环线、G0512成乐高速、G4216蓉丽高速、S66隆汉高速等高速公路5条、566公里，</w:t>
      </w:r>
      <w:r>
        <w:rPr>
          <w:rFonts w:hint="eastAsia" w:ascii="仿宋_GB2312" w:hAnsi="仿宋_GB2312" w:eastAsia="仿宋_GB2312" w:cs="仿宋_GB2312"/>
          <w:b w:val="0"/>
          <w:bCs w:val="0"/>
          <w:color w:val="auto"/>
          <w:sz w:val="32"/>
          <w:szCs w:val="32"/>
          <w:lang w:val="en-US" w:eastAsia="zh-CN"/>
        </w:rPr>
        <w:t>在</w:t>
      </w:r>
      <w:r>
        <w:rPr>
          <w:rFonts w:hint="eastAsia" w:ascii="仿宋_GB2312" w:hAnsi="仿宋_GB2312" w:eastAsia="仿宋_GB2312" w:cs="仿宋_GB2312"/>
          <w:b w:val="0"/>
          <w:bCs w:val="0"/>
          <w:color w:val="auto"/>
        </w:rPr>
        <w:t>建</w:t>
      </w:r>
      <w:r>
        <w:rPr>
          <w:rFonts w:hint="eastAsia" w:ascii="仿宋_GB2312" w:hAnsi="仿宋_GB2312" w:eastAsia="仿宋_GB2312" w:cs="仿宋_GB2312"/>
          <w:b w:val="0"/>
          <w:bCs w:val="0"/>
          <w:color w:val="auto"/>
          <w:lang w:val="en-US" w:eastAsia="zh-CN"/>
        </w:rPr>
        <w:t>S7</w:t>
      </w:r>
      <w:r>
        <w:rPr>
          <w:rFonts w:hint="eastAsia" w:ascii="仿宋_GB2312" w:hAnsi="仿宋_GB2312" w:eastAsia="仿宋_GB2312" w:cs="仿宋_GB2312"/>
          <w:b w:val="0"/>
          <w:bCs w:val="0"/>
          <w:color w:val="auto"/>
          <w:kern w:val="3"/>
          <w:sz w:val="32"/>
          <w:szCs w:val="22"/>
          <w:lang w:val="en-US" w:eastAsia="zh-CN"/>
        </w:rPr>
        <w:t>成会高速马昭段、天眉乐段和S48铜荥高速乐资段</w:t>
      </w:r>
      <w:r>
        <w:rPr>
          <w:rFonts w:hint="eastAsia" w:ascii="仿宋_GB2312" w:hAnsi="仿宋_GB2312" w:eastAsia="仿宋_GB2312" w:cs="仿宋_GB2312"/>
          <w:b w:val="0"/>
          <w:bCs w:val="0"/>
          <w:color w:val="auto"/>
        </w:rPr>
        <w:t>等3条高速</w:t>
      </w:r>
      <w:r>
        <w:rPr>
          <w:rFonts w:hint="eastAsia" w:ascii="仿宋_GB2312" w:hAnsi="仿宋_GB2312" w:eastAsia="仿宋_GB2312" w:cs="仿宋_GB2312"/>
          <w:b w:val="0"/>
          <w:bCs w:val="0"/>
          <w:color w:val="auto"/>
          <w:lang w:eastAsia="zh-CN"/>
        </w:rPr>
        <w:t>，</w:t>
      </w:r>
      <w:r>
        <w:rPr>
          <w:rFonts w:hint="eastAsia" w:ascii="仿宋_GB2312" w:hAnsi="仿宋_GB2312" w:eastAsia="仿宋_GB2312" w:cs="仿宋_GB2312"/>
          <w:b w:val="0"/>
          <w:bCs w:val="0"/>
          <w:color w:val="auto"/>
          <w:lang w:val="en-US" w:eastAsia="zh-CN"/>
        </w:rPr>
        <w:t>建成高速公路网密度4.4公里/百平方公里、全省第12，</w:t>
      </w:r>
      <w:r>
        <w:rPr>
          <w:rFonts w:hint="eastAsia" w:ascii="仿宋_GB2312" w:hAnsi="仿宋_GB2312" w:eastAsia="仿宋_GB2312" w:cs="仿宋_GB2312"/>
          <w:b w:val="0"/>
          <w:bCs w:val="0"/>
          <w:color w:val="auto"/>
          <w:sz w:val="32"/>
          <w:szCs w:val="32"/>
          <w:lang w:val="en-US" w:eastAsia="zh-CN"/>
        </w:rPr>
        <w:t>全面实现县县通高速</w:t>
      </w:r>
      <w:r>
        <w:rPr>
          <w:rFonts w:hint="eastAsia" w:ascii="仿宋_GB2312" w:hAnsi="仿宋_GB2312" w:eastAsia="仿宋_GB2312" w:cs="仿宋_GB2312"/>
          <w:b w:val="0"/>
          <w:bCs w:val="0"/>
          <w:color w:val="auto"/>
          <w:lang w:val="en-US" w:eastAsia="zh-CN"/>
        </w:rPr>
        <w:t>。</w:t>
      </w:r>
    </w:p>
    <w:p>
      <w:pPr>
        <w:keepNext w:val="0"/>
        <w:keepLines w:val="0"/>
        <w:widowControl/>
        <w:suppressLineNumbers w:val="0"/>
        <w:spacing w:line="600" w:lineRule="exact"/>
        <w:ind w:firstLine="640"/>
        <w:jc w:val="left"/>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sz w:val="32"/>
          <w:szCs w:val="32"/>
          <w:lang w:val="en-US" w:eastAsia="zh-CN"/>
        </w:rPr>
        <w:t>水运通道方面，</w:t>
      </w:r>
      <w:r>
        <w:rPr>
          <w:rFonts w:hint="eastAsia" w:ascii="仿宋_GB2312" w:hAnsi="仿宋_GB2312" w:eastAsia="仿宋_GB2312" w:cs="仿宋_GB2312"/>
          <w:b w:val="0"/>
          <w:bCs w:val="0"/>
          <w:color w:val="auto"/>
          <w:lang w:val="en-US" w:eastAsia="zh-CN"/>
        </w:rPr>
        <w:t>乐山市管辖范围内现状等级航道达503.8公里（含岷江宜宾段76.2公里），岷江航道全段162公里纳入国家高等级航道规划，是全省“一横五纵”高等级航道体系重要组成部分，其中岷江航道乐山至宜宾段是四川省大件运输的主通道。</w:t>
      </w:r>
    </w:p>
    <w:p>
      <w:pPr>
        <w:pStyle w:val="27"/>
        <w:bidi w:val="0"/>
        <w:rPr>
          <w:color w:val="auto"/>
        </w:rPr>
      </w:pPr>
      <w:r>
        <w:rPr>
          <w:color w:val="auto"/>
        </w:rPr>
        <w:drawing>
          <wp:inline distT="0" distB="0" distL="114300" distR="114300">
            <wp:extent cx="5760085" cy="6198870"/>
            <wp:effectExtent l="9525" t="9525" r="21590" b="20955"/>
            <wp:docPr id="31" name="图片 1" descr="乐山高速+铁路-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descr="乐山高速+铁路-01"/>
                    <pic:cNvPicPr>
                      <a:picLocks noChangeAspect="1"/>
                    </pic:cNvPicPr>
                  </pic:nvPicPr>
                  <pic:blipFill>
                    <a:blip r:embed="rId30"/>
                    <a:srcRect l="3852" t="10044" r="3010" b="2343"/>
                    <a:stretch>
                      <a:fillRect/>
                    </a:stretch>
                  </pic:blipFill>
                  <pic:spPr>
                    <a:xfrm>
                      <a:off x="0" y="0"/>
                      <a:ext cx="5760085" cy="6198870"/>
                    </a:xfrm>
                    <a:prstGeom prst="rect">
                      <a:avLst/>
                    </a:prstGeom>
                    <a:ln>
                      <a:solidFill>
                        <a:schemeClr val="bg2">
                          <a:lumMod val="90000"/>
                        </a:schemeClr>
                      </a:solidFill>
                    </a:ln>
                  </pic:spPr>
                </pic:pic>
              </a:graphicData>
            </a:graphic>
          </wp:inline>
        </w:drawing>
      </w:r>
    </w:p>
    <w:p>
      <w:pPr>
        <w:pStyle w:val="7"/>
        <w:bidi w:val="0"/>
        <w:rPr>
          <w:rFonts w:hint="default" w:eastAsia="宋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8</w:t>
      </w:r>
      <w:r>
        <w:rPr>
          <w:color w:val="auto"/>
        </w:rPr>
        <w:fldChar w:fldCharType="end"/>
      </w:r>
      <w:r>
        <w:rPr>
          <w:rFonts w:hint="eastAsia"/>
          <w:color w:val="auto"/>
          <w:lang w:val="en-US" w:eastAsia="zh-CN"/>
        </w:rPr>
        <w:t xml:space="preserve"> 乐山市干线通道现状示意图</w:t>
      </w:r>
    </w:p>
    <w:p>
      <w:pPr>
        <w:pStyle w:val="5"/>
        <w:ind w:firstLineChars="200"/>
        <w:rPr>
          <w:rFonts w:hint="eastAsia" w:ascii="Times New Roman" w:hAnsi="Times New Roman"/>
          <w:b/>
          <w:bCs/>
          <w:color w:val="auto"/>
          <w:sz w:val="32"/>
          <w:szCs w:val="32"/>
          <w:lang w:val="en-US" w:eastAsia="zh-CN"/>
        </w:rPr>
      </w:pPr>
      <w:r>
        <w:rPr>
          <w:rFonts w:hint="eastAsia" w:ascii="Times New Roman" w:hAnsi="Times New Roman"/>
          <w:b/>
          <w:bCs/>
          <w:color w:val="auto"/>
          <w:sz w:val="32"/>
          <w:szCs w:val="32"/>
          <w:lang w:val="en-US" w:eastAsia="zh-CN"/>
        </w:rPr>
        <w:t>物流场站</w:t>
      </w:r>
    </w:p>
    <w:p>
      <w:pPr>
        <w:spacing w:line="600" w:lineRule="exact"/>
        <w:ind w:firstLine="640" w:firstLineChars="200"/>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lang w:val="en-US" w:eastAsia="zh-CN"/>
        </w:rPr>
        <w:t>铁路场站方面，建成夹江站、燕岗站、连燕铁路乐山港站等14个铁路货站，数量位居全省第一方阵，其中成昆铁路夹江站、燕岗站及连燕铁路乐山港站具备整列集装箱作业条件。</w:t>
      </w:r>
    </w:p>
    <w:p>
      <w:pPr>
        <w:spacing w:line="600" w:lineRule="exact"/>
        <w:ind w:firstLine="640" w:firstLineChars="200"/>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lang w:val="en-US" w:eastAsia="zh-CN"/>
        </w:rPr>
        <w:t>公路场站方面，建成嘉州商贸物流园区、沿森物流园、蓝雁冷链物流园等规模型物流园14个，数量多于遂宁（9个）、内江（8个）、南充（13个）、广元（6个）等省内其他物流枢纽城市，且各物流园区均已实现高等级公路直连，有效服务乐山高新区、沙湾经济开发区等产业园区生产物流需求。</w:t>
      </w:r>
    </w:p>
    <w:p>
      <w:pPr>
        <w:spacing w:line="600" w:lineRule="exact"/>
        <w:ind w:firstLine="640" w:firstLineChars="200"/>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lang w:val="en-US" w:eastAsia="zh-CN"/>
        </w:rPr>
        <w:t>水路场站方面，乐山港是四川省地区性重要港口，也是成都平原经济区实现陆水对接、通江达海最理想的港口，建成嘉州、犍为、五通桥、沙湾四个港区，港口货物吞吐能力达36万吨、居全省前列，共有生产性货运泊位14个，其中500吨级及以上内河港口泊位5个。</w:t>
      </w:r>
    </w:p>
    <w:p>
      <w:pPr>
        <w:spacing w:line="600" w:lineRule="exact"/>
        <w:ind w:firstLine="640" w:firstLineChars="200"/>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sz w:val="32"/>
          <w:szCs w:val="32"/>
          <w:lang w:val="en-US" w:eastAsia="zh-CN"/>
        </w:rPr>
        <w:t>机场方面，</w:t>
      </w:r>
      <w:r>
        <w:rPr>
          <w:rFonts w:hint="eastAsia" w:ascii="仿宋_GB2312" w:hAnsi="仿宋_GB2312" w:eastAsia="仿宋_GB2312" w:cs="仿宋_GB2312"/>
          <w:b w:val="0"/>
          <w:bCs w:val="0"/>
          <w:color w:val="auto"/>
          <w:lang w:val="en-US" w:eastAsia="zh-CN"/>
        </w:rPr>
        <w:t>乐山机场已于2022年8月开工建设，设计货邮吞吐量1.6万吨，2025年乐山机场民航部分竣工并完成校飞。项目建成后，乐山市将是成都平原经济区唯一具备公铁水空全方式的多式联运枢纽城市，成为成渝地区进一步深度融入长江经济带，衔接联动西部陆海新通道、沿江通道、大陆桥走廊等国际运输通道，全面沟通东盟、中亚等区域的重要枢纽门户。</w:t>
      </w:r>
    </w:p>
    <w:p>
      <w:pPr>
        <w:pStyle w:val="7"/>
        <w:bidi w:val="0"/>
        <w:jc w:val="both"/>
        <w:rPr>
          <w:rFonts w:hint="default" w:eastAsia="楷体"/>
          <w:color w:val="auto"/>
          <w:lang w:val="en-US" w:eastAsia="zh-CN"/>
        </w:rPr>
      </w:pPr>
    </w:p>
    <w:p>
      <w:pPr>
        <w:spacing w:line="600" w:lineRule="exact"/>
        <w:ind w:firstLine="640" w:firstLineChars="200"/>
        <w:rPr>
          <w:rFonts w:hint="default" w:ascii="Times New Roman" w:hAnsi="Times New Roman" w:cs="Times New Roman"/>
          <w:color w:val="auto"/>
          <w:lang w:val="en-US" w:eastAsia="zh-CN"/>
        </w:rPr>
        <w:sectPr>
          <w:pgSz w:w="23811" w:h="16838" w:orient="landscape"/>
          <w:pgMar w:top="1800" w:right="1440" w:bottom="1800" w:left="1440" w:header="851" w:footer="992" w:gutter="0"/>
          <w:pgNumType w:fmt="decimal"/>
          <w:cols w:space="1280" w:num="2"/>
          <w:docGrid w:type="lines" w:linePitch="312" w:charSpace="0"/>
        </w:sectPr>
      </w:pPr>
    </w:p>
    <w:p>
      <w:pPr>
        <w:keepNext w:val="0"/>
        <w:keepLines w:val="0"/>
        <w:pageBreakBefore w:val="0"/>
        <w:widowControl w:val="0"/>
        <w:kinsoku/>
        <w:wordWrap/>
        <w:overflowPunct/>
        <w:topLinePunct w:val="0"/>
        <w:autoSpaceDE/>
        <w:autoSpaceDN/>
        <w:bidi w:val="0"/>
        <w:adjustRightInd w:val="0"/>
        <w:snapToGrid w:val="0"/>
        <w:spacing w:before="79" w:beforeLines="25" w:after="79" w:afterLines="25" w:line="240" w:lineRule="auto"/>
        <w:ind w:firstLine="0" w:firstLineChars="0"/>
        <w:jc w:val="center"/>
        <w:textAlignment w:val="auto"/>
        <w:rPr>
          <w:rFonts w:hint="default" w:ascii="Times New Roman" w:hAnsi="Times New Roman" w:eastAsia="楷体" w:cs="Times New Roman"/>
          <w:color w:val="auto"/>
          <w:kern w:val="3"/>
          <w:sz w:val="28"/>
          <w:szCs w:val="20"/>
          <w:lang w:val="en-US" w:eastAsia="zh-CN" w:bidi="ar-SA"/>
        </w:rPr>
      </w:pPr>
      <w:r>
        <w:rPr>
          <w:rFonts w:hint="default" w:ascii="Times New Roman" w:hAnsi="Times New Roman" w:eastAsia="楷体" w:cs="Times New Roman"/>
          <w:color w:val="auto"/>
          <w:kern w:val="3"/>
          <w:sz w:val="28"/>
          <w:szCs w:val="20"/>
          <w:lang w:val="en-US" w:eastAsia="zh-CN" w:bidi="ar-SA"/>
        </w:rPr>
        <w:t xml:space="preserve">表 </w:t>
      </w:r>
      <w:r>
        <w:rPr>
          <w:rFonts w:hint="default" w:ascii="Times New Roman" w:hAnsi="Times New Roman" w:eastAsia="楷体" w:cs="Times New Roman"/>
          <w:color w:val="auto"/>
          <w:kern w:val="3"/>
          <w:sz w:val="28"/>
          <w:szCs w:val="20"/>
          <w:lang w:val="en-US" w:eastAsia="zh-CN" w:bidi="ar-SA"/>
        </w:rPr>
        <w:fldChar w:fldCharType="begin"/>
      </w:r>
      <w:r>
        <w:rPr>
          <w:rFonts w:hint="default" w:ascii="Times New Roman" w:hAnsi="Times New Roman" w:eastAsia="楷体" w:cs="Times New Roman"/>
          <w:color w:val="auto"/>
          <w:kern w:val="3"/>
          <w:sz w:val="28"/>
          <w:szCs w:val="20"/>
          <w:lang w:val="en-US" w:eastAsia="zh-CN" w:bidi="ar-SA"/>
        </w:rPr>
        <w:instrText xml:space="preserve"> STYLEREF 1 \s </w:instrText>
      </w:r>
      <w:r>
        <w:rPr>
          <w:rFonts w:hint="default" w:ascii="Times New Roman" w:hAnsi="Times New Roman" w:eastAsia="楷体" w:cs="Times New Roman"/>
          <w:color w:val="auto"/>
          <w:kern w:val="3"/>
          <w:sz w:val="28"/>
          <w:szCs w:val="20"/>
          <w:lang w:val="en-US" w:eastAsia="zh-CN" w:bidi="ar-SA"/>
        </w:rPr>
        <w:fldChar w:fldCharType="separate"/>
      </w:r>
      <w:r>
        <w:rPr>
          <w:rFonts w:hint="default" w:ascii="Times New Roman" w:hAnsi="Times New Roman" w:eastAsia="楷体" w:cs="Times New Roman"/>
          <w:color w:val="auto"/>
          <w:kern w:val="3"/>
          <w:sz w:val="28"/>
          <w:szCs w:val="20"/>
          <w:lang w:val="en-US" w:eastAsia="zh-CN" w:bidi="ar-SA"/>
        </w:rPr>
        <w:t>2</w:t>
      </w:r>
      <w:r>
        <w:rPr>
          <w:rFonts w:hint="default" w:ascii="Times New Roman" w:hAnsi="Times New Roman" w:eastAsia="楷体" w:cs="Times New Roman"/>
          <w:color w:val="auto"/>
          <w:kern w:val="3"/>
          <w:sz w:val="28"/>
          <w:szCs w:val="20"/>
          <w:lang w:val="en-US" w:eastAsia="zh-CN" w:bidi="ar-SA"/>
        </w:rPr>
        <w:fldChar w:fldCharType="end"/>
      </w:r>
      <w:r>
        <w:rPr>
          <w:rFonts w:hint="eastAsia" w:ascii="Times New Roman" w:hAnsi="Times New Roman" w:eastAsia="楷体" w:cs="Times New Roman"/>
          <w:color w:val="auto"/>
          <w:kern w:val="3"/>
          <w:sz w:val="28"/>
          <w:szCs w:val="20"/>
          <w:lang w:val="en-US" w:eastAsia="zh-CN" w:bidi="ar-SA"/>
        </w:rPr>
        <w:t>-</w:t>
      </w:r>
      <w:r>
        <w:rPr>
          <w:rFonts w:hint="default" w:ascii="Times New Roman" w:hAnsi="Times New Roman" w:eastAsia="楷体" w:cs="Times New Roman"/>
          <w:color w:val="auto"/>
          <w:kern w:val="3"/>
          <w:sz w:val="28"/>
          <w:szCs w:val="20"/>
          <w:lang w:val="en-US" w:eastAsia="zh-CN" w:bidi="ar-SA"/>
        </w:rPr>
        <w:fldChar w:fldCharType="begin"/>
      </w:r>
      <w:r>
        <w:rPr>
          <w:rFonts w:hint="default" w:ascii="Times New Roman" w:hAnsi="Times New Roman" w:eastAsia="楷体" w:cs="Times New Roman"/>
          <w:color w:val="auto"/>
          <w:kern w:val="3"/>
          <w:sz w:val="28"/>
          <w:szCs w:val="20"/>
          <w:lang w:val="en-US" w:eastAsia="zh-CN" w:bidi="ar-SA"/>
        </w:rPr>
        <w:instrText xml:space="preserve"> SEQ 表 \* ARABIC \s 1 </w:instrText>
      </w:r>
      <w:r>
        <w:rPr>
          <w:rFonts w:hint="default" w:ascii="Times New Roman" w:hAnsi="Times New Roman" w:eastAsia="楷体" w:cs="Times New Roman"/>
          <w:color w:val="auto"/>
          <w:kern w:val="3"/>
          <w:sz w:val="28"/>
          <w:szCs w:val="20"/>
          <w:lang w:val="en-US" w:eastAsia="zh-CN" w:bidi="ar-SA"/>
        </w:rPr>
        <w:fldChar w:fldCharType="separate"/>
      </w:r>
      <w:r>
        <w:rPr>
          <w:rFonts w:hint="default" w:ascii="Times New Roman" w:hAnsi="Times New Roman" w:eastAsia="楷体" w:cs="Times New Roman"/>
          <w:color w:val="auto"/>
          <w:kern w:val="3"/>
          <w:sz w:val="28"/>
          <w:szCs w:val="20"/>
          <w:lang w:val="en-US" w:eastAsia="zh-CN" w:bidi="ar-SA"/>
        </w:rPr>
        <w:t>4</w:t>
      </w:r>
      <w:r>
        <w:rPr>
          <w:rFonts w:hint="default" w:ascii="Times New Roman" w:hAnsi="Times New Roman" w:eastAsia="楷体" w:cs="Times New Roman"/>
          <w:color w:val="auto"/>
          <w:kern w:val="3"/>
          <w:sz w:val="28"/>
          <w:szCs w:val="20"/>
          <w:lang w:val="en-US" w:eastAsia="zh-CN" w:bidi="ar-SA"/>
        </w:rPr>
        <w:fldChar w:fldCharType="end"/>
      </w:r>
      <w:r>
        <w:rPr>
          <w:rFonts w:hint="eastAsia" w:ascii="Times New Roman" w:hAnsi="Times New Roman" w:eastAsia="楷体" w:cs="Times New Roman"/>
          <w:color w:val="auto"/>
          <w:kern w:val="3"/>
          <w:sz w:val="28"/>
          <w:szCs w:val="20"/>
          <w:lang w:val="en-US" w:eastAsia="zh-CN" w:bidi="ar-SA"/>
        </w:rPr>
        <w:t xml:space="preserve"> </w:t>
      </w:r>
      <w:r>
        <w:rPr>
          <w:rFonts w:hint="default" w:ascii="Times New Roman" w:hAnsi="Times New Roman" w:eastAsia="楷体" w:cs="Times New Roman"/>
          <w:color w:val="auto"/>
          <w:kern w:val="3"/>
          <w:sz w:val="28"/>
          <w:szCs w:val="20"/>
          <w:lang w:val="en-US" w:eastAsia="zh-CN" w:bidi="ar-SA"/>
        </w:rPr>
        <w:t>乐山</w:t>
      </w:r>
      <w:r>
        <w:rPr>
          <w:rFonts w:hint="eastAsia" w:ascii="Times New Roman" w:hAnsi="Times New Roman" w:eastAsia="楷体" w:cs="Times New Roman"/>
          <w:color w:val="auto"/>
          <w:kern w:val="3"/>
          <w:sz w:val="28"/>
          <w:szCs w:val="20"/>
          <w:lang w:val="en-US" w:eastAsia="zh-CN" w:bidi="ar-SA"/>
        </w:rPr>
        <w:t>市</w:t>
      </w:r>
      <w:r>
        <w:rPr>
          <w:rFonts w:hint="default" w:ascii="Times New Roman" w:hAnsi="Times New Roman" w:eastAsia="楷体" w:cs="Times New Roman"/>
          <w:color w:val="auto"/>
          <w:kern w:val="3"/>
          <w:sz w:val="28"/>
          <w:szCs w:val="20"/>
          <w:lang w:val="en-US" w:eastAsia="zh-CN" w:bidi="ar-SA"/>
        </w:rPr>
        <w:t>物流基础设施基本情况统计表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0"/>
        <w:gridCol w:w="4489"/>
        <w:gridCol w:w="1911"/>
        <w:gridCol w:w="13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blHeader/>
        </w:trPr>
        <w:tc>
          <w:tcPr>
            <w:tcW w:w="373" w:type="pct"/>
            <w:noWrap w:val="0"/>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黑体" w:cs="Times New Roman"/>
                <w:color w:val="auto"/>
                <w:kern w:val="3"/>
                <w:sz w:val="24"/>
                <w:szCs w:val="22"/>
                <w:lang w:val="en-US" w:eastAsia="zh-CN" w:bidi="ar-SA"/>
              </w:rPr>
            </w:pPr>
            <w:r>
              <w:rPr>
                <w:rFonts w:hint="default" w:ascii="Times New Roman" w:hAnsi="Times New Roman" w:eastAsia="黑体" w:cs="Times New Roman"/>
                <w:color w:val="auto"/>
                <w:kern w:val="3"/>
                <w:sz w:val="24"/>
                <w:szCs w:val="22"/>
                <w:lang w:val="en-US" w:eastAsia="zh-CN" w:bidi="ar-SA"/>
              </w:rPr>
              <w:t>类型</w:t>
            </w:r>
          </w:p>
        </w:tc>
        <w:tc>
          <w:tcPr>
            <w:tcW w:w="1061" w:type="pct"/>
            <w:noWrap w:val="0"/>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黑体" w:cs="Times New Roman"/>
                <w:color w:val="auto"/>
                <w:kern w:val="3"/>
                <w:sz w:val="24"/>
                <w:szCs w:val="22"/>
                <w:lang w:val="en-US" w:eastAsia="zh-CN" w:bidi="ar-SA"/>
              </w:rPr>
            </w:pPr>
            <w:r>
              <w:rPr>
                <w:rFonts w:hint="default" w:ascii="Times New Roman" w:hAnsi="Times New Roman" w:eastAsia="黑体" w:cs="Times New Roman"/>
                <w:color w:val="auto"/>
                <w:kern w:val="3"/>
                <w:sz w:val="24"/>
                <w:szCs w:val="22"/>
                <w:lang w:val="en-US" w:eastAsia="zh-CN" w:bidi="ar-SA"/>
              </w:rPr>
              <w:t>物流基础设施名称</w:t>
            </w:r>
          </w:p>
        </w:tc>
        <w:tc>
          <w:tcPr>
            <w:tcW w:w="451" w:type="pct"/>
            <w:noWrap w:val="0"/>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黑体" w:cs="Times New Roman"/>
                <w:color w:val="auto"/>
                <w:kern w:val="3"/>
                <w:sz w:val="24"/>
                <w:szCs w:val="22"/>
                <w:lang w:val="en-US" w:eastAsia="zh-CN" w:bidi="ar-SA"/>
              </w:rPr>
            </w:pPr>
            <w:r>
              <w:rPr>
                <w:rFonts w:hint="default" w:ascii="Times New Roman" w:hAnsi="Times New Roman" w:eastAsia="黑体" w:cs="Times New Roman"/>
                <w:color w:val="auto"/>
                <w:kern w:val="3"/>
                <w:sz w:val="24"/>
                <w:szCs w:val="22"/>
                <w:lang w:val="en-US" w:eastAsia="zh-CN" w:bidi="ar-SA"/>
              </w:rPr>
              <w:t>规模等级</w:t>
            </w:r>
          </w:p>
        </w:tc>
        <w:tc>
          <w:tcPr>
            <w:tcW w:w="3113" w:type="pct"/>
            <w:noWrap w:val="0"/>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黑体" w:cs="Times New Roman"/>
                <w:color w:val="auto"/>
                <w:kern w:val="3"/>
                <w:sz w:val="24"/>
                <w:szCs w:val="22"/>
                <w:lang w:val="en-US" w:eastAsia="zh-CN" w:bidi="ar-SA"/>
              </w:rPr>
            </w:pPr>
            <w:r>
              <w:rPr>
                <w:rFonts w:hint="default" w:ascii="Times New Roman" w:hAnsi="Times New Roman" w:eastAsia="黑体" w:cs="Times New Roman"/>
                <w:color w:val="auto"/>
                <w:kern w:val="3"/>
                <w:sz w:val="24"/>
                <w:szCs w:val="22"/>
                <w:lang w:val="en-US" w:eastAsia="zh-CN" w:bidi="ar-SA"/>
              </w:rPr>
              <w:t>主营业务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restart"/>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铁路货运站</w:t>
            </w:r>
          </w:p>
        </w:tc>
        <w:tc>
          <w:tcPr>
            <w:tcW w:w="4489" w:type="dxa"/>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bCs/>
                <w:color w:val="auto"/>
                <w:kern w:val="0"/>
                <w:sz w:val="24"/>
                <w:szCs w:val="24"/>
                <w:highlight w:val="none"/>
                <w:lang w:val="en-US" w:eastAsia="zh-CN" w:bidi="ar"/>
              </w:rPr>
            </w:pPr>
            <w:r>
              <w:rPr>
                <w:rStyle w:val="22"/>
                <w:rFonts w:hint="default" w:ascii="Times New Roman" w:hAnsi="Times New Roman" w:eastAsia="仿宋_GB2312" w:cs="Times New Roman"/>
                <w:b w:val="0"/>
                <w:bCs/>
                <w:color w:val="auto"/>
                <w:kern w:val="0"/>
                <w:sz w:val="22"/>
                <w:szCs w:val="22"/>
                <w:highlight w:val="none"/>
                <w:lang w:val="en-US" w:eastAsia="zh-CN" w:bidi="ar"/>
              </w:rPr>
              <w:t>沙湾站（成昆铁路）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三等</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cs="Times New Roman"/>
                <w:bCs/>
                <w:color w:val="auto"/>
                <w:kern w:val="0"/>
                <w:sz w:val="24"/>
                <w:szCs w:val="24"/>
                <w:lang w:val="en-US" w:eastAsia="zh-CN" w:bidi="ar"/>
              </w:rPr>
            </w:pPr>
            <w:r>
              <w:rPr>
                <w:rFonts w:hint="eastAsia" w:cs="Times New Roman"/>
                <w:bCs/>
                <w:color w:val="auto"/>
                <w:kern w:val="0"/>
                <w:sz w:val="22"/>
                <w:szCs w:val="22"/>
                <w:lang w:val="en-US" w:eastAsia="zh-CN" w:bidi="ar"/>
              </w:rPr>
              <w:t>办理</w:t>
            </w:r>
            <w:r>
              <w:rPr>
                <w:rFonts w:hint="default" w:ascii="Times New Roman" w:hAnsi="Times New Roman" w:cs="Times New Roman"/>
                <w:bCs/>
                <w:color w:val="auto"/>
                <w:kern w:val="0"/>
                <w:sz w:val="22"/>
                <w:szCs w:val="22"/>
                <w:lang w:eastAsia="zh-CN" w:bidi="ar"/>
              </w:rPr>
              <w:t>综合货运业务，</w:t>
            </w:r>
            <w:r>
              <w:rPr>
                <w:rFonts w:hint="eastAsia" w:cs="Times New Roman"/>
                <w:bCs/>
                <w:color w:val="auto"/>
                <w:kern w:val="0"/>
                <w:sz w:val="22"/>
                <w:szCs w:val="22"/>
                <w:lang w:val="en-US" w:eastAsia="zh-CN" w:bidi="ar"/>
              </w:rPr>
              <w:t>站</w:t>
            </w:r>
            <w:r>
              <w:rPr>
                <w:rFonts w:hint="default" w:cs="Times New Roman"/>
                <w:bCs/>
                <w:color w:val="auto"/>
                <w:kern w:val="0"/>
                <w:sz w:val="22"/>
                <w:lang w:bidi="ar"/>
              </w:rPr>
              <w:t>内接轨专用铁路2条：（1）四川德胜集团钢铁有限公司专用铁路</w:t>
            </w:r>
            <w:r>
              <w:rPr>
                <w:rFonts w:hint="eastAsia" w:cs="Times New Roman"/>
                <w:bCs/>
                <w:color w:val="auto"/>
                <w:kern w:val="0"/>
                <w:sz w:val="22"/>
                <w:lang w:eastAsia="zh-CN" w:bidi="ar"/>
              </w:rPr>
              <w:t>；</w:t>
            </w:r>
            <w:r>
              <w:rPr>
                <w:rFonts w:hint="default" w:cs="Times New Roman"/>
                <w:bCs/>
                <w:color w:val="auto"/>
                <w:kern w:val="0"/>
                <w:sz w:val="22"/>
                <w:lang w:bidi="ar"/>
              </w:rPr>
              <w:t>（2）四川盛德兴物流有限责任公司专用铁路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kern w:val="0"/>
                <w:sz w:val="24"/>
                <w:szCs w:val="24"/>
                <w:highlight w:val="none"/>
                <w:lang w:val="en-US" w:eastAsia="zh-CN" w:bidi="ar"/>
              </w:rPr>
            </w:pPr>
            <w:r>
              <w:rPr>
                <w:rFonts w:hint="eastAsia" w:cs="Times New Roman"/>
                <w:b w:val="0"/>
                <w:bCs/>
                <w:i w:val="0"/>
                <w:color w:val="auto"/>
                <w:kern w:val="0"/>
                <w:sz w:val="22"/>
                <w:szCs w:val="22"/>
                <w:highlight w:val="none"/>
                <w:u w:val="none"/>
                <w:lang w:val="en-US" w:eastAsia="zh-CN" w:bidi="ar"/>
              </w:rPr>
              <w:t>夹江</w:t>
            </w:r>
            <w:r>
              <w:rPr>
                <w:rStyle w:val="22"/>
                <w:rFonts w:hint="default" w:ascii="Times New Roman" w:hAnsi="Times New Roman" w:eastAsia="仿宋_GB2312" w:cs="Times New Roman"/>
                <w:b w:val="0"/>
                <w:bCs/>
                <w:color w:val="auto"/>
                <w:kern w:val="0"/>
                <w:sz w:val="22"/>
                <w:szCs w:val="22"/>
                <w:highlight w:val="none"/>
                <w:lang w:val="en-US" w:eastAsia="zh-CN" w:bidi="ar"/>
              </w:rPr>
              <w:t>（成昆铁路）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三等</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rPr>
                <w:rFonts w:hint="default" w:ascii="Times New Roman" w:hAnsi="Times New Roman" w:cs="Times New Roman"/>
                <w:bCs/>
                <w:color w:val="auto"/>
                <w:kern w:val="0"/>
                <w:sz w:val="24"/>
                <w:szCs w:val="24"/>
                <w:lang w:val="en-US" w:eastAsia="zh-CN" w:bidi="ar"/>
              </w:rPr>
            </w:pPr>
            <w:r>
              <w:rPr>
                <w:rFonts w:hint="default" w:ascii="Times New Roman" w:hAnsi="Times New Roman" w:cs="Times New Roman"/>
                <w:bCs/>
                <w:color w:val="auto"/>
                <w:kern w:val="0"/>
                <w:sz w:val="22"/>
                <w:szCs w:val="22"/>
                <w:lang w:eastAsia="zh-CN" w:bidi="ar"/>
              </w:rPr>
              <w:t>办理综合货运业务</w:t>
            </w:r>
            <w:r>
              <w:rPr>
                <w:rFonts w:hint="eastAsia" w:cs="Times New Roman"/>
                <w:bCs/>
                <w:color w:val="auto"/>
                <w:kern w:val="0"/>
                <w:sz w:val="22"/>
                <w:szCs w:val="22"/>
                <w:lang w:eastAsia="zh-CN" w:bidi="ar"/>
              </w:rPr>
              <w:t>，</w:t>
            </w:r>
            <w:r>
              <w:rPr>
                <w:rFonts w:hint="default" w:cs="Times New Roman"/>
                <w:bCs/>
                <w:color w:val="auto"/>
                <w:kern w:val="0"/>
                <w:sz w:val="22"/>
                <w:lang w:bidi="ar"/>
              </w:rPr>
              <w:t>站内接轨专用线</w:t>
            </w:r>
            <w:r>
              <w:rPr>
                <w:rFonts w:hint="eastAsia" w:cs="Times New Roman"/>
                <w:bCs/>
                <w:color w:val="auto"/>
                <w:kern w:val="0"/>
                <w:sz w:val="22"/>
                <w:lang w:val="en-US" w:eastAsia="zh-CN" w:bidi="ar"/>
              </w:rPr>
              <w:t>1</w:t>
            </w:r>
            <w:r>
              <w:rPr>
                <w:rFonts w:hint="default" w:cs="Times New Roman"/>
                <w:bCs/>
                <w:color w:val="auto"/>
                <w:kern w:val="0"/>
                <w:sz w:val="22"/>
                <w:lang w:bidi="ar"/>
              </w:rPr>
              <w:t>条：夹江县新兰石化物资公司专用线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kern w:val="0"/>
                <w:sz w:val="24"/>
                <w:szCs w:val="24"/>
                <w:highlight w:val="none"/>
                <w:lang w:val="en-US" w:eastAsia="zh-CN" w:bidi="ar"/>
              </w:rPr>
            </w:pPr>
            <w:r>
              <w:rPr>
                <w:rStyle w:val="22"/>
                <w:rFonts w:hint="default" w:ascii="Times New Roman" w:hAnsi="Times New Roman" w:eastAsia="仿宋_GB2312" w:cs="Times New Roman"/>
                <w:b w:val="0"/>
                <w:bCs/>
                <w:color w:val="auto"/>
                <w:kern w:val="0"/>
                <w:sz w:val="22"/>
                <w:szCs w:val="22"/>
                <w:highlight w:val="none"/>
                <w:lang w:val="en-US" w:eastAsia="zh-CN" w:bidi="ar"/>
              </w:rPr>
              <w:t>金口河（成昆铁路）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四等</w:t>
            </w:r>
          </w:p>
        </w:tc>
        <w:tc>
          <w:tcPr>
            <w:tcW w:w="13167" w:type="dxa"/>
            <w:noWrap/>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cs="Times New Roman"/>
                <w:bCs/>
                <w:color w:val="auto"/>
                <w:kern w:val="0"/>
                <w:sz w:val="24"/>
                <w:szCs w:val="24"/>
                <w:lang w:val="en-US" w:eastAsia="zh-CN" w:bidi="ar"/>
              </w:rPr>
            </w:pPr>
            <w:r>
              <w:rPr>
                <w:rFonts w:hint="default" w:ascii="Times New Roman" w:eastAsia="仿宋_GB2312" w:cs="Times New Roman"/>
                <w:bCs/>
                <w:color w:val="auto"/>
                <w:kern w:val="0"/>
                <w:sz w:val="22"/>
                <w:szCs w:val="22"/>
                <w:lang w:bidi="ar"/>
              </w:rPr>
              <w:t>办理专用线业务</w:t>
            </w:r>
            <w:r>
              <w:rPr>
                <w:rFonts w:hint="eastAsia" w:cs="Times New Roman"/>
                <w:bCs/>
                <w:color w:val="auto"/>
                <w:kern w:val="0"/>
                <w:sz w:val="22"/>
                <w:szCs w:val="22"/>
                <w:lang w:eastAsia="zh-CN" w:bidi="ar"/>
              </w:rPr>
              <w:t>，</w:t>
            </w:r>
            <w:r>
              <w:rPr>
                <w:rFonts w:hint="default" w:ascii="Times New Roman" w:eastAsia="仿宋_GB2312" w:cs="Times New Roman"/>
                <w:b w:val="0"/>
                <w:bCs/>
                <w:color w:val="auto"/>
                <w:kern w:val="0"/>
                <w:sz w:val="22"/>
                <w:szCs w:val="22"/>
                <w:lang w:bidi="ar"/>
              </w:rPr>
              <w:t>站内接轨专用线</w:t>
            </w:r>
            <w:r>
              <w:rPr>
                <w:rFonts w:hint="eastAsia" w:cs="Times New Roman"/>
                <w:b w:val="0"/>
                <w:bCs/>
                <w:color w:val="auto"/>
                <w:kern w:val="0"/>
                <w:sz w:val="22"/>
                <w:szCs w:val="22"/>
                <w:lang w:val="en-US" w:eastAsia="zh-CN" w:bidi="ar"/>
              </w:rPr>
              <w:t>2</w:t>
            </w:r>
            <w:r>
              <w:rPr>
                <w:rFonts w:hint="default" w:ascii="Times New Roman" w:eastAsia="仿宋_GB2312" w:cs="Times New Roman"/>
                <w:b w:val="0"/>
                <w:bCs/>
                <w:color w:val="auto"/>
                <w:kern w:val="0"/>
                <w:sz w:val="22"/>
                <w:szCs w:val="22"/>
                <w:lang w:bidi="ar"/>
              </w:rPr>
              <w:t>条：</w:t>
            </w:r>
            <w:r>
              <w:rPr>
                <w:rFonts w:hint="default" w:cs="Times New Roman"/>
                <w:b w:val="0"/>
                <w:bCs/>
                <w:color w:val="auto"/>
                <w:kern w:val="0"/>
                <w:sz w:val="22"/>
                <w:szCs w:val="22"/>
                <w:lang w:eastAsia="zh-CN" w:bidi="ar"/>
              </w:rPr>
              <w:t>（</w:t>
            </w:r>
            <w:r>
              <w:rPr>
                <w:rFonts w:hint="default" w:cs="Times New Roman"/>
                <w:b w:val="0"/>
                <w:bCs/>
                <w:color w:val="auto"/>
                <w:kern w:val="0"/>
                <w:sz w:val="22"/>
                <w:szCs w:val="22"/>
                <w:lang w:val="en-US" w:eastAsia="zh-CN" w:bidi="ar"/>
              </w:rPr>
              <w:t>1</w:t>
            </w:r>
            <w:r>
              <w:rPr>
                <w:rFonts w:hint="default" w:cs="Times New Roman"/>
                <w:b w:val="0"/>
                <w:bCs/>
                <w:color w:val="auto"/>
                <w:kern w:val="0"/>
                <w:sz w:val="22"/>
                <w:szCs w:val="22"/>
                <w:lang w:eastAsia="zh-CN" w:bidi="ar"/>
              </w:rPr>
              <w:t>）</w:t>
            </w:r>
            <w:r>
              <w:rPr>
                <w:rFonts w:hint="default" w:ascii="Times New Roman" w:eastAsia="仿宋_GB2312" w:cs="Times New Roman"/>
                <w:b w:val="0"/>
                <w:bCs/>
                <w:color w:val="auto"/>
                <w:kern w:val="0"/>
                <w:sz w:val="22"/>
                <w:szCs w:val="22"/>
                <w:lang w:bidi="ar"/>
              </w:rPr>
              <w:t>峨眉山市峨眉车务段劳动服务公司专用线</w:t>
            </w:r>
            <w:r>
              <w:rPr>
                <w:rFonts w:hint="eastAsia" w:cs="Times New Roman"/>
                <w:b w:val="0"/>
                <w:bCs/>
                <w:color w:val="auto"/>
                <w:kern w:val="0"/>
                <w:sz w:val="22"/>
                <w:szCs w:val="22"/>
                <w:lang w:eastAsia="zh-CN" w:bidi="ar"/>
              </w:rPr>
              <w:t>；</w:t>
            </w:r>
            <w:r>
              <w:rPr>
                <w:rFonts w:hint="default" w:ascii="Times New Roman" w:eastAsia="仿宋_GB2312" w:cs="Times New Roman"/>
                <w:b w:val="0"/>
                <w:bCs/>
                <w:color w:val="auto"/>
                <w:kern w:val="0"/>
                <w:sz w:val="22"/>
                <w:szCs w:val="22"/>
                <w:lang w:bidi="ar"/>
              </w:rPr>
              <w:t>（2）国营814厂专用铁路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九里</w:t>
            </w:r>
            <w:r>
              <w:rPr>
                <w:rStyle w:val="22"/>
                <w:rFonts w:hint="default" w:ascii="Times New Roman" w:hAnsi="Times New Roman" w:eastAsia="仿宋_GB2312" w:cs="Times New Roman"/>
                <w:b w:val="0"/>
                <w:bCs/>
                <w:color w:val="auto"/>
                <w:kern w:val="0"/>
                <w:sz w:val="22"/>
                <w:szCs w:val="22"/>
                <w:highlight w:val="none"/>
                <w:lang w:val="en-US" w:eastAsia="zh-CN" w:bidi="ar"/>
              </w:rPr>
              <w:t>（成昆铁路）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四等</w:t>
            </w:r>
          </w:p>
        </w:tc>
        <w:tc>
          <w:tcPr>
            <w:tcW w:w="13167" w:type="dxa"/>
            <w:noWrap/>
            <w:vAlign w:val="center"/>
          </w:tcPr>
          <w:p>
            <w:pPr>
              <w:keepNext w:val="0"/>
              <w:keepLines w:val="0"/>
              <w:pageBreakBefore w:val="0"/>
              <w:widowControl/>
              <w:kinsoku/>
              <w:wordWrap/>
              <w:overflowPunct/>
              <w:topLinePunct w:val="0"/>
              <w:autoSpaceDE/>
              <w:autoSpaceDN/>
              <w:bidi w:val="0"/>
              <w:adjustRightInd w:val="0"/>
              <w:snapToGrid w:val="0"/>
              <w:spacing w:line="320" w:lineRule="exact"/>
              <w:ind w:left="0" w:leftChars="0" w:right="0" w:rightChars="0" w:firstLine="0" w:firstLineChars="0"/>
              <w:jc w:val="left"/>
              <w:textAlignment w:val="auto"/>
              <w:rPr>
                <w:rFonts w:hint="default" w:ascii="Times New Roman" w:hAnsi="Times New Roman" w:cs="Times New Roman"/>
                <w:bCs/>
                <w:color w:val="auto"/>
                <w:kern w:val="0"/>
                <w:sz w:val="24"/>
                <w:szCs w:val="24"/>
                <w:lang w:val="en-US" w:eastAsia="zh-CN" w:bidi="ar"/>
              </w:rPr>
            </w:pPr>
            <w:r>
              <w:rPr>
                <w:rFonts w:hint="default" w:ascii="Times New Roman" w:eastAsia="仿宋_GB2312" w:cs="Times New Roman"/>
                <w:bCs/>
                <w:color w:val="auto"/>
                <w:kern w:val="0"/>
                <w:sz w:val="22"/>
                <w:szCs w:val="22"/>
                <w:lang w:bidi="ar"/>
              </w:rPr>
              <w:t>办理</w:t>
            </w:r>
            <w:r>
              <w:rPr>
                <w:rFonts w:hint="default" w:ascii="Times New Roman" w:eastAsia="仿宋_GB2312" w:cs="Times New Roman"/>
                <w:bCs/>
                <w:color w:val="auto"/>
                <w:kern w:val="0"/>
                <w:sz w:val="22"/>
                <w:szCs w:val="22"/>
                <w:lang w:eastAsia="zh-CN" w:bidi="ar"/>
              </w:rPr>
              <w:t>专用线</w:t>
            </w:r>
            <w:r>
              <w:rPr>
                <w:rFonts w:hint="eastAsia" w:cs="Times New Roman"/>
                <w:bCs/>
                <w:color w:val="auto"/>
                <w:kern w:val="0"/>
                <w:sz w:val="22"/>
                <w:szCs w:val="22"/>
                <w:lang w:val="en-US" w:eastAsia="zh-CN" w:bidi="ar"/>
              </w:rPr>
              <w:t>业务</w:t>
            </w:r>
            <w:r>
              <w:rPr>
                <w:rFonts w:hint="eastAsia" w:cs="Times New Roman"/>
                <w:bCs/>
                <w:color w:val="auto"/>
                <w:kern w:val="0"/>
                <w:sz w:val="22"/>
                <w:szCs w:val="22"/>
                <w:lang w:eastAsia="zh-CN" w:bidi="ar"/>
              </w:rPr>
              <w:t>，</w:t>
            </w:r>
            <w:r>
              <w:rPr>
                <w:rFonts w:hint="eastAsia" w:cs="Times New Roman"/>
                <w:bCs/>
                <w:color w:val="auto"/>
                <w:kern w:val="0"/>
                <w:sz w:val="22"/>
                <w:lang w:bidi="ar"/>
              </w:rPr>
              <w:t>站内接轨专用线</w:t>
            </w:r>
            <w:r>
              <w:rPr>
                <w:rFonts w:hint="eastAsia" w:cs="Times New Roman"/>
                <w:bCs/>
                <w:color w:val="auto"/>
                <w:kern w:val="0"/>
                <w:sz w:val="22"/>
                <w:lang w:val="en-US" w:eastAsia="zh-CN" w:bidi="ar"/>
              </w:rPr>
              <w:t>2</w:t>
            </w:r>
            <w:r>
              <w:rPr>
                <w:rFonts w:hint="eastAsia" w:cs="Times New Roman"/>
                <w:bCs/>
                <w:color w:val="auto"/>
                <w:kern w:val="0"/>
                <w:sz w:val="22"/>
                <w:lang w:bidi="ar"/>
              </w:rPr>
              <w:t>条：（1）四川川投峨眉铁合金（集团）有限责任公司专用线</w:t>
            </w:r>
            <w:r>
              <w:rPr>
                <w:rFonts w:hint="eastAsia" w:cs="Times New Roman"/>
                <w:bCs/>
                <w:color w:val="auto"/>
                <w:kern w:val="0"/>
                <w:sz w:val="22"/>
                <w:lang w:eastAsia="zh-CN" w:bidi="ar"/>
              </w:rPr>
              <w:t>；</w:t>
            </w:r>
            <w:r>
              <w:rPr>
                <w:rFonts w:hint="eastAsia" w:cs="Times New Roman"/>
                <w:bCs/>
                <w:color w:val="auto"/>
                <w:kern w:val="0"/>
                <w:sz w:val="22"/>
                <w:lang w:bidi="ar"/>
              </w:rPr>
              <w:t>（2）四川金顶快点物流有限责任公司专用铁路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峨边</w:t>
            </w:r>
            <w:r>
              <w:rPr>
                <w:rStyle w:val="22"/>
                <w:rFonts w:hint="default" w:ascii="Times New Roman" w:hAnsi="Times New Roman" w:eastAsia="仿宋_GB2312" w:cs="Times New Roman"/>
                <w:b w:val="0"/>
                <w:bCs/>
                <w:color w:val="auto"/>
                <w:kern w:val="0"/>
                <w:sz w:val="22"/>
                <w:szCs w:val="22"/>
                <w:highlight w:val="none"/>
                <w:lang w:val="en-US" w:eastAsia="zh-CN" w:bidi="ar"/>
              </w:rPr>
              <w:t>（成昆铁路）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三等</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cs="Times New Roman"/>
                <w:bCs/>
                <w:color w:val="auto"/>
                <w:kern w:val="0"/>
                <w:sz w:val="22"/>
                <w:lang w:bidi="ar"/>
              </w:rPr>
              <w:t>办理整车、敞顶箱（车上装箱）货物发到</w:t>
            </w:r>
            <w:r>
              <w:rPr>
                <w:rFonts w:hint="eastAsia" w:cs="Times New Roman"/>
                <w:bCs/>
                <w:color w:val="auto"/>
                <w:kern w:val="0"/>
                <w:sz w:val="22"/>
                <w:lang w:val="en-US" w:eastAsia="zh-CN" w:bidi="ar"/>
              </w:rPr>
              <w:t>等业务，</w:t>
            </w:r>
            <w:r>
              <w:rPr>
                <w:rFonts w:hint="default" w:cs="Times New Roman"/>
                <w:bCs/>
                <w:color w:val="auto"/>
                <w:kern w:val="0"/>
                <w:sz w:val="22"/>
                <w:lang w:bidi="ar"/>
              </w:rPr>
              <w:t>站内接轨专用线3条</w:t>
            </w:r>
            <w:r>
              <w:rPr>
                <w:rFonts w:hint="eastAsia" w:cs="Times New Roman"/>
                <w:bCs/>
                <w:color w:val="auto"/>
                <w:kern w:val="0"/>
                <w:sz w:val="22"/>
                <w:lang w:eastAsia="zh-CN" w:bidi="ar"/>
              </w:rPr>
              <w:t>：</w:t>
            </w:r>
            <w:r>
              <w:rPr>
                <w:rFonts w:hint="default" w:cs="Times New Roman"/>
                <w:bCs/>
                <w:color w:val="auto"/>
                <w:kern w:val="0"/>
                <w:sz w:val="22"/>
                <w:lang w:bidi="ar"/>
              </w:rPr>
              <w:t>（1）四川嘉汇易达物流有限公司专用线</w:t>
            </w:r>
            <w:r>
              <w:rPr>
                <w:rFonts w:hint="eastAsia" w:cs="Times New Roman"/>
                <w:bCs/>
                <w:color w:val="auto"/>
                <w:kern w:val="0"/>
                <w:sz w:val="22"/>
                <w:lang w:eastAsia="zh-CN" w:bidi="ar"/>
              </w:rPr>
              <w:t>；</w:t>
            </w:r>
            <w:r>
              <w:rPr>
                <w:rFonts w:hint="default" w:cs="Times New Roman"/>
                <w:bCs/>
                <w:color w:val="auto"/>
                <w:kern w:val="0"/>
                <w:sz w:val="22"/>
                <w:lang w:bidi="ar"/>
              </w:rPr>
              <w:t>（2）四川林河硅业有限公司专用线</w:t>
            </w:r>
            <w:r>
              <w:rPr>
                <w:rFonts w:hint="eastAsia" w:cs="Times New Roman"/>
                <w:bCs/>
                <w:color w:val="auto"/>
                <w:kern w:val="0"/>
                <w:sz w:val="22"/>
                <w:lang w:eastAsia="zh-CN" w:bidi="ar"/>
              </w:rPr>
              <w:t>；</w:t>
            </w:r>
            <w:r>
              <w:rPr>
                <w:rFonts w:hint="default" w:ascii="Times New Roman" w:eastAsia="仿宋_GB2312" w:cs="Times New Roman"/>
                <w:b w:val="0"/>
                <w:bCs/>
                <w:color w:val="auto"/>
                <w:kern w:val="0"/>
                <w:sz w:val="22"/>
                <w:szCs w:val="22"/>
                <w:lang w:bidi="ar"/>
              </w:rPr>
              <w:t>（3）四川峨边西南水泥有限公司专用线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马村</w:t>
            </w:r>
            <w:r>
              <w:rPr>
                <w:rStyle w:val="22"/>
                <w:rFonts w:hint="default" w:ascii="Times New Roman" w:hAnsi="Times New Roman" w:eastAsia="仿宋_GB2312" w:cs="Times New Roman"/>
                <w:b w:val="0"/>
                <w:bCs/>
                <w:color w:val="auto"/>
                <w:kern w:val="0"/>
                <w:sz w:val="22"/>
                <w:szCs w:val="22"/>
                <w:highlight w:val="none"/>
                <w:lang w:val="en-US" w:eastAsia="zh-CN" w:bidi="ar"/>
              </w:rPr>
              <w:t>（成昆铁路）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四等</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cs="Times New Roman"/>
                <w:bCs/>
                <w:color w:val="auto"/>
                <w:kern w:val="0"/>
                <w:sz w:val="24"/>
                <w:szCs w:val="24"/>
                <w:lang w:val="en-US" w:eastAsia="zh-CN" w:bidi="ar"/>
              </w:rPr>
            </w:pPr>
            <w:r>
              <w:rPr>
                <w:rFonts w:hint="eastAsia" w:cs="Times New Roman"/>
                <w:bCs/>
                <w:color w:val="auto"/>
                <w:kern w:val="0"/>
                <w:sz w:val="22"/>
                <w:lang w:bidi="ar"/>
              </w:rPr>
              <w:t>办理专用线业务</w:t>
            </w:r>
            <w:r>
              <w:rPr>
                <w:rFonts w:hint="eastAsia" w:cs="Times New Roman"/>
                <w:bCs/>
                <w:color w:val="auto"/>
                <w:kern w:val="0"/>
                <w:sz w:val="22"/>
                <w:lang w:eastAsia="zh-CN" w:bidi="ar"/>
              </w:rPr>
              <w:t>，</w:t>
            </w:r>
            <w:r>
              <w:rPr>
                <w:rFonts w:hint="eastAsia" w:cs="Times New Roman"/>
                <w:bCs/>
                <w:color w:val="auto"/>
                <w:kern w:val="0"/>
                <w:sz w:val="22"/>
                <w:lang w:bidi="ar"/>
              </w:rPr>
              <w:t>站内接轨专用线1条：中石油四川乐山销售分公司专用线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燕岗</w:t>
            </w:r>
            <w:r>
              <w:rPr>
                <w:rStyle w:val="22"/>
                <w:rFonts w:hint="default" w:ascii="Times New Roman" w:hAnsi="Times New Roman" w:eastAsia="仿宋_GB2312" w:cs="Times New Roman"/>
                <w:b w:val="0"/>
                <w:bCs/>
                <w:color w:val="auto"/>
                <w:kern w:val="0"/>
                <w:sz w:val="22"/>
                <w:szCs w:val="22"/>
                <w:highlight w:val="none"/>
                <w:lang w:val="en-US" w:eastAsia="zh-CN" w:bidi="ar"/>
              </w:rPr>
              <w:t>（成昆铁路）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二等</w:t>
            </w:r>
          </w:p>
        </w:tc>
        <w:tc>
          <w:tcPr>
            <w:tcW w:w="13167" w:type="dxa"/>
            <w:noWrap/>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cs="Times New Roman"/>
                <w:bCs/>
                <w:color w:val="auto"/>
                <w:kern w:val="0"/>
                <w:sz w:val="24"/>
                <w:szCs w:val="24"/>
                <w:lang w:val="en-US" w:eastAsia="zh-CN" w:bidi="ar"/>
              </w:rPr>
            </w:pPr>
            <w:r>
              <w:rPr>
                <w:rFonts w:hint="eastAsia" w:cs="Times New Roman"/>
                <w:bCs/>
                <w:color w:val="auto"/>
                <w:kern w:val="0"/>
                <w:sz w:val="22"/>
                <w:szCs w:val="22"/>
                <w:lang w:val="en-US" w:eastAsia="zh-CN" w:bidi="ar"/>
              </w:rPr>
              <w:t>办理</w:t>
            </w:r>
            <w:r>
              <w:rPr>
                <w:rFonts w:hint="default" w:ascii="Times New Roman" w:hAnsi="Times New Roman" w:cs="Times New Roman"/>
                <w:bCs/>
                <w:color w:val="auto"/>
                <w:kern w:val="0"/>
                <w:sz w:val="22"/>
                <w:szCs w:val="22"/>
                <w:lang w:eastAsia="zh-CN" w:bidi="ar"/>
              </w:rPr>
              <w:t>综合货运业务，</w:t>
            </w:r>
            <w:r>
              <w:rPr>
                <w:rFonts w:hint="default" w:ascii="Times New Roman" w:eastAsia="仿宋_GB2312" w:cs="Times New Roman"/>
                <w:b w:val="0"/>
                <w:bCs/>
                <w:color w:val="auto"/>
                <w:kern w:val="0"/>
                <w:sz w:val="22"/>
                <w:szCs w:val="22"/>
                <w:lang w:bidi="ar"/>
              </w:rPr>
              <w:t>站内接轨专用线1条</w:t>
            </w:r>
            <w:r>
              <w:rPr>
                <w:rFonts w:hint="eastAsia" w:cs="Times New Roman"/>
                <w:b w:val="0"/>
                <w:bCs/>
                <w:color w:val="auto"/>
                <w:kern w:val="0"/>
                <w:sz w:val="22"/>
                <w:szCs w:val="22"/>
                <w:lang w:eastAsia="zh-CN" w:bidi="ar"/>
              </w:rPr>
              <w:t>：</w:t>
            </w:r>
            <w:r>
              <w:rPr>
                <w:rFonts w:hint="default" w:ascii="Times New Roman" w:eastAsia="仿宋_GB2312" w:cs="Times New Roman"/>
                <w:b w:val="0"/>
                <w:bCs/>
                <w:color w:val="auto"/>
                <w:kern w:val="0"/>
                <w:sz w:val="22"/>
                <w:szCs w:val="22"/>
                <w:lang w:eastAsia="zh-CN" w:bidi="ar"/>
              </w:rPr>
              <w:t>中国铁路成都局集团有限公司</w:t>
            </w:r>
            <w:r>
              <w:rPr>
                <w:rFonts w:hint="default" w:ascii="Times New Roman" w:eastAsia="仿宋_GB2312" w:cs="Times New Roman"/>
                <w:b w:val="0"/>
                <w:bCs/>
                <w:color w:val="auto"/>
                <w:kern w:val="0"/>
                <w:sz w:val="22"/>
                <w:szCs w:val="22"/>
                <w:lang w:bidi="ar"/>
              </w:rPr>
              <w:t>西昌机务段专</w:t>
            </w:r>
            <w:r>
              <w:rPr>
                <w:rFonts w:hint="default" w:ascii="Times New Roman" w:eastAsia="仿宋_GB2312" w:cs="Times New Roman"/>
                <w:b w:val="0"/>
                <w:bCs/>
                <w:color w:val="auto"/>
                <w:kern w:val="0"/>
                <w:sz w:val="22"/>
                <w:szCs w:val="22"/>
                <w:lang w:eastAsia="zh-CN" w:bidi="ar"/>
              </w:rPr>
              <w:t>用</w:t>
            </w:r>
            <w:r>
              <w:rPr>
                <w:rFonts w:hint="default" w:ascii="Times New Roman" w:eastAsia="仿宋_GB2312" w:cs="Times New Roman"/>
                <w:b w:val="0"/>
                <w:bCs/>
                <w:color w:val="auto"/>
                <w:kern w:val="0"/>
                <w:sz w:val="22"/>
                <w:szCs w:val="22"/>
                <w:lang w:bidi="ar"/>
              </w:rPr>
              <w:t>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val="0"/>
                <w:bCs/>
                <w:i w:val="0"/>
                <w:color w:val="auto"/>
                <w:kern w:val="0"/>
                <w:sz w:val="24"/>
                <w:szCs w:val="24"/>
                <w:highlight w:val="none"/>
                <w:u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峨眉</w:t>
            </w:r>
            <w:r>
              <w:rPr>
                <w:rStyle w:val="22"/>
                <w:rFonts w:hint="default" w:ascii="Times New Roman" w:hAnsi="Times New Roman" w:eastAsia="仿宋_GB2312" w:cs="Times New Roman"/>
                <w:b w:val="0"/>
                <w:bCs/>
                <w:color w:val="auto"/>
                <w:kern w:val="0"/>
                <w:sz w:val="22"/>
                <w:szCs w:val="22"/>
                <w:highlight w:val="none"/>
                <w:lang w:val="en-US" w:eastAsia="zh-CN" w:bidi="ar"/>
              </w:rPr>
              <w:t>（成昆铁路）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三等</w:t>
            </w:r>
          </w:p>
        </w:tc>
        <w:tc>
          <w:tcPr>
            <w:tcW w:w="13167" w:type="dxa"/>
            <w:noWrap/>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cs="Times New Roman"/>
                <w:bCs/>
                <w:color w:val="auto"/>
                <w:kern w:val="0"/>
                <w:sz w:val="24"/>
                <w:szCs w:val="24"/>
                <w:lang w:val="en-US" w:eastAsia="zh-CN" w:bidi="ar"/>
              </w:rPr>
            </w:pPr>
            <w:r>
              <w:rPr>
                <w:rFonts w:hint="default" w:ascii="Times New Roman" w:eastAsia="仿宋_GB2312" w:cs="Times New Roman"/>
                <w:b w:val="0"/>
                <w:bCs/>
                <w:color w:val="auto"/>
                <w:kern w:val="0"/>
                <w:sz w:val="22"/>
                <w:szCs w:val="22"/>
                <w:lang w:eastAsia="zh-CN" w:bidi="ar"/>
              </w:rPr>
              <w:t>办理专用线</w:t>
            </w:r>
            <w:r>
              <w:rPr>
                <w:rFonts w:hint="eastAsia" w:cs="Times New Roman"/>
                <w:b w:val="0"/>
                <w:bCs/>
                <w:color w:val="auto"/>
                <w:kern w:val="0"/>
                <w:sz w:val="22"/>
                <w:szCs w:val="22"/>
                <w:lang w:eastAsia="zh-CN" w:bidi="ar"/>
              </w:rPr>
              <w:t>业务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shd w:val="clear" w:color="auto" w:fill="auto"/>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val="0"/>
                <w:bCs/>
                <w:i w:val="0"/>
                <w:color w:val="auto"/>
                <w:kern w:val="0"/>
                <w:sz w:val="24"/>
                <w:szCs w:val="24"/>
                <w:highlight w:val="none"/>
                <w:u w:val="none"/>
                <w:lang w:val="en-US" w:eastAsia="zh-CN" w:bidi="ar"/>
              </w:rPr>
            </w:pPr>
            <w:r>
              <w:rPr>
                <w:rFonts w:hint="default" w:ascii="Times New Roman" w:hAnsi="Times New Roman" w:cs="Times New Roman"/>
                <w:b w:val="0"/>
                <w:bCs/>
                <w:i w:val="0"/>
                <w:color w:val="auto"/>
                <w:kern w:val="0"/>
                <w:sz w:val="22"/>
                <w:szCs w:val="22"/>
                <w:highlight w:val="none"/>
                <w:u w:val="none"/>
                <w:lang w:val="en-US" w:eastAsia="zh-CN" w:bidi="ar"/>
              </w:rPr>
              <w:t>双福站</w:t>
            </w:r>
            <w:r>
              <w:rPr>
                <w:rFonts w:hint="default" w:ascii="Times New Roman" w:hAnsi="Times New Roman" w:eastAsia="仿宋_GB2312" w:cs="Times New Roman"/>
                <w:b w:val="0"/>
                <w:bCs/>
                <w:i w:val="0"/>
                <w:color w:val="auto"/>
                <w:kern w:val="0"/>
                <w:sz w:val="22"/>
                <w:szCs w:val="22"/>
                <w:highlight w:val="none"/>
                <w:u w:val="none"/>
                <w:lang w:val="en-US" w:eastAsia="zh-CN" w:bidi="ar"/>
              </w:rPr>
              <w:t>（</w:t>
            </w:r>
            <w:r>
              <w:rPr>
                <w:rFonts w:hint="eastAsia" w:cs="Times New Roman"/>
                <w:b w:val="0"/>
                <w:bCs/>
                <w:i w:val="0"/>
                <w:color w:val="auto"/>
                <w:kern w:val="0"/>
                <w:sz w:val="22"/>
                <w:szCs w:val="22"/>
                <w:highlight w:val="none"/>
                <w:u w:val="none"/>
                <w:lang w:val="en-US" w:eastAsia="zh-CN" w:bidi="ar"/>
              </w:rPr>
              <w:t>成昆</w:t>
            </w:r>
            <w:r>
              <w:rPr>
                <w:rFonts w:hint="default" w:ascii="Times New Roman" w:hAnsi="Times New Roman" w:eastAsia="仿宋_GB2312" w:cs="Times New Roman"/>
                <w:b w:val="0"/>
                <w:bCs/>
                <w:i w:val="0"/>
                <w:color w:val="auto"/>
                <w:kern w:val="0"/>
                <w:sz w:val="22"/>
                <w:szCs w:val="22"/>
                <w:highlight w:val="none"/>
                <w:u w:val="none"/>
                <w:lang w:val="en-US" w:eastAsia="zh-CN" w:bidi="ar"/>
              </w:rPr>
              <w:t>铁路）</w:t>
            </w:r>
          </w:p>
        </w:tc>
        <w:tc>
          <w:tcPr>
            <w:tcW w:w="1911" w:type="dxa"/>
            <w:shd w:val="clear" w:color="auto" w:fill="auto"/>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cs="Times New Roman"/>
                <w:b w:val="0"/>
                <w:bCs/>
                <w:i w:val="0"/>
                <w:color w:val="auto"/>
                <w:kern w:val="0"/>
                <w:sz w:val="22"/>
                <w:szCs w:val="22"/>
                <w:highlight w:val="none"/>
                <w:u w:val="none"/>
                <w:lang w:val="en-US" w:eastAsia="zh-CN" w:bidi="ar"/>
              </w:rPr>
              <w:t>四等</w:t>
            </w:r>
          </w:p>
        </w:tc>
        <w:tc>
          <w:tcPr>
            <w:tcW w:w="13167" w:type="dxa"/>
            <w:shd w:val="clear" w:color="auto" w:fill="auto"/>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eastAsia="仿宋_GB2312" w:cs="Times New Roman"/>
                <w:bCs/>
                <w:color w:val="auto"/>
                <w:kern w:val="0"/>
                <w:sz w:val="24"/>
                <w:szCs w:val="24"/>
                <w:lang w:val="en-US" w:eastAsia="zh-CN" w:bidi="ar"/>
              </w:rPr>
            </w:pPr>
            <w:r>
              <w:rPr>
                <w:rFonts w:hint="default" w:cs="Times New Roman"/>
                <w:bCs/>
                <w:color w:val="auto"/>
                <w:kern w:val="0"/>
                <w:sz w:val="22"/>
                <w:lang w:bidi="ar"/>
              </w:rPr>
              <w:t>办理专用线</w:t>
            </w:r>
            <w:r>
              <w:rPr>
                <w:rFonts w:hint="eastAsia" w:cs="Times New Roman"/>
                <w:bCs/>
                <w:color w:val="auto"/>
                <w:kern w:val="0"/>
                <w:sz w:val="22"/>
                <w:lang w:val="en-US" w:eastAsia="zh-CN" w:bidi="ar"/>
              </w:rPr>
              <w:t>业务</w:t>
            </w:r>
            <w:r>
              <w:rPr>
                <w:rFonts w:hint="eastAsia" w:cs="Times New Roman"/>
                <w:bCs/>
                <w:color w:val="auto"/>
                <w:kern w:val="0"/>
                <w:sz w:val="22"/>
                <w:lang w:eastAsia="zh-CN" w:bidi="ar"/>
              </w:rPr>
              <w:t>，</w:t>
            </w:r>
            <w:r>
              <w:rPr>
                <w:rFonts w:hint="eastAsia" w:cs="Times New Roman"/>
                <w:bCs/>
                <w:color w:val="auto"/>
                <w:kern w:val="0"/>
                <w:sz w:val="22"/>
                <w:lang w:val="en-US" w:eastAsia="zh-CN" w:bidi="ar"/>
              </w:rPr>
              <w:t>站内</w:t>
            </w:r>
            <w:r>
              <w:rPr>
                <w:rFonts w:hint="eastAsia" w:cs="Times New Roman"/>
                <w:bCs/>
                <w:color w:val="auto"/>
                <w:kern w:val="0"/>
                <w:sz w:val="22"/>
                <w:lang w:bidi="ar"/>
              </w:rPr>
              <w:t>接轨专用线2条：（1）中铁二局集团新运工程有限公司专用线</w:t>
            </w:r>
            <w:r>
              <w:rPr>
                <w:rFonts w:hint="eastAsia" w:cs="Times New Roman"/>
                <w:bCs/>
                <w:color w:val="auto"/>
                <w:kern w:val="0"/>
                <w:sz w:val="22"/>
                <w:lang w:eastAsia="zh-CN" w:bidi="ar"/>
              </w:rPr>
              <w:t>；（</w:t>
            </w:r>
            <w:r>
              <w:rPr>
                <w:rFonts w:hint="eastAsia" w:cs="Times New Roman"/>
                <w:bCs/>
                <w:color w:val="auto"/>
                <w:kern w:val="0"/>
                <w:sz w:val="22"/>
                <w:lang w:val="en-US" w:eastAsia="zh-CN" w:bidi="ar"/>
              </w:rPr>
              <w:t>2</w:t>
            </w:r>
            <w:r>
              <w:rPr>
                <w:rFonts w:hint="eastAsia" w:cs="Times New Roman"/>
                <w:bCs/>
                <w:color w:val="auto"/>
                <w:kern w:val="0"/>
                <w:sz w:val="22"/>
                <w:lang w:eastAsia="zh-CN" w:bidi="ar"/>
              </w:rPr>
              <w:t>）</w:t>
            </w:r>
            <w:r>
              <w:rPr>
                <w:rFonts w:hint="eastAsia" w:cs="Times New Roman"/>
                <w:bCs/>
                <w:color w:val="auto"/>
                <w:kern w:val="0"/>
                <w:sz w:val="22"/>
                <w:lang w:bidi="ar"/>
              </w:rPr>
              <w:t>四川红华实业有限公司专用线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val="0"/>
                <w:bCs/>
                <w:i w:val="0"/>
                <w:color w:val="auto"/>
                <w:kern w:val="0"/>
                <w:sz w:val="24"/>
                <w:szCs w:val="24"/>
                <w:highlight w:val="none"/>
                <w:u w:val="none"/>
                <w:lang w:val="en-US" w:eastAsia="zh-CN" w:bidi="ar"/>
              </w:rPr>
            </w:pPr>
            <w:r>
              <w:rPr>
                <w:rFonts w:hint="eastAsia" w:cs="Times New Roman"/>
                <w:b w:val="0"/>
                <w:bCs/>
                <w:i w:val="0"/>
                <w:color w:val="auto"/>
                <w:kern w:val="0"/>
                <w:sz w:val="22"/>
                <w:szCs w:val="22"/>
                <w:highlight w:val="none"/>
                <w:u w:val="none"/>
                <w:lang w:val="en-US" w:eastAsia="zh-CN" w:bidi="ar"/>
              </w:rPr>
              <w:t>共和站（成昆铁路）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2"/>
                <w:szCs w:val="22"/>
                <w:highlight w:val="none"/>
                <w:lang w:val="en-US" w:eastAsia="zh-CN" w:bidi="ar"/>
              </w:rPr>
              <w:t>四等</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cs="Times New Roman"/>
                <w:bCs/>
                <w:color w:val="auto"/>
                <w:kern w:val="0"/>
                <w:sz w:val="24"/>
                <w:szCs w:val="24"/>
                <w:lang w:val="en-US" w:eastAsia="zh-CN" w:bidi="ar"/>
              </w:rPr>
            </w:pPr>
            <w:r>
              <w:rPr>
                <w:rFonts w:hint="default" w:ascii="Times New Roman" w:hAnsi="Times New Roman" w:eastAsia="仿宋_GB2312" w:cs="Times New Roman"/>
                <w:bCs/>
                <w:color w:val="auto"/>
                <w:kern w:val="0"/>
                <w:sz w:val="22"/>
                <w:szCs w:val="22"/>
                <w:lang w:val="en-US" w:eastAsia="zh-CN" w:bidi="ar"/>
              </w:rPr>
              <w:t>仅办理</w:t>
            </w:r>
            <w:r>
              <w:rPr>
                <w:rFonts w:hint="eastAsia" w:cs="Times New Roman"/>
                <w:bCs/>
                <w:color w:val="auto"/>
                <w:kern w:val="0"/>
                <w:sz w:val="22"/>
                <w:szCs w:val="22"/>
                <w:lang w:val="en-US" w:eastAsia="zh-CN" w:bidi="ar"/>
              </w:rPr>
              <w:t>货运</w:t>
            </w:r>
            <w:r>
              <w:rPr>
                <w:rFonts w:hint="default" w:ascii="Times New Roman" w:hAnsi="Times New Roman" w:eastAsia="仿宋_GB2312" w:cs="Times New Roman"/>
                <w:bCs/>
                <w:color w:val="auto"/>
                <w:kern w:val="0"/>
                <w:sz w:val="22"/>
                <w:szCs w:val="22"/>
                <w:lang w:val="en-US" w:eastAsia="zh-CN" w:bidi="ar"/>
              </w:rPr>
              <w:t>整车、35吨敞顶箱（车上装箱）货物发到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val="0"/>
                <w:bCs/>
                <w:i w:val="0"/>
                <w:color w:val="auto"/>
                <w:kern w:val="0"/>
                <w:sz w:val="24"/>
                <w:szCs w:val="24"/>
                <w:highlight w:val="none"/>
                <w:u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井研（</w:t>
            </w:r>
            <w:r>
              <w:rPr>
                <w:rFonts w:hint="eastAsia" w:cs="Times New Roman"/>
                <w:b w:val="0"/>
                <w:bCs/>
                <w:i w:val="0"/>
                <w:color w:val="auto"/>
                <w:kern w:val="0"/>
                <w:sz w:val="22"/>
                <w:szCs w:val="22"/>
                <w:highlight w:val="none"/>
                <w:u w:val="none"/>
                <w:lang w:val="en-US" w:eastAsia="zh-CN" w:bidi="ar"/>
              </w:rPr>
              <w:t>连燕</w:t>
            </w:r>
            <w:r>
              <w:rPr>
                <w:rFonts w:hint="default" w:ascii="Times New Roman" w:hAnsi="Times New Roman" w:eastAsia="仿宋_GB2312" w:cs="Times New Roman"/>
                <w:b w:val="0"/>
                <w:bCs/>
                <w:i w:val="0"/>
                <w:color w:val="auto"/>
                <w:kern w:val="0"/>
                <w:sz w:val="22"/>
                <w:szCs w:val="22"/>
                <w:highlight w:val="none"/>
                <w:u w:val="none"/>
                <w:lang w:val="en-US" w:eastAsia="zh-CN" w:bidi="ar"/>
              </w:rPr>
              <w:t>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四等</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cs="Times New Roman"/>
                <w:bCs/>
                <w:color w:val="auto"/>
                <w:kern w:val="0"/>
                <w:sz w:val="24"/>
                <w:szCs w:val="24"/>
                <w:lang w:val="en-US" w:eastAsia="zh-CN" w:bidi="ar"/>
              </w:rPr>
            </w:pPr>
            <w:r>
              <w:rPr>
                <w:rFonts w:hint="eastAsia" w:cs="Times New Roman"/>
                <w:bCs/>
                <w:color w:val="auto"/>
                <w:kern w:val="0"/>
                <w:sz w:val="22"/>
                <w:szCs w:val="22"/>
                <w:lang w:val="en-US" w:eastAsia="zh-CN" w:bidi="ar"/>
              </w:rPr>
              <w:t>办理货运整车及集装箱业务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val="0"/>
                <w:bCs/>
                <w:i w:val="0"/>
                <w:color w:val="auto"/>
                <w:kern w:val="0"/>
                <w:sz w:val="24"/>
                <w:szCs w:val="24"/>
                <w:highlight w:val="none"/>
                <w:u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井研南（</w:t>
            </w:r>
            <w:r>
              <w:rPr>
                <w:rFonts w:hint="eastAsia" w:cs="Times New Roman"/>
                <w:b w:val="0"/>
                <w:bCs/>
                <w:i w:val="0"/>
                <w:color w:val="auto"/>
                <w:kern w:val="0"/>
                <w:sz w:val="22"/>
                <w:szCs w:val="22"/>
                <w:highlight w:val="none"/>
                <w:u w:val="none"/>
                <w:lang w:val="en-US" w:eastAsia="zh-CN" w:bidi="ar"/>
              </w:rPr>
              <w:t>连燕</w:t>
            </w:r>
            <w:r>
              <w:rPr>
                <w:rFonts w:hint="default" w:ascii="Times New Roman" w:hAnsi="Times New Roman" w:eastAsia="仿宋_GB2312" w:cs="Times New Roman"/>
                <w:b w:val="0"/>
                <w:bCs/>
                <w:i w:val="0"/>
                <w:color w:val="auto"/>
                <w:kern w:val="0"/>
                <w:sz w:val="22"/>
                <w:szCs w:val="22"/>
                <w:highlight w:val="none"/>
                <w:u w:val="none"/>
                <w:lang w:val="en-US" w:eastAsia="zh-CN" w:bidi="ar"/>
              </w:rPr>
              <w:t>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四等</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cs="Times New Roman"/>
                <w:bCs/>
                <w:color w:val="auto"/>
                <w:kern w:val="0"/>
                <w:sz w:val="24"/>
                <w:szCs w:val="24"/>
                <w:lang w:val="en-US" w:eastAsia="zh-CN" w:bidi="ar"/>
              </w:rPr>
            </w:pPr>
            <w:r>
              <w:rPr>
                <w:rFonts w:hint="eastAsia" w:cs="Times New Roman"/>
                <w:bCs/>
                <w:color w:val="auto"/>
                <w:kern w:val="0"/>
                <w:sz w:val="22"/>
                <w:szCs w:val="22"/>
                <w:lang w:val="en-US" w:eastAsia="zh-CN" w:bidi="ar"/>
              </w:rPr>
              <w:t>办理货运整车及集装箱业务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val="0"/>
                <w:bCs/>
                <w:i w:val="0"/>
                <w:color w:val="auto"/>
                <w:kern w:val="0"/>
                <w:sz w:val="24"/>
                <w:szCs w:val="24"/>
                <w:highlight w:val="none"/>
                <w:u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乐山港（</w:t>
            </w:r>
            <w:r>
              <w:rPr>
                <w:rFonts w:hint="eastAsia" w:cs="Times New Roman"/>
                <w:b w:val="0"/>
                <w:bCs/>
                <w:i w:val="0"/>
                <w:color w:val="auto"/>
                <w:kern w:val="0"/>
                <w:sz w:val="22"/>
                <w:szCs w:val="22"/>
                <w:highlight w:val="none"/>
                <w:u w:val="none"/>
                <w:lang w:val="en-US" w:eastAsia="zh-CN" w:bidi="ar"/>
              </w:rPr>
              <w:t>连燕</w:t>
            </w:r>
            <w:r>
              <w:rPr>
                <w:rFonts w:hint="default" w:ascii="Times New Roman" w:hAnsi="Times New Roman" w:eastAsia="仿宋_GB2312" w:cs="Times New Roman"/>
                <w:b w:val="0"/>
                <w:bCs/>
                <w:i w:val="0"/>
                <w:color w:val="auto"/>
                <w:kern w:val="0"/>
                <w:sz w:val="22"/>
                <w:szCs w:val="22"/>
                <w:highlight w:val="none"/>
                <w:u w:val="none"/>
                <w:lang w:val="en-US" w:eastAsia="zh-CN" w:bidi="ar"/>
              </w:rPr>
              <w:t>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四等</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cs="Times New Roman"/>
                <w:bCs/>
                <w:color w:val="auto"/>
                <w:kern w:val="0"/>
                <w:sz w:val="24"/>
                <w:szCs w:val="24"/>
                <w:lang w:val="en-US" w:eastAsia="zh-CN" w:bidi="ar"/>
              </w:rPr>
            </w:pPr>
            <w:r>
              <w:rPr>
                <w:rFonts w:hint="eastAsia" w:cs="Times New Roman"/>
                <w:bCs/>
                <w:color w:val="auto"/>
                <w:kern w:val="0"/>
                <w:sz w:val="22"/>
                <w:szCs w:val="22"/>
                <w:lang w:val="en-US" w:eastAsia="zh-CN" w:bidi="ar"/>
              </w:rPr>
              <w:t>办理货运整车及集装箱业务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val="0"/>
                <w:bCs/>
                <w:i w:val="0"/>
                <w:color w:val="auto"/>
                <w:kern w:val="0"/>
                <w:sz w:val="24"/>
                <w:szCs w:val="24"/>
                <w:highlight w:val="none"/>
                <w:u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燕岗南（</w:t>
            </w:r>
            <w:r>
              <w:rPr>
                <w:rFonts w:hint="eastAsia" w:cs="Times New Roman"/>
                <w:b w:val="0"/>
                <w:bCs/>
                <w:i w:val="0"/>
                <w:color w:val="auto"/>
                <w:kern w:val="0"/>
                <w:sz w:val="22"/>
                <w:szCs w:val="22"/>
                <w:highlight w:val="none"/>
                <w:u w:val="none"/>
                <w:lang w:val="en-US" w:eastAsia="zh-CN" w:bidi="ar"/>
              </w:rPr>
              <w:t>连燕</w:t>
            </w:r>
            <w:r>
              <w:rPr>
                <w:rFonts w:hint="default" w:ascii="Times New Roman" w:hAnsi="Times New Roman" w:eastAsia="仿宋_GB2312" w:cs="Times New Roman"/>
                <w:b w:val="0"/>
                <w:bCs/>
                <w:i w:val="0"/>
                <w:color w:val="auto"/>
                <w:kern w:val="0"/>
                <w:sz w:val="22"/>
                <w:szCs w:val="22"/>
                <w:highlight w:val="none"/>
                <w:u w:val="none"/>
                <w:lang w:val="en-US" w:eastAsia="zh-CN" w:bidi="ar"/>
              </w:rPr>
              <w:t>铁路）</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 w:val="0"/>
                <w:bCs/>
                <w:i w:val="0"/>
                <w:color w:val="auto"/>
                <w:kern w:val="0"/>
                <w:sz w:val="22"/>
                <w:szCs w:val="22"/>
                <w:highlight w:val="none"/>
                <w:u w:val="none"/>
                <w:lang w:val="en-US" w:eastAsia="zh-CN" w:bidi="ar"/>
              </w:rPr>
              <w:t>四等</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cs="Times New Roman"/>
                <w:bCs/>
                <w:color w:val="auto"/>
                <w:kern w:val="0"/>
                <w:sz w:val="24"/>
                <w:szCs w:val="24"/>
                <w:lang w:val="en-US" w:eastAsia="zh-CN" w:bidi="ar"/>
              </w:rPr>
            </w:pPr>
            <w:r>
              <w:rPr>
                <w:rFonts w:hint="eastAsia" w:cs="Times New Roman"/>
                <w:bCs/>
                <w:color w:val="auto"/>
                <w:kern w:val="0"/>
                <w:sz w:val="22"/>
                <w:szCs w:val="22"/>
                <w:highlight w:val="none"/>
                <w:lang w:val="en-US" w:eastAsia="zh-CN" w:bidi="ar"/>
              </w:rPr>
              <w:t>接轨站，办理成昆线到连燕线货物列车交接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4489"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i w:val="0"/>
                <w:color w:val="auto"/>
                <w:kern w:val="0"/>
                <w:sz w:val="24"/>
                <w:szCs w:val="24"/>
                <w:highlight w:val="none"/>
                <w:u w:val="none"/>
                <w:lang w:val="en-US" w:eastAsia="zh-CN" w:bidi="ar"/>
              </w:rPr>
            </w:pPr>
            <w:r>
              <w:rPr>
                <w:rFonts w:hint="default" w:ascii="Times New Roman" w:hAnsi="Times New Roman" w:eastAsia="仿宋_GB2312" w:cs="Times New Roman"/>
                <w:bCs/>
                <w:i w:val="0"/>
                <w:color w:val="auto"/>
                <w:kern w:val="0"/>
                <w:sz w:val="22"/>
                <w:szCs w:val="22"/>
                <w:highlight w:val="none"/>
                <w:lang w:val="en-US" w:eastAsia="zh-CN" w:bidi="ar"/>
              </w:rPr>
              <w:t>四川嘉汇易达物流有限公司专用线</w:t>
            </w:r>
            <w:r>
              <w:rPr>
                <w:rFonts w:hint="eastAsia" w:cs="Times New Roman"/>
                <w:bCs/>
                <w:i w:val="0"/>
                <w:color w:val="auto"/>
                <w:kern w:val="0"/>
                <w:sz w:val="22"/>
                <w:szCs w:val="22"/>
                <w:highlight w:val="none"/>
                <w:lang w:val="en-US" w:eastAsia="zh-CN" w:bidi="ar"/>
              </w:rPr>
              <w:t>、</w:t>
            </w:r>
            <w:r>
              <w:rPr>
                <w:rFonts w:hint="default" w:ascii="Times New Roman" w:hAnsi="Times New Roman" w:eastAsia="仿宋_GB2312" w:cs="Times New Roman"/>
                <w:bCs/>
                <w:i w:val="0"/>
                <w:color w:val="auto"/>
                <w:kern w:val="0"/>
                <w:sz w:val="22"/>
                <w:szCs w:val="22"/>
                <w:highlight w:val="none"/>
                <w:lang w:val="en-US" w:eastAsia="zh-CN" w:bidi="ar"/>
              </w:rPr>
              <w:t>四川峨边西南水泥有限公司专用线</w:t>
            </w:r>
            <w:r>
              <w:rPr>
                <w:rFonts w:hint="eastAsia" w:cs="Times New Roman"/>
                <w:bCs/>
                <w:i w:val="0"/>
                <w:color w:val="auto"/>
                <w:kern w:val="0"/>
                <w:sz w:val="22"/>
                <w:szCs w:val="22"/>
                <w:highlight w:val="none"/>
                <w:lang w:val="en-US" w:eastAsia="zh-CN" w:bidi="ar"/>
              </w:rPr>
              <w:t>等14条</w:t>
            </w:r>
          </w:p>
        </w:tc>
        <w:tc>
          <w:tcPr>
            <w:tcW w:w="1911"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i w:val="0"/>
                <w:color w:val="auto"/>
                <w:kern w:val="0"/>
                <w:sz w:val="24"/>
                <w:szCs w:val="24"/>
                <w:highlight w:val="none"/>
                <w:u w:val="none"/>
                <w:lang w:val="en-US" w:eastAsia="zh-CN" w:bidi="ar"/>
              </w:rPr>
            </w:pPr>
            <w:r>
              <w:rPr>
                <w:rFonts w:hint="default" w:ascii="Times New Roman" w:hAnsi="Times New Roman" w:cs="Times New Roman"/>
                <w:b w:val="0"/>
                <w:bCs/>
                <w:i w:val="0"/>
                <w:color w:val="auto"/>
                <w:kern w:val="0"/>
                <w:sz w:val="22"/>
                <w:szCs w:val="22"/>
                <w:highlight w:val="none"/>
                <w:u w:val="none"/>
                <w:lang w:val="en-US" w:eastAsia="zh-CN" w:bidi="ar"/>
              </w:rPr>
              <w:t>铁路专用线</w:t>
            </w:r>
          </w:p>
        </w:tc>
        <w:tc>
          <w:tcPr>
            <w:tcW w:w="13167" w:type="dxa"/>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both"/>
              <w:textAlignment w:val="auto"/>
              <w:rPr>
                <w:rFonts w:hint="default" w:ascii="Times New Roman" w:hAnsi="Times New Roman" w:cs="Times New Roman"/>
                <w:bCs/>
                <w:color w:val="auto"/>
                <w:kern w:val="0"/>
                <w:sz w:val="24"/>
                <w:szCs w:val="24"/>
                <w:lang w:val="en-US" w:eastAsia="zh-CN" w:bidi="ar"/>
              </w:rPr>
            </w:pPr>
            <w:r>
              <w:rPr>
                <w:rFonts w:hint="eastAsia" w:cs="Times New Roman"/>
                <w:bCs/>
                <w:color w:val="auto"/>
                <w:kern w:val="0"/>
                <w:sz w:val="22"/>
                <w:szCs w:val="22"/>
                <w:lang w:val="en-US" w:eastAsia="zh-CN" w:bidi="ar"/>
              </w:rPr>
              <w:t>办理货运业务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373" w:type="pct"/>
            <w:vMerge w:val="restart"/>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eastAsia" w:ascii="Times New Roman" w:hAnsi="Times New Roman" w:eastAsia="仿宋_GB2312" w:cs="Times New Roman"/>
                <w:color w:val="auto"/>
                <w:kern w:val="3"/>
                <w:sz w:val="24"/>
                <w:szCs w:val="24"/>
                <w:lang w:val="en-US" w:eastAsia="zh-CN" w:bidi="ar-SA"/>
              </w:rPr>
              <w:t>港区泊位</w:t>
            </w:r>
          </w:p>
        </w:tc>
        <w:tc>
          <w:tcPr>
            <w:tcW w:w="1061" w:type="pct"/>
            <w:shd w:val="clear" w:color="auto" w:fill="auto"/>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eastAsia="仿宋_GB2312" w:cs="Times New Roman"/>
                <w:bCs/>
                <w:color w:val="auto"/>
                <w:kern w:val="0"/>
                <w:sz w:val="24"/>
                <w:szCs w:val="24"/>
                <w:lang w:bidi="ar"/>
              </w:rPr>
            </w:pPr>
            <w:r>
              <w:rPr>
                <w:rFonts w:hint="default" w:ascii="Times New Roman" w:hAnsi="Times New Roman" w:eastAsia="仿宋_GB2312" w:cs="Times New Roman"/>
                <w:bCs/>
                <w:color w:val="auto"/>
                <w:kern w:val="0"/>
                <w:sz w:val="24"/>
                <w:szCs w:val="24"/>
                <w:lang w:bidi="ar"/>
              </w:rPr>
              <w:t>嘉州港区</w:t>
            </w:r>
          </w:p>
        </w:tc>
        <w:tc>
          <w:tcPr>
            <w:tcW w:w="451" w:type="pct"/>
            <w:shd w:val="clear" w:color="auto" w:fill="auto"/>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cs="Times New Roman"/>
                <w:color w:val="auto"/>
                <w:kern w:val="3"/>
                <w:sz w:val="24"/>
                <w:szCs w:val="24"/>
                <w:lang w:val="en-US" w:eastAsia="zh-CN"/>
              </w:rPr>
            </w:pPr>
            <w:r>
              <w:rPr>
                <w:rFonts w:hint="default" w:ascii="Times New Roman" w:hAnsi="Times New Roman" w:cs="Times New Roman"/>
                <w:bCs/>
                <w:color w:val="auto"/>
                <w:kern w:val="0"/>
                <w:sz w:val="24"/>
                <w:szCs w:val="24"/>
                <w:lang w:eastAsia="zh-CN" w:bidi="ar"/>
              </w:rPr>
              <w:t>——</w:t>
            </w:r>
          </w:p>
        </w:tc>
        <w:tc>
          <w:tcPr>
            <w:tcW w:w="3113" w:type="pct"/>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岸线长约1545米，</w:t>
            </w:r>
            <w:r>
              <w:rPr>
                <w:rFonts w:hint="eastAsia" w:ascii="Times New Roman" w:hAnsi="Times New Roman" w:eastAsia="仿宋_GB2312" w:cs="Times New Roman"/>
                <w:color w:val="auto"/>
                <w:kern w:val="3"/>
                <w:sz w:val="24"/>
                <w:szCs w:val="24"/>
                <w:lang w:val="en-US" w:eastAsia="zh-CN" w:bidi="ar-SA"/>
              </w:rPr>
              <w:t>有大件码头1个，</w:t>
            </w:r>
            <w:r>
              <w:rPr>
                <w:rFonts w:hint="default" w:ascii="Times New Roman" w:hAnsi="Times New Roman" w:eastAsia="仿宋_GB2312" w:cs="Times New Roman"/>
                <w:color w:val="auto"/>
                <w:kern w:val="3"/>
                <w:sz w:val="24"/>
                <w:szCs w:val="24"/>
                <w:lang w:val="en-US" w:eastAsia="zh-CN" w:bidi="ar-SA"/>
              </w:rPr>
              <w:t>年综合通过能力10万吨，靠泊能力为100</w:t>
            </w:r>
            <w:r>
              <w:rPr>
                <w:rFonts w:hint="eastAsia" w:cs="Times New Roman"/>
                <w:color w:val="auto"/>
                <w:kern w:val="3"/>
                <w:sz w:val="24"/>
                <w:szCs w:val="24"/>
                <w:lang w:val="en-US" w:eastAsia="zh-CN" w:bidi="ar-SA"/>
              </w:rPr>
              <w:t>—</w:t>
            </w:r>
            <w:r>
              <w:rPr>
                <w:rFonts w:hint="default" w:ascii="Times New Roman" w:hAnsi="Times New Roman" w:eastAsia="仿宋_GB2312" w:cs="Times New Roman"/>
                <w:color w:val="auto"/>
                <w:kern w:val="3"/>
                <w:sz w:val="24"/>
                <w:szCs w:val="24"/>
                <w:lang w:val="en-US" w:eastAsia="zh-CN" w:bidi="ar-SA"/>
              </w:rPr>
              <w:t>500吨级船舶，</w:t>
            </w:r>
            <w:r>
              <w:rPr>
                <w:rFonts w:hint="eastAsia" w:ascii="Times New Roman" w:hAnsi="Times New Roman" w:eastAsia="仿宋_GB2312" w:cs="Times New Roman"/>
                <w:color w:val="auto"/>
                <w:kern w:val="3"/>
                <w:sz w:val="24"/>
                <w:szCs w:val="24"/>
                <w:lang w:val="en-US" w:eastAsia="zh-CN" w:bidi="ar-SA"/>
              </w:rPr>
              <w:t>货运以重大件运输为主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eastAsia="仿宋_GB2312" w:cs="Times New Roman"/>
                <w:bCs/>
                <w:color w:val="auto"/>
                <w:kern w:val="0"/>
                <w:sz w:val="24"/>
                <w:szCs w:val="24"/>
                <w:lang w:bidi="ar"/>
              </w:rPr>
            </w:pPr>
            <w:r>
              <w:rPr>
                <w:rFonts w:hint="default" w:ascii="Times New Roman" w:hAnsi="Times New Roman" w:eastAsia="仿宋_GB2312" w:cs="Times New Roman"/>
                <w:bCs/>
                <w:color w:val="auto"/>
                <w:kern w:val="0"/>
                <w:sz w:val="24"/>
                <w:szCs w:val="24"/>
                <w:lang w:bidi="ar"/>
              </w:rPr>
              <w:t>五通桥港区</w:t>
            </w:r>
          </w:p>
        </w:tc>
        <w:tc>
          <w:tcPr>
            <w:tcW w:w="451" w:type="pct"/>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cs="Times New Roman"/>
                <w:color w:val="auto"/>
                <w:kern w:val="3"/>
                <w:sz w:val="24"/>
                <w:szCs w:val="24"/>
                <w:lang w:val="en-US" w:eastAsia="zh-CN"/>
              </w:rPr>
            </w:pPr>
            <w:r>
              <w:rPr>
                <w:rFonts w:hint="default" w:ascii="Times New Roman" w:hAnsi="Times New Roman" w:cs="Times New Roman"/>
                <w:bCs/>
                <w:color w:val="auto"/>
                <w:kern w:val="0"/>
                <w:sz w:val="24"/>
                <w:szCs w:val="24"/>
                <w:lang w:eastAsia="zh-CN" w:bidi="ar"/>
              </w:rPr>
              <w:t>——</w:t>
            </w:r>
          </w:p>
        </w:tc>
        <w:tc>
          <w:tcPr>
            <w:tcW w:w="3113" w:type="pct"/>
            <w:noWrap/>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岸线</w:t>
            </w:r>
            <w:r>
              <w:rPr>
                <w:rFonts w:hint="eastAsia" w:ascii="Times New Roman" w:hAnsi="Times New Roman" w:eastAsia="仿宋_GB2312" w:cs="Times New Roman"/>
                <w:color w:val="auto"/>
                <w:kern w:val="3"/>
                <w:sz w:val="24"/>
                <w:szCs w:val="24"/>
                <w:lang w:val="en-US" w:eastAsia="zh-CN" w:bidi="ar-SA"/>
              </w:rPr>
              <w:t>长约</w:t>
            </w:r>
            <w:r>
              <w:rPr>
                <w:rFonts w:hint="default" w:ascii="Times New Roman" w:hAnsi="Times New Roman" w:eastAsia="仿宋_GB2312" w:cs="Times New Roman"/>
                <w:color w:val="auto"/>
                <w:kern w:val="3"/>
                <w:sz w:val="24"/>
                <w:szCs w:val="24"/>
                <w:lang w:val="en-US" w:eastAsia="zh-CN" w:bidi="ar-SA"/>
              </w:rPr>
              <w:t>557米，有桥沟、西坝等2个货运码头，年综合通过能力100万吨，靠泊能力为500吨级船舶，主要转运眉山等地的元明粉等件杂货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eastAsia="仿宋_GB2312" w:cs="Times New Roman"/>
                <w:bCs/>
                <w:color w:val="auto"/>
                <w:kern w:val="0"/>
                <w:sz w:val="24"/>
                <w:szCs w:val="24"/>
                <w:lang w:bidi="ar"/>
              </w:rPr>
            </w:pPr>
            <w:r>
              <w:rPr>
                <w:rFonts w:hint="default" w:ascii="Times New Roman" w:hAnsi="Times New Roman" w:eastAsia="仿宋_GB2312" w:cs="Times New Roman"/>
                <w:bCs/>
                <w:color w:val="auto"/>
                <w:kern w:val="0"/>
                <w:sz w:val="24"/>
                <w:szCs w:val="24"/>
                <w:lang w:bidi="ar"/>
              </w:rPr>
              <w:t>犍为港区</w:t>
            </w:r>
          </w:p>
        </w:tc>
        <w:tc>
          <w:tcPr>
            <w:tcW w:w="451" w:type="pct"/>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cs="Times New Roman"/>
                <w:bCs/>
                <w:color w:val="auto"/>
                <w:kern w:val="0"/>
                <w:sz w:val="24"/>
                <w:szCs w:val="24"/>
                <w:lang w:eastAsia="zh-CN" w:bidi="ar"/>
              </w:rPr>
            </w:pPr>
            <w:r>
              <w:rPr>
                <w:rFonts w:hint="default" w:ascii="Times New Roman" w:hAnsi="Times New Roman" w:cs="Times New Roman"/>
                <w:bCs/>
                <w:color w:val="auto"/>
                <w:kern w:val="0"/>
                <w:sz w:val="24"/>
                <w:szCs w:val="24"/>
                <w:lang w:eastAsia="zh-CN" w:bidi="ar"/>
              </w:rPr>
              <w:t>——</w:t>
            </w:r>
          </w:p>
        </w:tc>
        <w:tc>
          <w:tcPr>
            <w:tcW w:w="3113" w:type="pct"/>
            <w:noWrap/>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岸线</w:t>
            </w:r>
            <w:r>
              <w:rPr>
                <w:rFonts w:hint="eastAsia" w:ascii="Times New Roman" w:hAnsi="Times New Roman" w:eastAsia="仿宋_GB2312" w:cs="Times New Roman"/>
                <w:color w:val="auto"/>
                <w:kern w:val="3"/>
                <w:sz w:val="24"/>
                <w:szCs w:val="24"/>
                <w:lang w:val="en-US" w:eastAsia="zh-CN" w:bidi="ar-SA"/>
              </w:rPr>
              <w:t>长约</w:t>
            </w:r>
            <w:r>
              <w:rPr>
                <w:rFonts w:hint="default" w:ascii="Times New Roman" w:hAnsi="Times New Roman" w:eastAsia="仿宋_GB2312" w:cs="Times New Roman"/>
                <w:color w:val="auto"/>
                <w:kern w:val="3"/>
                <w:sz w:val="24"/>
                <w:szCs w:val="24"/>
                <w:lang w:val="en-US" w:eastAsia="zh-CN" w:bidi="ar-SA"/>
              </w:rPr>
              <w:t>1000米，有下渡、和邦盐业货运码头</w:t>
            </w:r>
            <w:r>
              <w:rPr>
                <w:rFonts w:hint="eastAsia" w:ascii="Times New Roman" w:hAnsi="Times New Roman" w:eastAsia="仿宋_GB2312" w:cs="Times New Roman"/>
                <w:color w:val="auto"/>
                <w:kern w:val="3"/>
                <w:sz w:val="24"/>
                <w:szCs w:val="24"/>
                <w:lang w:val="en-US" w:eastAsia="zh-CN" w:bidi="ar-SA"/>
              </w:rPr>
              <w:t>2个，年综合通过能力247万吨，靠泊能力为100</w:t>
            </w:r>
            <w:r>
              <w:rPr>
                <w:rFonts w:hint="eastAsia" w:cs="Times New Roman"/>
                <w:color w:val="auto"/>
                <w:kern w:val="3"/>
                <w:sz w:val="24"/>
                <w:szCs w:val="24"/>
                <w:lang w:val="en-US" w:eastAsia="zh-CN" w:bidi="ar-SA"/>
              </w:rPr>
              <w:t>—</w:t>
            </w:r>
            <w:r>
              <w:rPr>
                <w:rFonts w:hint="eastAsia" w:ascii="Times New Roman" w:hAnsi="Times New Roman" w:eastAsia="仿宋_GB2312" w:cs="Times New Roman"/>
                <w:color w:val="auto"/>
                <w:kern w:val="3"/>
                <w:sz w:val="24"/>
                <w:szCs w:val="24"/>
                <w:lang w:val="en-US" w:eastAsia="zh-CN" w:bidi="ar-SA"/>
              </w:rPr>
              <w:t>500吨级船舶，主要转运当地的矿建材料、煤炭，夹江等地的瓷砖和眉山等地的元明粉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eastAsia="仿宋_GB2312" w:cs="Times New Roman"/>
                <w:bCs/>
                <w:color w:val="auto"/>
                <w:kern w:val="0"/>
                <w:sz w:val="24"/>
                <w:szCs w:val="24"/>
                <w:lang w:bidi="ar"/>
              </w:rPr>
            </w:pPr>
            <w:r>
              <w:rPr>
                <w:rFonts w:hint="default" w:ascii="Times New Roman" w:hAnsi="Times New Roman" w:eastAsia="仿宋_GB2312" w:cs="Times New Roman"/>
                <w:bCs/>
                <w:color w:val="auto"/>
                <w:kern w:val="0"/>
                <w:sz w:val="24"/>
                <w:szCs w:val="24"/>
                <w:lang w:bidi="ar"/>
              </w:rPr>
              <w:t>沙湾港区</w:t>
            </w:r>
          </w:p>
        </w:tc>
        <w:tc>
          <w:tcPr>
            <w:tcW w:w="451" w:type="pct"/>
            <w:noWrap/>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cs="Times New Roman"/>
                <w:bCs/>
                <w:color w:val="auto"/>
                <w:kern w:val="0"/>
                <w:sz w:val="24"/>
                <w:szCs w:val="24"/>
                <w:lang w:eastAsia="zh-CN" w:bidi="ar"/>
              </w:rPr>
            </w:pPr>
            <w:r>
              <w:rPr>
                <w:rFonts w:hint="default" w:ascii="Times New Roman" w:hAnsi="Times New Roman" w:cs="Times New Roman"/>
                <w:bCs/>
                <w:color w:val="auto"/>
                <w:kern w:val="0"/>
                <w:sz w:val="24"/>
                <w:szCs w:val="24"/>
                <w:lang w:eastAsia="zh-CN" w:bidi="ar"/>
              </w:rPr>
              <w:t>——</w:t>
            </w:r>
          </w:p>
        </w:tc>
        <w:tc>
          <w:tcPr>
            <w:tcW w:w="3113" w:type="pct"/>
            <w:noWrap/>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沙湾港区有月咡岩货运码头，为企业自用码头，有货运泊位2个，年通过能力约10万吨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73" w:type="pct"/>
            <w:vMerge w:val="restart"/>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主要物流园区</w:t>
            </w:r>
          </w:p>
        </w:tc>
        <w:tc>
          <w:tcPr>
            <w:tcW w:w="106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嘉州商贸物流园区</w:t>
            </w:r>
          </w:p>
        </w:tc>
        <w:tc>
          <w:tcPr>
            <w:tcW w:w="45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位于乐山市市中区，园区内</w:t>
            </w:r>
            <w:r>
              <w:rPr>
                <w:rFonts w:hint="default" w:cs="Times New Roman"/>
                <w:bCs/>
                <w:color w:val="auto"/>
                <w:kern w:val="0"/>
                <w:sz w:val="24"/>
                <w:szCs w:val="24"/>
                <w:highlight w:val="none"/>
                <w:lang w:val="en-US" w:eastAsia="zh-CN" w:bidi="ar"/>
              </w:rPr>
              <w:t>乐山西部冷链物流园区2019年建成投用，主要提供冷链仓储、农产品</w:t>
            </w:r>
            <w:r>
              <w:rPr>
                <w:rFonts w:hint="eastAsia" w:cs="Times New Roman"/>
                <w:bCs/>
                <w:color w:val="auto"/>
                <w:kern w:val="0"/>
                <w:sz w:val="24"/>
                <w:szCs w:val="24"/>
                <w:highlight w:val="none"/>
                <w:lang w:val="en-US" w:eastAsia="zh-CN" w:bidi="ar"/>
              </w:rPr>
              <w:t>和水产品批发</w:t>
            </w:r>
            <w:r>
              <w:rPr>
                <w:rFonts w:hint="default" w:cs="Times New Roman"/>
                <w:bCs/>
                <w:color w:val="auto"/>
                <w:kern w:val="0"/>
                <w:sz w:val="24"/>
                <w:szCs w:val="24"/>
                <w:highlight w:val="none"/>
                <w:lang w:val="en-US" w:eastAsia="zh-CN" w:bidi="ar"/>
              </w:rPr>
              <w:t>交易、地标农产品展示、物流分拨配</w:t>
            </w:r>
            <w:r>
              <w:rPr>
                <w:rFonts w:hint="default" w:ascii="Times New Roman" w:hAnsi="Times New Roman" w:cs="Times New Roman"/>
                <w:bCs/>
                <w:color w:val="auto"/>
                <w:kern w:val="0"/>
                <w:sz w:val="24"/>
                <w:szCs w:val="24"/>
                <w:highlight w:val="none"/>
                <w:lang w:val="en-US" w:eastAsia="zh-CN" w:bidi="ar"/>
              </w:rPr>
              <w:t>送</w:t>
            </w:r>
            <w:r>
              <w:rPr>
                <w:rFonts w:hint="default" w:ascii="Times New Roman" w:hAnsi="Times New Roman" w:cs="Times New Roman"/>
                <w:bCs/>
                <w:color w:val="auto"/>
                <w:kern w:val="0"/>
                <w:sz w:val="24"/>
                <w:szCs w:val="24"/>
                <w:lang w:val="en-US" w:eastAsia="zh-CN" w:bidi="ar"/>
              </w:rPr>
              <w:t>等服务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沿森物流园</w:t>
            </w:r>
            <w:r>
              <w:rPr>
                <w:rFonts w:hint="eastAsia" w:ascii="Times New Roman" w:hAnsi="Times New Roman" w:eastAsia="仿宋_GB2312" w:cs="Times New Roman"/>
                <w:color w:val="auto"/>
                <w:kern w:val="3"/>
                <w:sz w:val="24"/>
                <w:szCs w:val="24"/>
                <w:lang w:val="en-US" w:eastAsia="zh-CN" w:bidi="ar-SA"/>
              </w:rPr>
              <w:t>（一期）</w:t>
            </w:r>
          </w:p>
        </w:tc>
        <w:tc>
          <w:tcPr>
            <w:tcW w:w="45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cs="Times New Roman"/>
                <w:bCs/>
                <w:color w:val="auto"/>
                <w:kern w:val="0"/>
                <w:sz w:val="24"/>
                <w:szCs w:val="24"/>
                <w:highlight w:val="none"/>
                <w:lang w:val="en-US" w:eastAsia="zh-CN" w:bidi="ar"/>
              </w:rPr>
              <w:t>位于乐山市市中区，</w:t>
            </w:r>
            <w:r>
              <w:rPr>
                <w:rFonts w:hint="default" w:ascii="Times New Roman" w:hAnsi="Times New Roman" w:cs="Times New Roman"/>
                <w:bCs/>
                <w:color w:val="auto"/>
                <w:kern w:val="0"/>
                <w:sz w:val="24"/>
                <w:szCs w:val="24"/>
                <w:highlight w:val="none"/>
                <w:lang w:val="en-US" w:eastAsia="zh-CN" w:bidi="ar"/>
              </w:rPr>
              <w:t>2019年建成投用，主要服务工业原料、生活物资、快递物流集散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邮政快递物流园区</w:t>
            </w:r>
          </w:p>
        </w:tc>
        <w:tc>
          <w:tcPr>
            <w:tcW w:w="45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cs="Times New Roman"/>
                <w:bCs/>
                <w:color w:val="auto"/>
                <w:kern w:val="0"/>
                <w:sz w:val="24"/>
                <w:szCs w:val="24"/>
                <w:highlight w:val="none"/>
                <w:lang w:val="en-US" w:eastAsia="zh-CN" w:bidi="ar"/>
              </w:rPr>
              <w:t>位于乐山市市中区</w:t>
            </w:r>
            <w:r>
              <w:rPr>
                <w:rFonts w:hint="eastAsia" w:cs="Times New Roman"/>
                <w:bCs/>
                <w:color w:val="auto"/>
                <w:kern w:val="0"/>
                <w:sz w:val="24"/>
                <w:szCs w:val="24"/>
                <w:highlight w:val="none"/>
                <w:lang w:val="en-US" w:eastAsia="zh-CN" w:bidi="ar"/>
              </w:rPr>
              <w:t>，主要服务乐山邮政快递集散分拨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蓝雁冷链物流园</w:t>
            </w:r>
          </w:p>
        </w:tc>
        <w:tc>
          <w:tcPr>
            <w:tcW w:w="45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cs="Times New Roman"/>
                <w:bCs/>
                <w:color w:val="auto"/>
                <w:kern w:val="0"/>
                <w:sz w:val="24"/>
                <w:szCs w:val="24"/>
                <w:highlight w:val="none"/>
                <w:lang w:val="en-US" w:eastAsia="zh-CN" w:bidi="ar"/>
              </w:rPr>
              <w:t>位于乐山市市中区，</w:t>
            </w:r>
            <w:r>
              <w:rPr>
                <w:rFonts w:hint="default" w:ascii="Times New Roman" w:hAnsi="Times New Roman" w:cs="Times New Roman"/>
                <w:bCs/>
                <w:color w:val="auto"/>
                <w:kern w:val="0"/>
                <w:sz w:val="24"/>
                <w:szCs w:val="24"/>
                <w:highlight w:val="none"/>
                <w:lang w:val="en-US" w:eastAsia="zh-CN" w:bidi="ar"/>
              </w:rPr>
              <w:t>2010年建成投用，主要服务大型冷鲜肉类食品、农副产品、畜产品和海产品等冷链运输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四川顺丰速运有限公司乐山分公司快件集散园区</w:t>
            </w:r>
          </w:p>
        </w:tc>
        <w:tc>
          <w:tcPr>
            <w:tcW w:w="45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cs="Times New Roman"/>
                <w:bCs/>
                <w:color w:val="auto"/>
                <w:kern w:val="0"/>
                <w:sz w:val="24"/>
                <w:szCs w:val="24"/>
                <w:highlight w:val="none"/>
                <w:lang w:val="en-US" w:eastAsia="zh-CN" w:bidi="ar"/>
              </w:rPr>
              <w:t>位于乐山市高新区，</w:t>
            </w:r>
            <w:r>
              <w:rPr>
                <w:rFonts w:hint="default" w:ascii="Times New Roman" w:hAnsi="Times New Roman" w:cs="Times New Roman"/>
                <w:bCs/>
                <w:color w:val="auto"/>
                <w:kern w:val="0"/>
                <w:sz w:val="24"/>
                <w:szCs w:val="24"/>
                <w:highlight w:val="none"/>
                <w:lang w:val="en-US" w:eastAsia="zh-CN" w:bidi="ar"/>
              </w:rPr>
              <w:t>2023年建成投用，主要服务顺丰快递</w:t>
            </w:r>
            <w:r>
              <w:rPr>
                <w:rFonts w:hint="eastAsia" w:cs="Times New Roman"/>
                <w:bCs/>
                <w:color w:val="auto"/>
                <w:kern w:val="0"/>
                <w:sz w:val="24"/>
                <w:szCs w:val="24"/>
                <w:highlight w:val="none"/>
                <w:lang w:val="en-US" w:eastAsia="zh-CN" w:bidi="ar"/>
              </w:rPr>
              <w:t>快</w:t>
            </w:r>
            <w:r>
              <w:rPr>
                <w:rFonts w:hint="default" w:ascii="Times New Roman" w:hAnsi="Times New Roman" w:cs="Times New Roman"/>
                <w:bCs/>
                <w:color w:val="auto"/>
                <w:kern w:val="0"/>
                <w:sz w:val="24"/>
                <w:szCs w:val="24"/>
                <w:highlight w:val="none"/>
                <w:lang w:val="en-US" w:eastAsia="zh-CN" w:bidi="ar"/>
              </w:rPr>
              <w:t>件中转需求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沙湾区邮政快递配送中心</w:t>
            </w:r>
          </w:p>
        </w:tc>
        <w:tc>
          <w:tcPr>
            <w:tcW w:w="45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shd w:val="clear" w:color="auto" w:fill="auto"/>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cs="Times New Roman"/>
                <w:bCs/>
                <w:color w:val="auto"/>
                <w:kern w:val="0"/>
                <w:sz w:val="24"/>
                <w:szCs w:val="24"/>
                <w:highlight w:val="none"/>
                <w:lang w:val="en-US" w:eastAsia="zh-CN" w:bidi="ar"/>
              </w:rPr>
              <w:t>位于乐山市沙湾区，</w:t>
            </w:r>
            <w:r>
              <w:rPr>
                <w:rFonts w:hint="default" w:ascii="Times New Roman" w:hAnsi="Times New Roman" w:cs="Times New Roman"/>
                <w:bCs/>
                <w:color w:val="auto"/>
                <w:kern w:val="0"/>
                <w:sz w:val="24"/>
                <w:szCs w:val="24"/>
                <w:highlight w:val="none"/>
                <w:lang w:val="en-US" w:eastAsia="zh-CN" w:bidi="ar"/>
              </w:rPr>
              <w:t>20</w:t>
            </w:r>
            <w:r>
              <w:rPr>
                <w:rFonts w:hint="eastAsia" w:cs="Times New Roman"/>
                <w:bCs/>
                <w:color w:val="auto"/>
                <w:kern w:val="0"/>
                <w:sz w:val="24"/>
                <w:szCs w:val="24"/>
                <w:highlight w:val="none"/>
                <w:lang w:val="en-US" w:eastAsia="zh-CN" w:bidi="ar"/>
              </w:rPr>
              <w:t>14</w:t>
            </w:r>
            <w:r>
              <w:rPr>
                <w:rFonts w:hint="default" w:ascii="Times New Roman" w:hAnsi="Times New Roman" w:cs="Times New Roman"/>
                <w:bCs/>
                <w:color w:val="auto"/>
                <w:kern w:val="0"/>
                <w:sz w:val="24"/>
                <w:szCs w:val="24"/>
                <w:highlight w:val="none"/>
                <w:lang w:val="en-US" w:eastAsia="zh-CN" w:bidi="ar"/>
              </w:rPr>
              <w:t>年建成投用，主要服务邮政快递</w:t>
            </w:r>
            <w:r>
              <w:rPr>
                <w:rFonts w:hint="eastAsia" w:cs="Times New Roman"/>
                <w:bCs/>
                <w:color w:val="auto"/>
                <w:kern w:val="0"/>
                <w:sz w:val="24"/>
                <w:szCs w:val="24"/>
                <w:highlight w:val="none"/>
                <w:lang w:val="en-US" w:eastAsia="zh-CN" w:bidi="ar"/>
              </w:rPr>
              <w:t>快</w:t>
            </w:r>
            <w:r>
              <w:rPr>
                <w:rFonts w:hint="default" w:ascii="Times New Roman" w:hAnsi="Times New Roman" w:cs="Times New Roman"/>
                <w:bCs/>
                <w:color w:val="auto"/>
                <w:kern w:val="0"/>
                <w:sz w:val="24"/>
                <w:szCs w:val="24"/>
                <w:highlight w:val="none"/>
                <w:lang w:val="en-US" w:eastAsia="zh-CN" w:bidi="ar"/>
              </w:rPr>
              <w:t>件中转需求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德胜物流园区</w:t>
            </w:r>
          </w:p>
        </w:tc>
        <w:tc>
          <w:tcPr>
            <w:tcW w:w="45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shd w:val="clear" w:color="auto" w:fill="auto"/>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ascii="Times New Roman" w:hAnsi="Times New Roman" w:cs="Times New Roman"/>
                <w:bCs/>
                <w:color w:val="auto"/>
                <w:kern w:val="0"/>
                <w:sz w:val="24"/>
                <w:szCs w:val="24"/>
                <w:highlight w:val="none"/>
                <w:lang w:val="en-US" w:eastAsia="zh-CN" w:bidi="ar"/>
              </w:rPr>
              <w:t>位于乐山市沙湾区，20</w:t>
            </w:r>
            <w:r>
              <w:rPr>
                <w:rFonts w:hint="eastAsia" w:cs="Times New Roman"/>
                <w:bCs/>
                <w:color w:val="auto"/>
                <w:kern w:val="0"/>
                <w:sz w:val="24"/>
                <w:szCs w:val="24"/>
                <w:highlight w:val="none"/>
                <w:lang w:val="en-US" w:eastAsia="zh-CN" w:bidi="ar"/>
              </w:rPr>
              <w:t>24</w:t>
            </w:r>
            <w:r>
              <w:rPr>
                <w:rFonts w:hint="default" w:ascii="Times New Roman" w:hAnsi="Times New Roman" w:cs="Times New Roman"/>
                <w:bCs/>
                <w:color w:val="auto"/>
                <w:kern w:val="0"/>
                <w:sz w:val="24"/>
                <w:szCs w:val="24"/>
                <w:highlight w:val="none"/>
                <w:lang w:val="en-US" w:eastAsia="zh-CN" w:bidi="ar"/>
              </w:rPr>
              <w:t>年建成投用，主要服务水泥产业相关原材料及工业品运输需求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四川富和物流园</w:t>
            </w:r>
          </w:p>
        </w:tc>
        <w:tc>
          <w:tcPr>
            <w:tcW w:w="45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shd w:val="clear" w:color="auto" w:fill="auto"/>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eastAsia="仿宋_GB2312" w:cs="Times New Roman"/>
                <w:bCs/>
                <w:color w:val="auto"/>
                <w:kern w:val="0"/>
                <w:sz w:val="24"/>
                <w:szCs w:val="24"/>
                <w:highlight w:val="none"/>
                <w:lang w:val="en-US" w:eastAsia="zh-CN" w:bidi="ar"/>
              </w:rPr>
              <w:t>位于峨眉山市，2010年建成投运，由峨胜水泥集团使用，以</w:t>
            </w:r>
            <w:r>
              <w:rPr>
                <w:rFonts w:hint="eastAsia" w:cs="Times New Roman"/>
                <w:bCs/>
                <w:color w:val="auto"/>
                <w:kern w:val="0"/>
                <w:sz w:val="24"/>
                <w:szCs w:val="24"/>
                <w:highlight w:val="none"/>
                <w:lang w:val="en-US" w:eastAsia="zh-CN" w:bidi="ar"/>
              </w:rPr>
              <w:t>服务</w:t>
            </w:r>
            <w:r>
              <w:rPr>
                <w:rFonts w:hint="default" w:ascii="Times New Roman" w:hAnsi="Times New Roman" w:eastAsia="仿宋_GB2312" w:cs="Times New Roman"/>
                <w:bCs/>
                <w:color w:val="auto"/>
                <w:kern w:val="0"/>
                <w:sz w:val="24"/>
                <w:szCs w:val="24"/>
                <w:highlight w:val="none"/>
                <w:lang w:val="en-US" w:eastAsia="zh-CN" w:bidi="ar"/>
              </w:rPr>
              <w:t>水泥</w:t>
            </w:r>
            <w:r>
              <w:rPr>
                <w:rFonts w:hint="eastAsia" w:cs="Times New Roman"/>
                <w:bCs/>
                <w:color w:val="auto"/>
                <w:kern w:val="0"/>
                <w:sz w:val="24"/>
                <w:szCs w:val="24"/>
                <w:highlight w:val="none"/>
                <w:lang w:val="en-US" w:eastAsia="zh-CN" w:bidi="ar"/>
              </w:rPr>
              <w:t>运输</w:t>
            </w:r>
            <w:r>
              <w:rPr>
                <w:rFonts w:hint="default" w:ascii="Times New Roman" w:hAnsi="Times New Roman" w:eastAsia="仿宋_GB2312" w:cs="Times New Roman"/>
                <w:bCs/>
                <w:color w:val="auto"/>
                <w:kern w:val="0"/>
                <w:sz w:val="24"/>
                <w:szCs w:val="24"/>
                <w:highlight w:val="none"/>
                <w:lang w:val="en-US" w:eastAsia="zh-CN" w:bidi="ar"/>
              </w:rPr>
              <w:t>为主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峨眉天盛物流园</w:t>
            </w:r>
          </w:p>
        </w:tc>
        <w:tc>
          <w:tcPr>
            <w:tcW w:w="45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shd w:val="clear" w:color="auto" w:fill="auto"/>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ascii="Times New Roman" w:hAnsi="Times New Roman" w:cs="Times New Roman"/>
                <w:bCs/>
                <w:color w:val="auto"/>
                <w:kern w:val="0"/>
                <w:sz w:val="24"/>
                <w:szCs w:val="24"/>
                <w:highlight w:val="none"/>
                <w:lang w:val="en-US" w:eastAsia="zh-CN" w:bidi="ar"/>
              </w:rPr>
              <w:t>位于峨眉山市，20</w:t>
            </w:r>
            <w:r>
              <w:rPr>
                <w:rFonts w:hint="eastAsia" w:cs="Times New Roman"/>
                <w:bCs/>
                <w:color w:val="auto"/>
                <w:kern w:val="0"/>
                <w:sz w:val="24"/>
                <w:szCs w:val="24"/>
                <w:highlight w:val="none"/>
                <w:lang w:val="en-US" w:eastAsia="zh-CN" w:bidi="ar"/>
              </w:rPr>
              <w:t>02</w:t>
            </w:r>
            <w:r>
              <w:rPr>
                <w:rFonts w:hint="default" w:ascii="Times New Roman" w:hAnsi="Times New Roman" w:cs="Times New Roman"/>
                <w:bCs/>
                <w:color w:val="auto"/>
                <w:kern w:val="0"/>
                <w:sz w:val="24"/>
                <w:szCs w:val="24"/>
                <w:highlight w:val="none"/>
                <w:lang w:val="en-US" w:eastAsia="zh-CN" w:bidi="ar"/>
              </w:rPr>
              <w:t>年建成投用，具备普通货物仓储、集散、集装箱租赁、铁路运输咨询等功能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夹江集装箱物流园区</w:t>
            </w:r>
          </w:p>
        </w:tc>
        <w:tc>
          <w:tcPr>
            <w:tcW w:w="451" w:type="pct"/>
            <w:shd w:val="clear" w:color="auto" w:fill="auto"/>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shd w:val="clear" w:color="auto" w:fill="auto"/>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ascii="Times New Roman" w:hAnsi="Times New Roman" w:cs="Times New Roman"/>
                <w:bCs/>
                <w:color w:val="auto"/>
                <w:kern w:val="0"/>
                <w:sz w:val="24"/>
                <w:szCs w:val="24"/>
                <w:highlight w:val="none"/>
                <w:lang w:val="en-US" w:eastAsia="zh-CN" w:bidi="ar"/>
              </w:rPr>
              <w:t>位于夹江县，2022年6月开工，主要服务工业原料、生活物资、</w:t>
            </w:r>
            <w:r>
              <w:rPr>
                <w:rFonts w:hint="eastAsia" w:cs="Times New Roman"/>
                <w:bCs/>
                <w:color w:val="auto"/>
                <w:kern w:val="0"/>
                <w:sz w:val="24"/>
                <w:szCs w:val="24"/>
                <w:highlight w:val="none"/>
                <w:lang w:val="en-US" w:eastAsia="zh-CN" w:bidi="ar"/>
              </w:rPr>
              <w:t>集装箱等运输需求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沐川安邦物流园区</w:t>
            </w:r>
          </w:p>
        </w:tc>
        <w:tc>
          <w:tcPr>
            <w:tcW w:w="45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ascii="Times New Roman" w:hAnsi="Times New Roman" w:cs="Times New Roman"/>
                <w:bCs/>
                <w:color w:val="auto"/>
                <w:kern w:val="0"/>
                <w:sz w:val="24"/>
                <w:szCs w:val="24"/>
                <w:highlight w:val="none"/>
                <w:lang w:val="en-US" w:eastAsia="zh-CN" w:bidi="ar"/>
              </w:rPr>
              <w:t>位于沐川县，2022年投</w:t>
            </w:r>
            <w:r>
              <w:rPr>
                <w:rFonts w:hint="eastAsia" w:cs="Times New Roman"/>
                <w:bCs/>
                <w:color w:val="auto"/>
                <w:kern w:val="0"/>
                <w:sz w:val="24"/>
                <w:szCs w:val="24"/>
                <w:highlight w:val="none"/>
                <w:lang w:val="en-US" w:eastAsia="zh-CN" w:bidi="ar"/>
              </w:rPr>
              <w:t>用</w:t>
            </w:r>
            <w:r>
              <w:rPr>
                <w:rFonts w:hint="default" w:ascii="Times New Roman" w:hAnsi="Times New Roman" w:cs="Times New Roman"/>
                <w:bCs/>
                <w:color w:val="auto"/>
                <w:kern w:val="0"/>
                <w:sz w:val="24"/>
                <w:szCs w:val="24"/>
                <w:highlight w:val="none"/>
                <w:lang w:val="en-US" w:eastAsia="zh-CN" w:bidi="ar"/>
              </w:rPr>
              <w:t>，主要</w:t>
            </w:r>
            <w:r>
              <w:rPr>
                <w:rFonts w:hint="eastAsia" w:cs="Times New Roman"/>
                <w:bCs/>
                <w:color w:val="auto"/>
                <w:kern w:val="0"/>
                <w:sz w:val="24"/>
                <w:szCs w:val="24"/>
                <w:highlight w:val="none"/>
                <w:lang w:val="en-US" w:eastAsia="zh-CN" w:bidi="ar"/>
              </w:rPr>
              <w:t>服务</w:t>
            </w:r>
            <w:r>
              <w:rPr>
                <w:rFonts w:hint="default" w:ascii="Times New Roman" w:hAnsi="Times New Roman" w:cs="Times New Roman"/>
                <w:bCs/>
                <w:color w:val="auto"/>
                <w:kern w:val="0"/>
                <w:sz w:val="24"/>
                <w:szCs w:val="24"/>
                <w:highlight w:val="none"/>
                <w:lang w:val="en-US" w:eastAsia="zh-CN" w:bidi="ar"/>
              </w:rPr>
              <w:t>大型建材类物流集疏运、城乡配送、应急物流建设等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沐川“两地仓”物流园区</w:t>
            </w:r>
          </w:p>
        </w:tc>
        <w:tc>
          <w:tcPr>
            <w:tcW w:w="45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ascii="Times New Roman" w:hAnsi="Times New Roman" w:cs="Times New Roman"/>
                <w:bCs/>
                <w:color w:val="auto"/>
                <w:kern w:val="0"/>
                <w:sz w:val="24"/>
                <w:szCs w:val="24"/>
                <w:highlight w:val="none"/>
                <w:lang w:val="en-US" w:eastAsia="zh-CN" w:bidi="ar"/>
              </w:rPr>
              <w:t>位于沐川县，</w:t>
            </w:r>
            <w:r>
              <w:rPr>
                <w:rFonts w:hint="default" w:cs="Times New Roman"/>
                <w:bCs/>
                <w:color w:val="auto"/>
                <w:kern w:val="0"/>
                <w:sz w:val="24"/>
                <w:szCs w:val="24"/>
                <w:highlight w:val="none"/>
                <w:lang w:val="en-US" w:eastAsia="zh-CN" w:bidi="ar"/>
              </w:rPr>
              <w:t>2023</w:t>
            </w:r>
            <w:r>
              <w:rPr>
                <w:rFonts w:hint="default" w:ascii="Times New Roman" w:hAnsi="Times New Roman" w:cs="Times New Roman"/>
                <w:bCs/>
                <w:color w:val="auto"/>
                <w:kern w:val="0"/>
                <w:sz w:val="24"/>
                <w:szCs w:val="24"/>
                <w:highlight w:val="none"/>
                <w:lang w:val="en-US" w:eastAsia="zh-CN" w:bidi="ar"/>
              </w:rPr>
              <w:t>年建成投用，主要服务</w:t>
            </w:r>
            <w:r>
              <w:rPr>
                <w:rFonts w:hint="default" w:cs="Times New Roman"/>
                <w:bCs/>
                <w:color w:val="auto"/>
                <w:kern w:val="0"/>
                <w:sz w:val="24"/>
                <w:szCs w:val="24"/>
                <w:highlight w:val="none"/>
                <w:lang w:val="en-US" w:eastAsia="zh-CN" w:bidi="ar"/>
              </w:rPr>
              <w:t>农产品仓储、</w:t>
            </w:r>
            <w:r>
              <w:rPr>
                <w:rFonts w:hint="default" w:ascii="Times New Roman" w:hAnsi="Times New Roman" w:cs="Times New Roman"/>
                <w:bCs/>
                <w:color w:val="auto"/>
                <w:kern w:val="0"/>
                <w:sz w:val="24"/>
                <w:szCs w:val="24"/>
                <w:highlight w:val="none"/>
                <w:lang w:val="en-US" w:eastAsia="zh-CN" w:bidi="ar"/>
              </w:rPr>
              <w:t>粮食仓储、运输需求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井研农商互联集配中心</w:t>
            </w:r>
          </w:p>
        </w:tc>
        <w:tc>
          <w:tcPr>
            <w:tcW w:w="45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cs="Times New Roman"/>
                <w:bCs/>
                <w:color w:val="auto"/>
                <w:kern w:val="0"/>
                <w:sz w:val="24"/>
                <w:szCs w:val="24"/>
                <w:highlight w:val="none"/>
                <w:lang w:val="en-US" w:eastAsia="zh-CN" w:bidi="ar"/>
              </w:rPr>
              <w:t>位于</w:t>
            </w:r>
            <w:r>
              <w:rPr>
                <w:rFonts w:hint="default" w:ascii="Times New Roman" w:hAnsi="Times New Roman" w:cs="Times New Roman"/>
                <w:bCs/>
                <w:color w:val="auto"/>
                <w:kern w:val="0"/>
                <w:sz w:val="24"/>
                <w:szCs w:val="24"/>
                <w:highlight w:val="none"/>
                <w:lang w:val="en-US" w:eastAsia="zh-CN" w:bidi="ar"/>
              </w:rPr>
              <w:t>井研县，2023年建成投用，具备</w:t>
            </w:r>
            <w:r>
              <w:rPr>
                <w:rFonts w:hint="default" w:ascii="Times New Roman" w:hAnsi="Times New Roman" w:eastAsia="仿宋_GB2312" w:cs="Times New Roman"/>
                <w:bCs/>
                <w:color w:val="auto"/>
                <w:kern w:val="0"/>
                <w:sz w:val="24"/>
                <w:szCs w:val="24"/>
                <w:highlight w:val="none"/>
                <w:lang w:bidi="ar"/>
              </w:rPr>
              <w:t>集仓储加工、冷链物流、农产品展销、电子商务、农业技术服务等功能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vMerge w:val="continue"/>
            <w:noWrap/>
            <w:vAlign w:val="center"/>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p>
        </w:tc>
        <w:tc>
          <w:tcPr>
            <w:tcW w:w="106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犍为天御新农新城</w:t>
            </w:r>
          </w:p>
        </w:tc>
        <w:tc>
          <w:tcPr>
            <w:tcW w:w="451" w:type="pct"/>
            <w:noWrap/>
            <w:vAlign w:val="center"/>
          </w:tcPr>
          <w:p>
            <w:pPr>
              <w:pStyle w:val="2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eastAsia="仿宋_GB2312" w:cs="Times New Roman"/>
                <w:color w:val="auto"/>
                <w:kern w:val="3"/>
                <w:sz w:val="24"/>
                <w:szCs w:val="24"/>
                <w:lang w:val="en-US" w:eastAsia="zh-CN" w:bidi="ar-SA"/>
              </w:rPr>
            </w:pPr>
            <w:r>
              <w:rPr>
                <w:rFonts w:hint="default" w:ascii="Times New Roman" w:hAnsi="Times New Roman" w:eastAsia="仿宋_GB2312" w:cs="Times New Roman"/>
                <w:color w:val="auto"/>
                <w:kern w:val="3"/>
                <w:sz w:val="24"/>
                <w:szCs w:val="24"/>
                <w:lang w:val="en-US" w:eastAsia="zh-CN" w:bidi="ar-SA"/>
              </w:rPr>
              <w:t>——</w:t>
            </w:r>
          </w:p>
        </w:tc>
        <w:tc>
          <w:tcPr>
            <w:tcW w:w="3113" w:type="pct"/>
            <w:noWrap/>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bCs/>
                <w:color w:val="auto"/>
                <w:kern w:val="0"/>
                <w:sz w:val="24"/>
                <w:szCs w:val="24"/>
                <w:highlight w:val="none"/>
                <w:lang w:val="en-US" w:eastAsia="zh-CN" w:bidi="ar"/>
              </w:rPr>
            </w:pPr>
            <w:r>
              <w:rPr>
                <w:rFonts w:hint="default" w:cs="Times New Roman"/>
                <w:bCs/>
                <w:color w:val="auto"/>
                <w:kern w:val="0"/>
                <w:sz w:val="24"/>
                <w:szCs w:val="24"/>
                <w:highlight w:val="none"/>
                <w:lang w:val="en-US" w:eastAsia="zh-CN" w:bidi="ar"/>
              </w:rPr>
              <w:t>位于犍为县，</w:t>
            </w:r>
            <w:r>
              <w:rPr>
                <w:rFonts w:hint="default" w:ascii="Times New Roman" w:hAnsi="Times New Roman" w:cs="Times New Roman"/>
                <w:bCs/>
                <w:color w:val="auto"/>
                <w:kern w:val="0"/>
                <w:sz w:val="24"/>
                <w:szCs w:val="24"/>
                <w:highlight w:val="none"/>
                <w:lang w:val="en-US" w:eastAsia="zh-CN" w:bidi="ar"/>
              </w:rPr>
              <w:t>2018年建成投用，主要服务农产品</w:t>
            </w:r>
            <w:r>
              <w:rPr>
                <w:rFonts w:hint="default" w:cs="Times New Roman"/>
                <w:bCs/>
                <w:color w:val="auto"/>
                <w:kern w:val="0"/>
                <w:sz w:val="24"/>
                <w:szCs w:val="24"/>
                <w:highlight w:val="none"/>
                <w:lang w:val="en-US" w:eastAsia="zh-CN" w:bidi="ar"/>
              </w:rPr>
              <w:t>批发交易、展示展销和生鲜农副产品分拣、包装、</w:t>
            </w:r>
            <w:r>
              <w:rPr>
                <w:rFonts w:hint="default" w:ascii="Times New Roman" w:hAnsi="Times New Roman" w:cs="Times New Roman"/>
                <w:bCs/>
                <w:color w:val="auto"/>
                <w:kern w:val="0"/>
                <w:sz w:val="24"/>
                <w:szCs w:val="24"/>
                <w:highlight w:val="none"/>
                <w:lang w:val="en-US" w:eastAsia="zh-CN" w:bidi="ar"/>
              </w:rPr>
              <w:t>冷链</w:t>
            </w:r>
            <w:r>
              <w:rPr>
                <w:rFonts w:hint="default" w:cs="Times New Roman"/>
                <w:bCs/>
                <w:color w:val="auto"/>
                <w:kern w:val="0"/>
                <w:sz w:val="24"/>
                <w:szCs w:val="24"/>
                <w:highlight w:val="none"/>
                <w:lang w:val="en-US" w:eastAsia="zh-CN" w:bidi="ar"/>
              </w:rPr>
              <w:t>仓储物流</w:t>
            </w:r>
          </w:p>
        </w:tc>
      </w:tr>
    </w:tbl>
    <w:p>
      <w:pPr>
        <w:spacing w:line="600" w:lineRule="exact"/>
        <w:ind w:firstLine="640" w:firstLineChars="200"/>
        <w:rPr>
          <w:rFonts w:hint="default" w:ascii="Times New Roman" w:hAnsi="Times New Roman" w:cs="Times New Roman"/>
          <w:color w:val="auto"/>
          <w:lang w:val="en-US" w:eastAsia="zh-CN"/>
        </w:rPr>
        <w:sectPr>
          <w:headerReference r:id="rId13" w:type="default"/>
          <w:pgSz w:w="23811" w:h="16838" w:orient="landscape"/>
          <w:pgMar w:top="1800" w:right="1440" w:bottom="1800" w:left="1440" w:header="1134" w:footer="992" w:gutter="0"/>
          <w:pgNumType w:fmt="decimal"/>
          <w:cols w:space="425" w:num="1"/>
          <w:docGrid w:type="lines" w:linePitch="312" w:charSpace="0"/>
        </w:sectPr>
      </w:pPr>
    </w:p>
    <w:p>
      <w:pPr>
        <w:pStyle w:val="5"/>
        <w:keepNext w:val="0"/>
        <w:keepLines w:val="0"/>
        <w:widowControl/>
        <w:suppressLineNumbers w:val="0"/>
        <w:jc w:val="left"/>
        <w:rPr>
          <w:rFonts w:hint="default"/>
          <w:color w:val="auto"/>
          <w:lang w:val="en-US" w:eastAsia="zh-CN"/>
        </w:rPr>
      </w:pPr>
      <w:r>
        <w:rPr>
          <w:rFonts w:hint="eastAsia"/>
          <w:color w:val="auto"/>
          <w:lang w:val="en-US" w:eastAsia="zh-CN"/>
        </w:rPr>
        <w:t>存在问题</w:t>
      </w:r>
    </w:p>
    <w:p>
      <w:pPr>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一是物流场站功能单一、布局分散。乐山公铁水空方式齐全，但现状物流园区场站功能单一，与产业布局契合度不高，公路物流园区普遍规模小，园区规模效应发挥不足，缺乏海关监管作业场所等国际物流设施，快递物流、冷链物流等专业化园区布局分散，缺少能高效承载乐山高新区、化工循环产业园等工业园区货运需求的物流园区设施</w:t>
      </w:r>
      <w:r>
        <w:rPr>
          <w:rFonts w:hint="eastAsia" w:ascii="仿宋_GB2312" w:hAnsi="仿宋_GB2312" w:eastAsia="仿宋_GB2312" w:cs="仿宋_GB2312"/>
          <w:b w:val="0"/>
          <w:bCs w:val="0"/>
          <w:color w:val="auto"/>
          <w:lang w:val="en-US" w:eastAsia="zh-CN"/>
        </w:rPr>
        <w:t>，全省13个国家和省级物流枢纽城市中仅有乐山、凉山2个城市尚未建成多式联运货运枢纽</w:t>
      </w:r>
      <w:r>
        <w:rPr>
          <w:rFonts w:hint="eastAsia" w:ascii="仿宋_GB2312" w:hAnsi="仿宋_GB2312" w:eastAsia="仿宋_GB2312" w:cs="仿宋_GB2312"/>
          <w:b w:val="0"/>
          <w:bCs w:val="0"/>
          <w:lang w:val="en-US" w:eastAsia="zh-CN"/>
        </w:rPr>
        <w:t>。二是物流通道衔接不畅、效率有待提升。乐山虽已形成较为完善的铁路、公路和水运网络，但各通道间缺乏高效协同，多式联运体系尚未完全成熟。例如，铁路与水运之间的转运设施不足，导致货物在不同运输方式间转换时耗时较长，增加了物流成本。</w:t>
      </w:r>
    </w:p>
    <w:p>
      <w:pPr>
        <w:keepNext w:val="0"/>
        <w:keepLines w:val="0"/>
        <w:widowControl/>
        <w:suppressLineNumbers w:val="0"/>
        <w:jc w:val="left"/>
        <w:rPr>
          <w:rFonts w:hint="eastAsia"/>
          <w:color w:val="auto"/>
          <w:lang w:val="en-US" w:eastAsia="zh-CN"/>
        </w:rPr>
      </w:pPr>
      <w:r>
        <w:rPr>
          <w:rFonts w:hint="eastAsia" w:ascii="仿宋_GB2312" w:hAnsi="仿宋_GB2312" w:eastAsia="仿宋_GB2312" w:cs="仿宋_GB2312"/>
          <w:b w:val="0"/>
          <w:bCs w:val="0"/>
          <w:color w:val="auto"/>
          <w:lang w:val="en-US" w:eastAsia="zh-CN"/>
        </w:rPr>
        <w:t>整体来看，由于缺乏高能级、现代化、规模化的多式联运综合货运枢纽，乐山与其他省内重要物流枢纽承载城市相比，在承载国</w:t>
      </w:r>
      <w:r>
        <w:rPr>
          <w:rFonts w:hint="eastAsia"/>
          <w:color w:val="auto"/>
          <w:lang w:val="en-US" w:eastAsia="zh-CN"/>
        </w:rPr>
        <w:t>家和省级重要枢纽功能方面仍然存在较大差距。</w:t>
      </w:r>
    </w:p>
    <w:p>
      <w:pPr>
        <w:pStyle w:val="7"/>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5</w:t>
      </w:r>
      <w:r>
        <w:rPr>
          <w:color w:val="auto"/>
        </w:rPr>
        <w:fldChar w:fldCharType="end"/>
      </w:r>
      <w:r>
        <w:rPr>
          <w:rFonts w:hint="eastAsia"/>
          <w:color w:val="auto"/>
          <w:lang w:val="en-US" w:eastAsia="zh-CN"/>
        </w:rPr>
        <w:t xml:space="preserve"> 乐山与省内其他重要物流枢纽城市承载功能对比</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2038"/>
        <w:gridCol w:w="966"/>
        <w:gridCol w:w="937"/>
        <w:gridCol w:w="952"/>
        <w:gridCol w:w="1130"/>
        <w:gridCol w:w="917"/>
        <w:gridCol w:w="1241"/>
        <w:gridCol w:w="966"/>
        <w:gridCol w:w="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0" w:hRule="atLeast"/>
          <w:tblHeader/>
        </w:trPr>
        <w:tc>
          <w:tcPr>
            <w:tcW w:w="1007"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类型</w:t>
            </w:r>
          </w:p>
        </w:tc>
        <w:tc>
          <w:tcPr>
            <w:tcW w:w="477"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乐山</w:t>
            </w:r>
          </w:p>
        </w:tc>
        <w:tc>
          <w:tcPr>
            <w:tcW w:w="463"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内江</w:t>
            </w:r>
          </w:p>
        </w:tc>
        <w:tc>
          <w:tcPr>
            <w:tcW w:w="470"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自贡</w:t>
            </w:r>
          </w:p>
        </w:tc>
        <w:tc>
          <w:tcPr>
            <w:tcW w:w="558"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宜宾</w:t>
            </w:r>
          </w:p>
        </w:tc>
        <w:tc>
          <w:tcPr>
            <w:tcW w:w="453"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泸州</w:t>
            </w:r>
          </w:p>
        </w:tc>
        <w:tc>
          <w:tcPr>
            <w:tcW w:w="613"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攀枝花</w:t>
            </w:r>
          </w:p>
        </w:tc>
        <w:tc>
          <w:tcPr>
            <w:tcW w:w="477"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绵阳</w:t>
            </w:r>
          </w:p>
        </w:tc>
        <w:tc>
          <w:tcPr>
            <w:tcW w:w="477"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遂宁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21" w:hRule="atLeast"/>
          <w:tblHeader/>
        </w:trPr>
        <w:tc>
          <w:tcPr>
            <w:tcW w:w="100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国家物流枢纽</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6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0"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558"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5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61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0" w:hRule="atLeast"/>
        </w:trPr>
        <w:tc>
          <w:tcPr>
            <w:tcW w:w="100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国家骨干冷链物流基地</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6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0"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558"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5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61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102" w:hRule="atLeast"/>
        </w:trPr>
        <w:tc>
          <w:tcPr>
            <w:tcW w:w="100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国家多式联运示范工程</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6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0"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558"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5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61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0" w:hRule="atLeast"/>
        </w:trPr>
        <w:tc>
          <w:tcPr>
            <w:tcW w:w="100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国家级示范物流园区</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6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0"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558"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5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61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0" w:hRule="atLeast"/>
        </w:trPr>
        <w:tc>
          <w:tcPr>
            <w:tcW w:w="100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省级物流枢纽承载城市</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6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0"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558"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5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61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100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保税物流</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6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0"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558"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5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613"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c>
          <w:tcPr>
            <w:tcW w:w="477" w:type="pct"/>
            <w:shd w:val="clear" w:color="auto" w:fill="auto"/>
            <w:tcMar>
              <w:top w:w="72" w:type="dxa"/>
              <w:left w:w="144" w:type="dxa"/>
              <w:bottom w:w="72" w:type="dxa"/>
              <w:right w:w="144" w:type="dxa"/>
            </w:tcMar>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w:t>
            </w:r>
          </w:p>
        </w:tc>
      </w:tr>
    </w:tbl>
    <w:p>
      <w:pPr>
        <w:pStyle w:val="4"/>
        <w:ind w:firstLineChars="200"/>
        <w:rPr>
          <w:rFonts w:hint="eastAsia"/>
          <w:color w:val="auto"/>
          <w:lang w:val="en-US" w:eastAsia="zh-CN"/>
        </w:rPr>
      </w:pPr>
      <w:bookmarkStart w:id="60" w:name="_Toc3632"/>
      <w:bookmarkStart w:id="61" w:name="_Toc26971"/>
      <w:r>
        <w:rPr>
          <w:rFonts w:hint="eastAsia"/>
          <w:color w:val="auto"/>
          <w:lang w:val="en-US" w:eastAsia="zh-CN"/>
        </w:rPr>
        <w:t>物流市场发展情况</w:t>
      </w:r>
      <w:bookmarkEnd w:id="60"/>
      <w:bookmarkEnd w:id="61"/>
    </w:p>
    <w:p>
      <w:pPr>
        <w:keepNext w:val="0"/>
        <w:keepLines w:val="0"/>
        <w:widowControl/>
        <w:suppressLineNumbers w:val="0"/>
        <w:jc w:val="left"/>
        <w:rPr>
          <w:rFonts w:hint="eastAsia" w:cs="Times New Roman"/>
          <w:b w:val="0"/>
          <w:bCs w:val="0"/>
          <w:color w:val="auto"/>
          <w:lang w:val="en-US" w:eastAsia="zh-CN"/>
        </w:rPr>
      </w:pPr>
      <w:r>
        <w:rPr>
          <w:rFonts w:hint="eastAsia" w:cs="Times New Roman"/>
          <w:b w:val="0"/>
          <w:bCs w:val="0"/>
          <w:color w:val="auto"/>
          <w:lang w:val="en-US" w:eastAsia="zh-CN"/>
        </w:rPr>
        <w:t>乐山市委、市政府高度重视现代物流业发展，持续优化物流营商环境，不断推动物流软实力建设，物流产业规模和质量逐年提高。</w:t>
      </w:r>
      <w:r>
        <w:rPr>
          <w:rFonts w:hint="eastAsia" w:ascii="Times New Roman" w:hAnsi="Times New Roman" w:cs="Times New Roman"/>
          <w:b w:val="0"/>
          <w:bCs w:val="0"/>
          <w:color w:val="auto"/>
          <w:lang w:val="en-US" w:eastAsia="zh-CN"/>
        </w:rPr>
        <w:t>2024</w:t>
      </w:r>
      <w:r>
        <w:rPr>
          <w:rFonts w:hint="eastAsia" w:cs="Times New Roman"/>
          <w:b w:val="0"/>
          <w:bCs w:val="0"/>
          <w:color w:val="auto"/>
          <w:lang w:val="en-US" w:eastAsia="zh-CN"/>
        </w:rPr>
        <w:t>年</w:t>
      </w:r>
      <w:r>
        <w:rPr>
          <w:rFonts w:hint="eastAsia" w:ascii="Times New Roman" w:hAnsi="Times New Roman" w:cs="Times New Roman"/>
          <w:b w:val="0"/>
          <w:bCs w:val="0"/>
          <w:color w:val="auto"/>
          <w:lang w:val="en-US" w:eastAsia="zh-CN"/>
        </w:rPr>
        <w:t>乐山市社会物流总额为4352.8亿元，同比增长5.</w:t>
      </w:r>
      <w:r>
        <w:rPr>
          <w:rFonts w:hint="eastAsia" w:cs="Times New Roman"/>
          <w:b w:val="0"/>
          <w:bCs w:val="0"/>
          <w:color w:val="auto"/>
          <w:lang w:val="en-US" w:eastAsia="zh-CN"/>
        </w:rPr>
        <w:t>1</w:t>
      </w:r>
      <w:r>
        <w:rPr>
          <w:rFonts w:hint="eastAsia" w:ascii="Times New Roman" w:hAnsi="Times New Roman" w:cs="Times New Roman"/>
          <w:b w:val="0"/>
          <w:bCs w:val="0"/>
          <w:color w:val="auto"/>
          <w:lang w:val="en-US" w:eastAsia="zh-CN"/>
        </w:rPr>
        <w:t>%，占全省社会物流总额（101929亿元）的4.</w:t>
      </w:r>
      <w:r>
        <w:rPr>
          <w:rFonts w:hint="eastAsia" w:cs="Times New Roman"/>
          <w:b w:val="0"/>
          <w:bCs w:val="0"/>
          <w:color w:val="auto"/>
          <w:lang w:val="en-US" w:eastAsia="zh-CN"/>
        </w:rPr>
        <w:t>3</w:t>
      </w:r>
      <w:r>
        <w:rPr>
          <w:rFonts w:hint="eastAsia" w:ascii="Times New Roman" w:hAnsi="Times New Roman" w:cs="Times New Roman"/>
          <w:b w:val="0"/>
          <w:bCs w:val="0"/>
          <w:color w:val="auto"/>
          <w:lang w:val="en-US" w:eastAsia="zh-CN"/>
        </w:rPr>
        <w:t>%</w:t>
      </w:r>
      <w:r>
        <w:rPr>
          <w:rFonts w:hint="eastAsia" w:cs="Times New Roman"/>
          <w:b w:val="0"/>
          <w:bCs w:val="0"/>
          <w:color w:val="auto"/>
          <w:lang w:val="en-US" w:eastAsia="zh-CN"/>
        </w:rPr>
        <w:t>；每万吨货运量完成社会物流总额0.29亿元，仅为全省平均水平（0.5亿元/万吨）的58%，低附加值货物占比较大。全社会物流总费用为356.5亿元，与地区生产总值的比率为14.1%，较全省平均水平（14.2%）低0.1个百分点。</w:t>
      </w:r>
    </w:p>
    <w:p>
      <w:pPr>
        <w:pStyle w:val="5"/>
        <w:bidi w:val="0"/>
        <w:rPr>
          <w:rFonts w:hint="eastAsia"/>
          <w:color w:val="auto"/>
          <w:lang w:val="en-US" w:eastAsia="zh-CN"/>
        </w:rPr>
      </w:pPr>
      <w:r>
        <w:rPr>
          <w:rFonts w:hint="eastAsia"/>
          <w:color w:val="auto"/>
          <w:lang w:val="en-US" w:eastAsia="zh-CN"/>
        </w:rPr>
        <w:t>运量及结构</w:t>
      </w:r>
    </w:p>
    <w:p>
      <w:pPr>
        <w:keepNext w:val="0"/>
        <w:keepLines w:val="0"/>
        <w:pageBreakBefore w:val="0"/>
        <w:widowControl w:val="0"/>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b w:val="0"/>
          <w:bCs w:val="0"/>
          <w:color w:val="auto"/>
          <w:lang w:val="en-US" w:eastAsia="zh-CN"/>
        </w:rPr>
      </w:pPr>
      <w:r>
        <w:rPr>
          <w:rFonts w:hint="eastAsia" w:ascii="Times New Roman" w:hAnsi="Times New Roman" w:cs="Times New Roman"/>
          <w:b w:val="0"/>
          <w:bCs w:val="0"/>
          <w:color w:val="auto"/>
          <w:lang w:val="en-US" w:eastAsia="zh-CN"/>
        </w:rPr>
        <w:t>2024年，全市完成货运总量1382</w:t>
      </w:r>
      <w:r>
        <w:rPr>
          <w:rFonts w:hint="eastAsia" w:cs="Times New Roman"/>
          <w:b w:val="0"/>
          <w:bCs w:val="0"/>
          <w:color w:val="auto"/>
          <w:lang w:val="en-US" w:eastAsia="zh-CN"/>
        </w:rPr>
        <w:t>7</w:t>
      </w:r>
      <w:r>
        <w:rPr>
          <w:rFonts w:hint="eastAsia" w:ascii="Times New Roman" w:hAnsi="Times New Roman" w:cs="Times New Roman"/>
          <w:b w:val="0"/>
          <w:bCs w:val="0"/>
          <w:color w:val="auto"/>
          <w:lang w:val="en-US" w:eastAsia="zh-CN"/>
        </w:rPr>
        <w:t>万吨</w:t>
      </w:r>
      <w:r>
        <w:rPr>
          <w:rStyle w:val="25"/>
          <w:rFonts w:hint="eastAsia" w:ascii="Times New Roman" w:hAnsi="Times New Roman" w:cs="Times New Roman"/>
          <w:b w:val="0"/>
          <w:bCs w:val="0"/>
          <w:color w:val="auto"/>
          <w:lang w:val="en-US" w:eastAsia="zh-CN"/>
        </w:rPr>
        <w:footnoteReference w:id="2"/>
      </w:r>
      <w:r>
        <w:rPr>
          <w:rFonts w:hint="eastAsia" w:ascii="Times New Roman" w:hAnsi="Times New Roman" w:cs="Times New Roman"/>
          <w:b w:val="0"/>
          <w:bCs w:val="0"/>
          <w:color w:val="auto"/>
          <w:lang w:val="en-US" w:eastAsia="zh-CN"/>
        </w:rPr>
        <w:t>，其中公路</w:t>
      </w:r>
      <w:r>
        <w:rPr>
          <w:rFonts w:hint="eastAsia" w:cs="Times New Roman"/>
          <w:b w:val="0"/>
          <w:bCs w:val="0"/>
          <w:color w:val="auto"/>
          <w:lang w:val="en-US" w:eastAsia="zh-CN"/>
        </w:rPr>
        <w:t>货运量</w:t>
      </w:r>
      <w:r>
        <w:rPr>
          <w:rFonts w:hint="eastAsia" w:ascii="Times New Roman" w:hAnsi="Times New Roman" w:cs="Times New Roman"/>
          <w:b w:val="0"/>
          <w:bCs w:val="0"/>
          <w:color w:val="auto"/>
          <w:lang w:val="en-US" w:eastAsia="zh-CN"/>
        </w:rPr>
        <w:t>占比达93.9%，高于全国（72.4%）21.</w:t>
      </w:r>
      <w:r>
        <w:rPr>
          <w:rFonts w:hint="eastAsia" w:cs="Times New Roman"/>
          <w:b w:val="0"/>
          <w:bCs w:val="0"/>
          <w:color w:val="auto"/>
          <w:lang w:val="en-US" w:eastAsia="zh-CN"/>
        </w:rPr>
        <w:t>5</w:t>
      </w:r>
      <w:r>
        <w:rPr>
          <w:rFonts w:hint="eastAsia" w:ascii="Times New Roman" w:hAnsi="Times New Roman" w:cs="Times New Roman"/>
          <w:b w:val="0"/>
          <w:bCs w:val="0"/>
          <w:color w:val="auto"/>
          <w:lang w:val="en-US" w:eastAsia="zh-CN"/>
        </w:rPr>
        <w:t>个百分点，高于全省（93%）0.</w:t>
      </w:r>
      <w:r>
        <w:rPr>
          <w:rFonts w:hint="eastAsia" w:cs="Times New Roman"/>
          <w:b w:val="0"/>
          <w:bCs w:val="0"/>
          <w:color w:val="auto"/>
          <w:lang w:val="en-US" w:eastAsia="zh-CN"/>
        </w:rPr>
        <w:t>9</w:t>
      </w:r>
      <w:r>
        <w:rPr>
          <w:rFonts w:hint="eastAsia" w:ascii="Times New Roman" w:hAnsi="Times New Roman" w:cs="Times New Roman"/>
          <w:b w:val="0"/>
          <w:bCs w:val="0"/>
          <w:color w:val="auto"/>
          <w:lang w:val="en-US" w:eastAsia="zh-CN"/>
        </w:rPr>
        <w:t>个百分点</w:t>
      </w:r>
      <w:r>
        <w:rPr>
          <w:rFonts w:hint="eastAsia" w:cs="Times New Roman"/>
          <w:b w:val="0"/>
          <w:bCs w:val="0"/>
          <w:color w:val="auto"/>
          <w:lang w:val="en-US" w:eastAsia="zh-CN"/>
        </w:rPr>
        <w:t>；</w:t>
      </w:r>
      <w:r>
        <w:rPr>
          <w:rFonts w:hint="eastAsia" w:ascii="Times New Roman" w:hAnsi="Times New Roman" w:cs="Times New Roman"/>
          <w:b w:val="0"/>
          <w:bCs w:val="0"/>
          <w:color w:val="auto"/>
          <w:lang w:val="en-US" w:eastAsia="zh-CN"/>
        </w:rPr>
        <w:t>铁路货运量占比为2.7%，低于全国（8.9%）6.2个百分点，低于全省（3.4%）0.7个百分点；水路货运量占比为3.4%，低于全国（17%）13.6个百分点，低于全省（3.6%）0.2个百分点。</w:t>
      </w:r>
    </w:p>
    <w:p>
      <w:pPr>
        <w:pStyle w:val="7"/>
        <w:keepNext/>
        <w:keepLines w:val="0"/>
        <w:pageBreakBefore w:val="0"/>
        <w:widowControl w:val="0"/>
        <w:kinsoku/>
        <w:wordWrap/>
        <w:overflowPunct/>
        <w:topLinePunct w:val="0"/>
        <w:autoSpaceDE/>
        <w:autoSpaceDN/>
        <w:bidi w:val="0"/>
        <w:adjustRightInd w:val="0"/>
        <w:snapToGrid w:val="0"/>
        <w:textAlignment w:val="auto"/>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6</w:t>
      </w:r>
      <w:r>
        <w:rPr>
          <w:color w:val="auto"/>
        </w:rPr>
        <w:fldChar w:fldCharType="end"/>
      </w:r>
      <w:r>
        <w:rPr>
          <w:rFonts w:hint="eastAsia"/>
          <w:color w:val="auto"/>
          <w:lang w:val="en-US" w:eastAsia="zh-CN"/>
        </w:rPr>
        <w:t xml:space="preserve"> </w:t>
      </w:r>
      <w:r>
        <w:rPr>
          <w:rFonts w:hint="default" w:ascii="Times New Roman" w:hAnsi="Times New Roman" w:eastAsia="楷体" w:cs="Times New Roman"/>
          <w:color w:val="auto"/>
          <w:kern w:val="3"/>
          <w:sz w:val="28"/>
          <w:szCs w:val="20"/>
          <w:highlight w:val="none"/>
          <w:lang w:val="en-US" w:eastAsia="zh-CN" w:bidi="ar-SA"/>
        </w:rPr>
        <w:t>乐山202</w:t>
      </w:r>
      <w:r>
        <w:rPr>
          <w:rFonts w:hint="eastAsia" w:cs="Times New Roman"/>
          <w:color w:val="auto"/>
          <w:kern w:val="3"/>
          <w:sz w:val="28"/>
          <w:szCs w:val="20"/>
          <w:highlight w:val="none"/>
          <w:lang w:val="en-US" w:eastAsia="zh-CN" w:bidi="ar-SA"/>
        </w:rPr>
        <w:t>0</w:t>
      </w:r>
      <w:r>
        <w:rPr>
          <w:rFonts w:hint="eastAsia" w:eastAsia="楷体" w:cs="Times New Roman"/>
          <w:color w:val="auto"/>
          <w:kern w:val="3"/>
          <w:sz w:val="28"/>
          <w:szCs w:val="20"/>
          <w:highlight w:val="none"/>
          <w:lang w:val="en-US" w:eastAsia="zh-CN" w:bidi="ar-SA"/>
        </w:rPr>
        <w:t>—</w:t>
      </w:r>
      <w:r>
        <w:rPr>
          <w:rFonts w:hint="default" w:ascii="Times New Roman" w:hAnsi="Times New Roman" w:eastAsia="楷体" w:cs="Times New Roman"/>
          <w:color w:val="auto"/>
          <w:kern w:val="3"/>
          <w:sz w:val="28"/>
          <w:szCs w:val="20"/>
          <w:highlight w:val="none"/>
          <w:lang w:val="en-US" w:eastAsia="zh-CN" w:bidi="ar-SA"/>
        </w:rPr>
        <w:t>2024年</w:t>
      </w:r>
      <w:r>
        <w:rPr>
          <w:rFonts w:hint="eastAsia" w:eastAsia="楷体" w:cs="Times New Roman"/>
          <w:color w:val="auto"/>
          <w:kern w:val="3"/>
          <w:sz w:val="28"/>
          <w:szCs w:val="20"/>
          <w:highlight w:val="none"/>
          <w:lang w:val="en-US" w:eastAsia="zh-CN" w:bidi="ar-SA"/>
        </w:rPr>
        <w:t>全社会货运</w:t>
      </w:r>
      <w:r>
        <w:rPr>
          <w:rFonts w:hint="default" w:ascii="Times New Roman" w:hAnsi="Times New Roman" w:eastAsia="楷体" w:cs="Times New Roman"/>
          <w:color w:val="auto"/>
          <w:kern w:val="3"/>
          <w:sz w:val="28"/>
          <w:szCs w:val="20"/>
          <w:highlight w:val="none"/>
          <w:lang w:val="en-US" w:eastAsia="zh-CN" w:bidi="ar-SA"/>
        </w:rPr>
        <w:t>量明细表（</w:t>
      </w:r>
      <w:r>
        <w:rPr>
          <w:rFonts w:hint="eastAsia" w:eastAsia="楷体" w:cs="Times New Roman"/>
          <w:color w:val="auto"/>
          <w:kern w:val="3"/>
          <w:sz w:val="28"/>
          <w:szCs w:val="20"/>
          <w:highlight w:val="none"/>
          <w:lang w:val="en-US" w:eastAsia="zh-CN" w:bidi="ar-SA"/>
        </w:rPr>
        <w:t>万</w:t>
      </w:r>
      <w:r>
        <w:rPr>
          <w:rFonts w:hint="default" w:ascii="Times New Roman" w:hAnsi="Times New Roman" w:eastAsia="楷体" w:cs="Times New Roman"/>
          <w:color w:val="auto"/>
          <w:kern w:val="3"/>
          <w:sz w:val="28"/>
          <w:szCs w:val="20"/>
          <w:highlight w:val="none"/>
          <w:lang w:val="en-US" w:eastAsia="zh-CN" w:bidi="ar-SA"/>
        </w:rPr>
        <w:t>吨）</w:t>
      </w:r>
    </w:p>
    <w:tbl>
      <w:tblPr>
        <w:tblStyle w:val="3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4"/>
        <w:gridCol w:w="1427"/>
        <w:gridCol w:w="1429"/>
        <w:gridCol w:w="1353"/>
        <w:gridCol w:w="1356"/>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1552" w:type="pct"/>
            <w:tcBorders>
              <w:tl2br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1920" w:firstLineChars="800"/>
              <w:textAlignment w:val="auto"/>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年 份</w:t>
            </w:r>
          </w:p>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textAlignment w:val="auto"/>
              <w:rPr>
                <w:rFonts w:hint="default" w:ascii="Times New Roman" w:hAnsi="Times New Roman" w:eastAsia="黑体" w:cs="Times New Roman"/>
                <w:color w:val="auto"/>
                <w:kern w:val="0"/>
                <w:sz w:val="24"/>
                <w:szCs w:val="24"/>
                <w:highlight w:val="none"/>
                <w:lang w:val="en-US" w:eastAsia="zh-CN"/>
              </w:rPr>
            </w:pPr>
            <w:r>
              <w:rPr>
                <w:rFonts w:hint="default" w:ascii="Times New Roman" w:hAnsi="Times New Roman" w:eastAsia="黑体" w:cs="Times New Roman"/>
                <w:color w:val="auto"/>
                <w:kern w:val="0"/>
                <w:sz w:val="24"/>
                <w:szCs w:val="24"/>
                <w:highlight w:val="none"/>
                <w:lang w:val="en-US" w:eastAsia="zh-CN"/>
              </w:rPr>
              <w:t>货运量</w:t>
            </w:r>
          </w:p>
        </w:tc>
        <w:tc>
          <w:tcPr>
            <w:tcW w:w="71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202</w:t>
            </w:r>
            <w:r>
              <w:rPr>
                <w:rFonts w:hint="eastAsia" w:eastAsia="黑体" w:cs="Times New Roman"/>
                <w:color w:val="auto"/>
                <w:kern w:val="0"/>
                <w:sz w:val="24"/>
                <w:szCs w:val="24"/>
                <w:highlight w:val="none"/>
                <w:lang w:val="en-US" w:eastAsia="zh-CN"/>
              </w:rPr>
              <w:t>0</w:t>
            </w:r>
            <w:r>
              <w:rPr>
                <w:rFonts w:hint="default" w:ascii="Times New Roman" w:hAnsi="Times New Roman" w:eastAsia="黑体" w:cs="Times New Roman"/>
                <w:color w:val="auto"/>
                <w:kern w:val="0"/>
                <w:sz w:val="24"/>
                <w:szCs w:val="24"/>
                <w:highlight w:val="none"/>
              </w:rPr>
              <w:t>年</w:t>
            </w:r>
          </w:p>
        </w:tc>
        <w:tc>
          <w:tcPr>
            <w:tcW w:w="7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202</w:t>
            </w:r>
            <w:r>
              <w:rPr>
                <w:rFonts w:hint="eastAsia" w:eastAsia="黑体" w:cs="Times New Roman"/>
                <w:color w:val="auto"/>
                <w:kern w:val="0"/>
                <w:sz w:val="24"/>
                <w:szCs w:val="24"/>
                <w:highlight w:val="none"/>
                <w:lang w:val="en-US" w:eastAsia="zh-CN"/>
              </w:rPr>
              <w:t>1</w:t>
            </w:r>
            <w:r>
              <w:rPr>
                <w:rFonts w:hint="default" w:ascii="Times New Roman" w:hAnsi="Times New Roman" w:eastAsia="黑体" w:cs="Times New Roman"/>
                <w:color w:val="auto"/>
                <w:kern w:val="0"/>
                <w:sz w:val="24"/>
                <w:szCs w:val="24"/>
                <w:highlight w:val="none"/>
              </w:rPr>
              <w:t>年</w:t>
            </w:r>
          </w:p>
        </w:tc>
        <w:tc>
          <w:tcPr>
            <w:tcW w:w="1074"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lang w:val="en-US" w:eastAsia="zh-CN"/>
              </w:rPr>
            </w:pPr>
            <w:r>
              <w:rPr>
                <w:rFonts w:hint="default" w:ascii="Times New Roman" w:hAnsi="Times New Roman" w:eastAsia="黑体" w:cs="Times New Roman"/>
                <w:color w:val="auto"/>
                <w:kern w:val="0"/>
                <w:sz w:val="24"/>
                <w:szCs w:val="24"/>
                <w:highlight w:val="none"/>
              </w:rPr>
              <w:t>202</w:t>
            </w:r>
            <w:r>
              <w:rPr>
                <w:rFonts w:hint="default" w:ascii="Times New Roman" w:hAnsi="Times New Roman" w:eastAsia="黑体" w:cs="Times New Roman"/>
                <w:color w:val="auto"/>
                <w:kern w:val="0"/>
                <w:sz w:val="24"/>
                <w:szCs w:val="24"/>
                <w:highlight w:val="none"/>
                <w:lang w:val="en-US" w:eastAsia="zh-CN"/>
              </w:rPr>
              <w:t>2</w:t>
            </w:r>
            <w:r>
              <w:rPr>
                <w:rFonts w:hint="default" w:ascii="Times New Roman" w:hAnsi="Times New Roman" w:eastAsia="黑体" w:cs="Times New Roman"/>
                <w:color w:val="auto"/>
                <w:kern w:val="0"/>
                <w:sz w:val="24"/>
                <w:szCs w:val="24"/>
                <w:highlight w:val="none"/>
              </w:rPr>
              <w:t>年</w:t>
            </w:r>
          </w:p>
        </w:tc>
        <w:tc>
          <w:tcPr>
            <w:tcW w:w="1076"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202</w:t>
            </w:r>
            <w:r>
              <w:rPr>
                <w:rFonts w:hint="default" w:ascii="Times New Roman" w:hAnsi="Times New Roman" w:eastAsia="黑体" w:cs="Times New Roman"/>
                <w:color w:val="auto"/>
                <w:kern w:val="0"/>
                <w:sz w:val="24"/>
                <w:szCs w:val="24"/>
                <w:highlight w:val="none"/>
                <w:lang w:val="en-US" w:eastAsia="zh-CN"/>
              </w:rPr>
              <w:t>3</w:t>
            </w:r>
            <w:r>
              <w:rPr>
                <w:rFonts w:hint="default" w:ascii="Times New Roman" w:hAnsi="Times New Roman" w:eastAsia="黑体" w:cs="Times New Roman"/>
                <w:color w:val="auto"/>
                <w:kern w:val="0"/>
                <w:sz w:val="24"/>
                <w:szCs w:val="24"/>
                <w:highlight w:val="none"/>
              </w:rPr>
              <w:t>年</w:t>
            </w:r>
          </w:p>
        </w:tc>
        <w:tc>
          <w:tcPr>
            <w:tcW w:w="1076"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lang w:val="en-US" w:eastAsia="zh-CN"/>
              </w:rPr>
              <w:t>2024年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2" w:type="pct"/>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default" w:cs="Times New Roman"/>
                <w:bCs/>
                <w:color w:val="auto"/>
                <w:kern w:val="0"/>
                <w:sz w:val="24"/>
                <w:szCs w:val="24"/>
                <w:highlight w:val="none"/>
                <w:lang w:val="en-US" w:eastAsia="zh-CN" w:bidi="ar"/>
              </w:rPr>
              <w:t>铁路货运量</w:t>
            </w:r>
          </w:p>
        </w:tc>
        <w:tc>
          <w:tcPr>
            <w:tcW w:w="711"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437</w:t>
            </w:r>
          </w:p>
        </w:tc>
        <w:tc>
          <w:tcPr>
            <w:tcW w:w="712"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408</w:t>
            </w:r>
          </w:p>
        </w:tc>
        <w:tc>
          <w:tcPr>
            <w:tcW w:w="1074"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cs="Times New Roman"/>
                <w:bCs/>
                <w:i w:val="0"/>
                <w:iCs w:val="0"/>
                <w:color w:val="auto"/>
                <w:kern w:val="0"/>
                <w:sz w:val="24"/>
                <w:szCs w:val="24"/>
                <w:highlight w:val="none"/>
                <w:u w:val="none"/>
                <w:lang w:val="en-US" w:eastAsia="zh-CN" w:bidi="ar"/>
              </w:rPr>
              <w:t>443</w:t>
            </w:r>
          </w:p>
        </w:tc>
        <w:tc>
          <w:tcPr>
            <w:tcW w:w="1076"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cs="Times New Roman"/>
                <w:bCs/>
                <w:i w:val="0"/>
                <w:iCs w:val="0"/>
                <w:color w:val="auto"/>
                <w:kern w:val="0"/>
                <w:sz w:val="24"/>
                <w:szCs w:val="24"/>
                <w:highlight w:val="none"/>
                <w:u w:val="none"/>
                <w:lang w:val="en-US" w:eastAsia="zh-CN" w:bidi="ar"/>
              </w:rPr>
              <w:t>406</w:t>
            </w:r>
          </w:p>
        </w:tc>
        <w:tc>
          <w:tcPr>
            <w:tcW w:w="1076"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cs="Times New Roman"/>
                <w:bCs/>
                <w:i w:val="0"/>
                <w:iCs w:val="0"/>
                <w:color w:val="auto"/>
                <w:kern w:val="0"/>
                <w:sz w:val="24"/>
                <w:szCs w:val="24"/>
                <w:highlight w:val="none"/>
                <w:u w:val="none"/>
                <w:lang w:val="en-US" w:eastAsia="zh-CN" w:bidi="ar"/>
              </w:rPr>
              <w:t>376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2" w:type="pct"/>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eastAsia" w:ascii="Times New Roman" w:hAnsi="Times New Roman" w:eastAsia="仿宋_GB2312" w:cs="Times New Roman"/>
                <w:bCs/>
                <w:color w:val="auto"/>
                <w:kern w:val="0"/>
                <w:sz w:val="24"/>
                <w:szCs w:val="24"/>
                <w:highlight w:val="none"/>
                <w:lang w:bidi="ar"/>
              </w:rPr>
            </w:pPr>
            <w:r>
              <w:rPr>
                <w:rFonts w:hint="eastAsia" w:ascii="Times New Roman" w:hAnsi="Times New Roman" w:eastAsia="仿宋_GB2312" w:cs="Times New Roman"/>
                <w:bCs/>
                <w:color w:val="auto"/>
                <w:kern w:val="0"/>
                <w:sz w:val="24"/>
                <w:szCs w:val="24"/>
                <w:highlight w:val="none"/>
                <w:lang w:bidi="ar"/>
              </w:rPr>
              <w:t>公路</w:t>
            </w:r>
            <w:r>
              <w:rPr>
                <w:rFonts w:hint="default" w:cs="Times New Roman"/>
                <w:bCs/>
                <w:color w:val="auto"/>
                <w:kern w:val="0"/>
                <w:sz w:val="24"/>
                <w:szCs w:val="24"/>
                <w:highlight w:val="none"/>
                <w:lang w:val="en-US" w:eastAsia="zh-CN" w:bidi="ar"/>
              </w:rPr>
              <w:t>货运</w:t>
            </w:r>
            <w:r>
              <w:rPr>
                <w:rFonts w:hint="eastAsia" w:ascii="Times New Roman" w:hAnsi="Times New Roman" w:eastAsia="仿宋_GB2312" w:cs="Times New Roman"/>
                <w:bCs/>
                <w:color w:val="auto"/>
                <w:kern w:val="0"/>
                <w:sz w:val="24"/>
                <w:szCs w:val="24"/>
                <w:highlight w:val="none"/>
                <w:lang w:bidi="ar"/>
              </w:rPr>
              <w:t>量</w:t>
            </w:r>
          </w:p>
        </w:tc>
        <w:tc>
          <w:tcPr>
            <w:tcW w:w="711"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12481</w:t>
            </w:r>
          </w:p>
        </w:tc>
        <w:tc>
          <w:tcPr>
            <w:tcW w:w="712"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13738</w:t>
            </w:r>
          </w:p>
        </w:tc>
        <w:tc>
          <w:tcPr>
            <w:tcW w:w="1074"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eastAsia"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eastAsia="仿宋_GB2312" w:cs="Times New Roman"/>
                <w:bCs/>
                <w:i w:val="0"/>
                <w:iCs w:val="0"/>
                <w:color w:val="auto"/>
                <w:kern w:val="0"/>
                <w:sz w:val="24"/>
                <w:szCs w:val="24"/>
                <w:highlight w:val="none"/>
                <w:u w:val="none"/>
                <w:lang w:val="en-US" w:eastAsia="zh-CN" w:bidi="ar"/>
              </w:rPr>
              <w:t>10114</w:t>
            </w:r>
          </w:p>
        </w:tc>
        <w:tc>
          <w:tcPr>
            <w:tcW w:w="1076"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eastAsia"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eastAsia="仿宋_GB2312" w:cs="Times New Roman"/>
                <w:bCs/>
                <w:i w:val="0"/>
                <w:iCs w:val="0"/>
                <w:color w:val="auto"/>
                <w:kern w:val="0"/>
                <w:sz w:val="24"/>
                <w:szCs w:val="24"/>
                <w:highlight w:val="none"/>
                <w:u w:val="none"/>
                <w:lang w:val="en-US" w:eastAsia="zh-CN" w:bidi="ar"/>
              </w:rPr>
              <w:t>13412</w:t>
            </w:r>
          </w:p>
        </w:tc>
        <w:tc>
          <w:tcPr>
            <w:tcW w:w="1076"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eastAsia"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eastAsia="仿宋_GB2312" w:cs="Times New Roman"/>
                <w:bCs/>
                <w:i w:val="0"/>
                <w:iCs w:val="0"/>
                <w:color w:val="auto"/>
                <w:kern w:val="0"/>
                <w:sz w:val="24"/>
                <w:szCs w:val="24"/>
                <w:highlight w:val="none"/>
                <w:u w:val="none"/>
                <w:lang w:val="en-US" w:eastAsia="zh-CN" w:bidi="ar"/>
              </w:rPr>
              <w:t>12977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2" w:type="pct"/>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eastAsia" w:ascii="Times New Roman" w:hAnsi="Times New Roman" w:eastAsia="仿宋_GB2312" w:cs="Times New Roman"/>
                <w:bCs/>
                <w:color w:val="auto"/>
                <w:kern w:val="0"/>
                <w:sz w:val="24"/>
                <w:szCs w:val="24"/>
                <w:highlight w:val="none"/>
                <w:lang w:bidi="ar"/>
              </w:rPr>
            </w:pPr>
            <w:r>
              <w:rPr>
                <w:rFonts w:hint="eastAsia" w:ascii="Times New Roman" w:hAnsi="Times New Roman" w:cs="Times New Roman"/>
                <w:bCs/>
                <w:color w:val="auto"/>
                <w:kern w:val="0"/>
                <w:sz w:val="24"/>
                <w:szCs w:val="24"/>
                <w:highlight w:val="none"/>
                <w:lang w:val="en-US" w:eastAsia="zh-CN" w:bidi="ar"/>
              </w:rPr>
              <w:t>水</w:t>
            </w:r>
            <w:r>
              <w:rPr>
                <w:rFonts w:hint="eastAsia" w:ascii="Times New Roman" w:hAnsi="Times New Roman" w:eastAsia="仿宋_GB2312" w:cs="Times New Roman"/>
                <w:bCs/>
                <w:color w:val="auto"/>
                <w:kern w:val="0"/>
                <w:sz w:val="24"/>
                <w:szCs w:val="24"/>
                <w:highlight w:val="none"/>
                <w:lang w:bidi="ar"/>
              </w:rPr>
              <w:t>路</w:t>
            </w:r>
            <w:r>
              <w:rPr>
                <w:rFonts w:hint="default" w:cs="Times New Roman"/>
                <w:bCs/>
                <w:color w:val="auto"/>
                <w:kern w:val="0"/>
                <w:sz w:val="24"/>
                <w:szCs w:val="24"/>
                <w:highlight w:val="none"/>
                <w:lang w:val="en-US" w:eastAsia="zh-CN" w:bidi="ar"/>
              </w:rPr>
              <w:t>货运</w:t>
            </w:r>
            <w:r>
              <w:rPr>
                <w:rFonts w:hint="eastAsia" w:ascii="Times New Roman" w:hAnsi="Times New Roman" w:eastAsia="仿宋_GB2312" w:cs="Times New Roman"/>
                <w:bCs/>
                <w:color w:val="auto"/>
                <w:kern w:val="0"/>
                <w:sz w:val="24"/>
                <w:szCs w:val="24"/>
                <w:highlight w:val="none"/>
                <w:lang w:bidi="ar"/>
              </w:rPr>
              <w:t>量</w:t>
            </w:r>
          </w:p>
        </w:tc>
        <w:tc>
          <w:tcPr>
            <w:tcW w:w="711"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261</w:t>
            </w:r>
          </w:p>
        </w:tc>
        <w:tc>
          <w:tcPr>
            <w:tcW w:w="712"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262</w:t>
            </w:r>
          </w:p>
        </w:tc>
        <w:tc>
          <w:tcPr>
            <w:tcW w:w="1074"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eastAsia"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eastAsia="仿宋_GB2312" w:cs="Times New Roman"/>
                <w:bCs/>
                <w:i w:val="0"/>
                <w:iCs w:val="0"/>
                <w:color w:val="auto"/>
                <w:kern w:val="0"/>
                <w:sz w:val="24"/>
                <w:szCs w:val="24"/>
                <w:highlight w:val="none"/>
                <w:u w:val="none"/>
                <w:lang w:val="en-US" w:eastAsia="zh-CN" w:bidi="ar"/>
              </w:rPr>
              <w:t>306</w:t>
            </w:r>
          </w:p>
        </w:tc>
        <w:tc>
          <w:tcPr>
            <w:tcW w:w="1076"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eastAsia"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eastAsia="仿宋_GB2312" w:cs="Times New Roman"/>
                <w:bCs/>
                <w:i w:val="0"/>
                <w:iCs w:val="0"/>
                <w:color w:val="auto"/>
                <w:kern w:val="0"/>
                <w:sz w:val="24"/>
                <w:szCs w:val="24"/>
                <w:highlight w:val="none"/>
                <w:u w:val="none"/>
                <w:lang w:val="en-US" w:eastAsia="zh-CN" w:bidi="ar"/>
              </w:rPr>
              <w:t>455</w:t>
            </w:r>
          </w:p>
        </w:tc>
        <w:tc>
          <w:tcPr>
            <w:tcW w:w="1076"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eastAsia"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eastAsia="仿宋_GB2312" w:cs="Times New Roman"/>
                <w:bCs/>
                <w:i w:val="0"/>
                <w:iCs w:val="0"/>
                <w:color w:val="auto"/>
                <w:kern w:val="0"/>
                <w:sz w:val="24"/>
                <w:szCs w:val="24"/>
                <w:highlight w:val="none"/>
                <w:u w:val="none"/>
                <w:lang w:val="en-US" w:eastAsia="zh-CN" w:bidi="ar"/>
              </w:rPr>
              <w:t>474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2" w:type="pct"/>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eastAsia" w:ascii="Times New Roman" w:hAnsi="Times New Roman" w:eastAsia="仿宋_GB2312" w:cs="Times New Roman"/>
                <w:bCs/>
                <w:color w:val="auto"/>
                <w:kern w:val="0"/>
                <w:sz w:val="24"/>
                <w:szCs w:val="24"/>
                <w:highlight w:val="none"/>
                <w:lang w:bidi="ar"/>
              </w:rPr>
            </w:pPr>
            <w:r>
              <w:rPr>
                <w:rFonts w:hint="eastAsia" w:ascii="Times New Roman" w:hAnsi="Times New Roman" w:cs="Times New Roman"/>
                <w:bCs/>
                <w:color w:val="auto"/>
                <w:kern w:val="0"/>
                <w:sz w:val="24"/>
                <w:szCs w:val="24"/>
                <w:highlight w:val="none"/>
                <w:lang w:val="en-US" w:eastAsia="zh-CN" w:bidi="ar"/>
              </w:rPr>
              <w:t>合</w:t>
            </w:r>
            <w:r>
              <w:rPr>
                <w:rFonts w:hint="eastAsia" w:ascii="Times New Roman" w:hAnsi="Times New Roman" w:eastAsia="仿宋_GB2312" w:cs="Times New Roman"/>
                <w:bCs/>
                <w:color w:val="auto"/>
                <w:kern w:val="0"/>
                <w:sz w:val="24"/>
                <w:szCs w:val="24"/>
                <w:highlight w:val="none"/>
                <w:lang w:bidi="ar"/>
              </w:rPr>
              <w:t>计</w:t>
            </w:r>
          </w:p>
        </w:tc>
        <w:tc>
          <w:tcPr>
            <w:tcW w:w="711"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13179</w:t>
            </w:r>
          </w:p>
        </w:tc>
        <w:tc>
          <w:tcPr>
            <w:tcW w:w="712"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14408</w:t>
            </w:r>
          </w:p>
        </w:tc>
        <w:tc>
          <w:tcPr>
            <w:tcW w:w="1074"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10863</w:t>
            </w:r>
          </w:p>
        </w:tc>
        <w:tc>
          <w:tcPr>
            <w:tcW w:w="1076"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color w:val="auto"/>
                <w:kern w:val="0"/>
                <w:sz w:val="24"/>
                <w:szCs w:val="24"/>
                <w:highlight w:val="none"/>
                <w:lang w:val="en-US" w:eastAsia="zh-CN" w:bidi="ar"/>
              </w:rPr>
              <w:t>14273</w:t>
            </w:r>
          </w:p>
        </w:tc>
        <w:tc>
          <w:tcPr>
            <w:tcW w:w="1076" w:type="dxa"/>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cs="Times New Roman"/>
                <w:bCs/>
                <w:i w:val="0"/>
                <w:iCs w:val="0"/>
                <w:color w:val="auto"/>
                <w:kern w:val="0"/>
                <w:sz w:val="24"/>
                <w:szCs w:val="24"/>
                <w:highlight w:val="none"/>
                <w:u w:val="none"/>
                <w:lang w:val="en-US" w:eastAsia="zh-CN" w:bidi="ar"/>
              </w:rPr>
              <w:t>13827</w:t>
            </w:r>
          </w:p>
        </w:tc>
      </w:tr>
    </w:tbl>
    <w:p>
      <w:pPr>
        <w:keepNext w:val="0"/>
        <w:keepLines w:val="0"/>
        <w:widowControl/>
        <w:suppressLineNumbers w:val="0"/>
        <w:jc w:val="left"/>
        <w:rPr>
          <w:rFonts w:hint="eastAsia" w:cs="Times New Roman"/>
          <w:color w:val="auto"/>
          <w:lang w:val="en-US" w:eastAsia="zh-CN"/>
        </w:rPr>
      </w:pPr>
      <w:r>
        <w:rPr>
          <w:rFonts w:hint="eastAsia" w:cs="Times New Roman"/>
          <w:b w:val="0"/>
          <w:bCs w:val="0"/>
          <w:color w:val="auto"/>
          <w:lang w:val="en-US" w:eastAsia="zh-CN"/>
        </w:rPr>
        <w:t>大件运输作为乐山物流服务的优势领域，</w:t>
      </w:r>
      <w:r>
        <w:rPr>
          <w:rFonts w:hint="eastAsia" w:cs="Times New Roman"/>
          <w:color w:val="auto"/>
          <w:lang w:val="en-US" w:eastAsia="zh-CN"/>
        </w:rPr>
        <w:t>2024年</w:t>
      </w:r>
      <w:r>
        <w:rPr>
          <w:rFonts w:hint="default" w:ascii="Times New Roman" w:hAnsi="Times New Roman" w:cs="Times New Roman"/>
          <w:color w:val="auto"/>
          <w:lang w:val="en-US" w:eastAsia="zh-CN"/>
        </w:rPr>
        <w:t>乐山大件码头</w:t>
      </w:r>
      <w:r>
        <w:rPr>
          <w:rFonts w:hint="eastAsia" w:cs="Times New Roman"/>
          <w:color w:val="auto"/>
          <w:lang w:val="en-US" w:eastAsia="zh-CN"/>
        </w:rPr>
        <w:t>完成</w:t>
      </w:r>
      <w:r>
        <w:rPr>
          <w:rFonts w:hint="default" w:ascii="Times New Roman" w:hAnsi="Times New Roman" w:cs="Times New Roman"/>
          <w:color w:val="auto"/>
          <w:lang w:val="en-US" w:eastAsia="zh-CN"/>
        </w:rPr>
        <w:t>大件</w:t>
      </w:r>
      <w:r>
        <w:rPr>
          <w:rFonts w:hint="eastAsia" w:cs="Times New Roman"/>
          <w:color w:val="auto"/>
          <w:lang w:val="en-US" w:eastAsia="zh-CN"/>
        </w:rPr>
        <w:t>运输75</w:t>
      </w:r>
      <w:r>
        <w:rPr>
          <w:rFonts w:hint="default" w:ascii="Times New Roman" w:hAnsi="Times New Roman" w:cs="Times New Roman"/>
          <w:color w:val="auto"/>
          <w:lang w:val="en-US" w:eastAsia="zh-CN"/>
        </w:rPr>
        <w:t>批次、</w:t>
      </w:r>
      <w:r>
        <w:rPr>
          <w:rFonts w:hint="eastAsia" w:cs="Times New Roman"/>
          <w:color w:val="auto"/>
          <w:lang w:val="en-US" w:eastAsia="zh-CN"/>
        </w:rPr>
        <w:t>约2.36</w:t>
      </w:r>
      <w:r>
        <w:rPr>
          <w:rFonts w:hint="default" w:ascii="Times New Roman" w:hAnsi="Times New Roman" w:cs="Times New Roman"/>
          <w:color w:val="auto"/>
          <w:lang w:val="en-US" w:eastAsia="zh-CN"/>
        </w:rPr>
        <w:t>万吨</w:t>
      </w:r>
      <w:r>
        <w:rPr>
          <w:rFonts w:hint="eastAsia" w:cs="Times New Roman"/>
          <w:color w:val="auto"/>
          <w:lang w:val="en-US" w:eastAsia="zh-CN"/>
        </w:rPr>
        <w:t>，同比增长15%</w:t>
      </w:r>
      <w:r>
        <w:rPr>
          <w:rFonts w:hint="default" w:ascii="Times New Roman" w:hAnsi="Times New Roman" w:cs="Times New Roman"/>
          <w:color w:val="auto"/>
          <w:lang w:val="en-US" w:eastAsia="zh-CN"/>
        </w:rPr>
        <w:t>，</w:t>
      </w:r>
      <w:r>
        <w:rPr>
          <w:rFonts w:hint="eastAsia" w:cs="Times New Roman"/>
          <w:color w:val="auto"/>
          <w:lang w:val="en-US" w:eastAsia="zh-CN"/>
        </w:rPr>
        <w:t>有力地保障了四川重装产业设备对外运输需求。</w:t>
      </w:r>
    </w:p>
    <w:p>
      <w:pPr>
        <w:pStyle w:val="7"/>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7</w:t>
      </w:r>
      <w:r>
        <w:rPr>
          <w:color w:val="auto"/>
        </w:rPr>
        <w:fldChar w:fldCharType="end"/>
      </w:r>
      <w:r>
        <w:rPr>
          <w:rFonts w:hint="eastAsia"/>
          <w:color w:val="auto"/>
          <w:lang w:val="en-US" w:eastAsia="zh-CN"/>
        </w:rPr>
        <w:t xml:space="preserve"> </w:t>
      </w:r>
      <w:r>
        <w:rPr>
          <w:rFonts w:hint="default" w:ascii="Times New Roman" w:hAnsi="Times New Roman" w:eastAsia="楷体" w:cs="Times New Roman"/>
          <w:color w:val="auto"/>
          <w:kern w:val="3"/>
          <w:sz w:val="28"/>
          <w:szCs w:val="20"/>
          <w:highlight w:val="none"/>
          <w:lang w:val="en-US" w:eastAsia="zh-CN" w:bidi="ar-SA"/>
        </w:rPr>
        <w:t>乐山202</w:t>
      </w:r>
      <w:r>
        <w:rPr>
          <w:rFonts w:hint="eastAsia" w:cs="Times New Roman"/>
          <w:color w:val="auto"/>
          <w:kern w:val="3"/>
          <w:sz w:val="28"/>
          <w:szCs w:val="20"/>
          <w:highlight w:val="none"/>
          <w:lang w:val="en-US" w:eastAsia="zh-CN" w:bidi="ar-SA"/>
        </w:rPr>
        <w:t>0</w:t>
      </w:r>
      <w:r>
        <w:rPr>
          <w:rFonts w:hint="eastAsia" w:eastAsia="楷体" w:cs="Times New Roman"/>
          <w:color w:val="auto"/>
          <w:kern w:val="3"/>
          <w:sz w:val="28"/>
          <w:szCs w:val="20"/>
          <w:highlight w:val="none"/>
          <w:lang w:val="en-US" w:eastAsia="zh-CN" w:bidi="ar-SA"/>
        </w:rPr>
        <w:t>—</w:t>
      </w:r>
      <w:r>
        <w:rPr>
          <w:rFonts w:hint="default" w:ascii="Times New Roman" w:hAnsi="Times New Roman" w:eastAsia="楷体" w:cs="Times New Roman"/>
          <w:color w:val="auto"/>
          <w:kern w:val="3"/>
          <w:sz w:val="28"/>
          <w:szCs w:val="20"/>
          <w:highlight w:val="none"/>
          <w:lang w:val="en-US" w:eastAsia="zh-CN" w:bidi="ar-SA"/>
        </w:rPr>
        <w:t>2024年</w:t>
      </w:r>
      <w:r>
        <w:rPr>
          <w:rFonts w:hint="eastAsia" w:cs="Times New Roman"/>
          <w:color w:val="auto"/>
          <w:kern w:val="3"/>
          <w:sz w:val="28"/>
          <w:szCs w:val="20"/>
          <w:highlight w:val="none"/>
          <w:lang w:val="en-US" w:eastAsia="zh-CN" w:bidi="ar-SA"/>
        </w:rPr>
        <w:t>大件吞吐</w:t>
      </w:r>
      <w:r>
        <w:rPr>
          <w:rFonts w:hint="default" w:ascii="Times New Roman" w:hAnsi="Times New Roman" w:eastAsia="楷体" w:cs="Times New Roman"/>
          <w:color w:val="auto"/>
          <w:kern w:val="3"/>
          <w:sz w:val="28"/>
          <w:szCs w:val="20"/>
          <w:highlight w:val="none"/>
          <w:lang w:val="en-US" w:eastAsia="zh-CN" w:bidi="ar-SA"/>
        </w:rPr>
        <w:t>量明细表（</w:t>
      </w:r>
      <w:r>
        <w:rPr>
          <w:rFonts w:hint="eastAsia" w:eastAsia="楷体" w:cs="Times New Roman"/>
          <w:color w:val="auto"/>
          <w:kern w:val="3"/>
          <w:sz w:val="28"/>
          <w:szCs w:val="20"/>
          <w:highlight w:val="none"/>
          <w:lang w:val="en-US" w:eastAsia="zh-CN" w:bidi="ar-SA"/>
        </w:rPr>
        <w:t>万</w:t>
      </w:r>
      <w:r>
        <w:rPr>
          <w:rFonts w:hint="default" w:ascii="Times New Roman" w:hAnsi="Times New Roman" w:eastAsia="楷体" w:cs="Times New Roman"/>
          <w:color w:val="auto"/>
          <w:kern w:val="3"/>
          <w:sz w:val="28"/>
          <w:szCs w:val="20"/>
          <w:highlight w:val="none"/>
          <w:lang w:val="en-US" w:eastAsia="zh-CN" w:bidi="ar-SA"/>
        </w:rPr>
        <w:t>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5"/>
        <w:gridCol w:w="2008"/>
        <w:gridCol w:w="2008"/>
        <w:gridCol w:w="2008"/>
        <w:gridCol w:w="2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999"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202</w:t>
            </w:r>
            <w:r>
              <w:rPr>
                <w:rFonts w:hint="eastAsia" w:eastAsia="黑体" w:cs="Times New Roman"/>
                <w:color w:val="auto"/>
                <w:kern w:val="0"/>
                <w:sz w:val="24"/>
                <w:szCs w:val="24"/>
                <w:highlight w:val="none"/>
                <w:lang w:val="en-US" w:eastAsia="zh-CN"/>
              </w:rPr>
              <w:t>0</w:t>
            </w:r>
            <w:r>
              <w:rPr>
                <w:rFonts w:hint="default" w:ascii="Times New Roman" w:hAnsi="Times New Roman" w:eastAsia="黑体" w:cs="Times New Roman"/>
                <w:color w:val="auto"/>
                <w:kern w:val="0"/>
                <w:sz w:val="24"/>
                <w:szCs w:val="24"/>
                <w:highlight w:val="none"/>
              </w:rPr>
              <w:t>年</w:t>
            </w:r>
          </w:p>
        </w:tc>
        <w:tc>
          <w:tcPr>
            <w:tcW w:w="100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202</w:t>
            </w:r>
            <w:r>
              <w:rPr>
                <w:rFonts w:hint="eastAsia" w:eastAsia="黑体" w:cs="Times New Roman"/>
                <w:color w:val="auto"/>
                <w:kern w:val="0"/>
                <w:sz w:val="24"/>
                <w:szCs w:val="24"/>
                <w:highlight w:val="none"/>
                <w:lang w:val="en-US" w:eastAsia="zh-CN"/>
              </w:rPr>
              <w:t>1</w:t>
            </w:r>
            <w:r>
              <w:rPr>
                <w:rFonts w:hint="default" w:ascii="Times New Roman" w:hAnsi="Times New Roman" w:eastAsia="黑体" w:cs="Times New Roman"/>
                <w:color w:val="auto"/>
                <w:kern w:val="0"/>
                <w:sz w:val="24"/>
                <w:szCs w:val="24"/>
                <w:highlight w:val="none"/>
              </w:rPr>
              <w:t>年</w:t>
            </w:r>
          </w:p>
        </w:tc>
        <w:tc>
          <w:tcPr>
            <w:tcW w:w="100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lang w:val="en-US" w:eastAsia="zh-CN"/>
              </w:rPr>
            </w:pPr>
            <w:r>
              <w:rPr>
                <w:rFonts w:hint="default" w:ascii="Times New Roman" w:hAnsi="Times New Roman" w:eastAsia="黑体" w:cs="Times New Roman"/>
                <w:color w:val="auto"/>
                <w:kern w:val="0"/>
                <w:sz w:val="24"/>
                <w:szCs w:val="24"/>
                <w:highlight w:val="none"/>
              </w:rPr>
              <w:t>202</w:t>
            </w:r>
            <w:r>
              <w:rPr>
                <w:rFonts w:hint="default" w:ascii="Times New Roman" w:hAnsi="Times New Roman" w:eastAsia="黑体" w:cs="Times New Roman"/>
                <w:color w:val="auto"/>
                <w:kern w:val="0"/>
                <w:sz w:val="24"/>
                <w:szCs w:val="24"/>
                <w:highlight w:val="none"/>
                <w:lang w:val="en-US" w:eastAsia="zh-CN"/>
              </w:rPr>
              <w:t>2</w:t>
            </w:r>
            <w:r>
              <w:rPr>
                <w:rFonts w:hint="default" w:ascii="Times New Roman" w:hAnsi="Times New Roman" w:eastAsia="黑体" w:cs="Times New Roman"/>
                <w:color w:val="auto"/>
                <w:kern w:val="0"/>
                <w:sz w:val="24"/>
                <w:szCs w:val="24"/>
                <w:highlight w:val="none"/>
              </w:rPr>
              <w:t>年</w:t>
            </w:r>
          </w:p>
        </w:tc>
        <w:tc>
          <w:tcPr>
            <w:tcW w:w="100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202</w:t>
            </w:r>
            <w:r>
              <w:rPr>
                <w:rFonts w:hint="default" w:ascii="Times New Roman" w:hAnsi="Times New Roman" w:eastAsia="黑体" w:cs="Times New Roman"/>
                <w:color w:val="auto"/>
                <w:kern w:val="0"/>
                <w:sz w:val="24"/>
                <w:szCs w:val="24"/>
                <w:highlight w:val="none"/>
                <w:lang w:val="en-US" w:eastAsia="zh-CN"/>
              </w:rPr>
              <w:t>3</w:t>
            </w:r>
            <w:r>
              <w:rPr>
                <w:rFonts w:hint="default" w:ascii="Times New Roman" w:hAnsi="Times New Roman" w:eastAsia="黑体" w:cs="Times New Roman"/>
                <w:color w:val="auto"/>
                <w:kern w:val="0"/>
                <w:sz w:val="24"/>
                <w:szCs w:val="24"/>
                <w:highlight w:val="none"/>
              </w:rPr>
              <w:t>年</w:t>
            </w:r>
          </w:p>
        </w:tc>
        <w:tc>
          <w:tcPr>
            <w:tcW w:w="100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before="40" w:after="40" w:line="240" w:lineRule="auto"/>
              <w:ind w:firstLine="0" w:firstLineChars="0"/>
              <w:jc w:val="center"/>
              <w:textAlignment w:val="auto"/>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lang w:val="en-US" w:eastAsia="zh-CN"/>
              </w:rPr>
              <w:t>2024年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cs="Times New Roman"/>
                <w:bCs/>
                <w:color w:val="auto"/>
                <w:kern w:val="0"/>
                <w:sz w:val="24"/>
                <w:szCs w:val="24"/>
                <w:highlight w:val="none"/>
                <w:lang w:val="en-US" w:eastAsia="zh-CN" w:bidi="ar"/>
              </w:rPr>
              <w:t>1.12</w:t>
            </w:r>
          </w:p>
        </w:tc>
        <w:tc>
          <w:tcPr>
            <w:tcW w:w="1000"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cs="Times New Roman"/>
                <w:bCs/>
                <w:color w:val="auto"/>
                <w:kern w:val="0"/>
                <w:sz w:val="24"/>
                <w:szCs w:val="24"/>
                <w:highlight w:val="none"/>
                <w:lang w:val="en-US" w:eastAsia="zh-CN" w:bidi="ar"/>
              </w:rPr>
              <w:t>1.2</w:t>
            </w:r>
          </w:p>
        </w:tc>
        <w:tc>
          <w:tcPr>
            <w:tcW w:w="1000"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cs="Times New Roman"/>
                <w:bCs/>
                <w:color w:val="auto"/>
                <w:kern w:val="0"/>
                <w:sz w:val="24"/>
                <w:szCs w:val="24"/>
                <w:highlight w:val="none"/>
                <w:lang w:val="en-US" w:eastAsia="zh-CN" w:bidi="ar"/>
              </w:rPr>
              <w:t>1.86</w:t>
            </w:r>
          </w:p>
        </w:tc>
        <w:tc>
          <w:tcPr>
            <w:tcW w:w="1000"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cs="Times New Roman"/>
                <w:bCs/>
                <w:color w:val="auto"/>
                <w:kern w:val="0"/>
                <w:sz w:val="24"/>
                <w:szCs w:val="24"/>
                <w:highlight w:val="none"/>
                <w:lang w:val="en-US" w:eastAsia="zh-CN" w:bidi="ar"/>
              </w:rPr>
              <w:t>2.05</w:t>
            </w:r>
          </w:p>
        </w:tc>
        <w:tc>
          <w:tcPr>
            <w:tcW w:w="1000"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default" w:ascii="Times New Roman" w:hAnsi="Times New Roman" w:eastAsia="仿宋_GB2312" w:cs="Times New Roman"/>
                <w:bCs/>
                <w:color w:val="auto"/>
                <w:kern w:val="0"/>
                <w:sz w:val="24"/>
                <w:szCs w:val="24"/>
                <w:highlight w:val="none"/>
                <w:lang w:val="en-US" w:eastAsia="zh-CN" w:bidi="ar"/>
              </w:rPr>
            </w:pPr>
            <w:r>
              <w:rPr>
                <w:rFonts w:hint="eastAsia" w:ascii="Times New Roman" w:hAnsi="Times New Roman" w:cs="Times New Roman"/>
                <w:bCs/>
                <w:color w:val="auto"/>
                <w:kern w:val="0"/>
                <w:sz w:val="24"/>
                <w:szCs w:val="24"/>
                <w:highlight w:val="none"/>
                <w:lang w:val="en-US" w:eastAsia="zh-CN" w:bidi="ar"/>
              </w:rPr>
              <w:t>2.36</w:t>
            </w:r>
          </w:p>
        </w:tc>
      </w:tr>
    </w:tbl>
    <w:p>
      <w:pPr>
        <w:pStyle w:val="5"/>
        <w:bidi w:val="0"/>
        <w:rPr>
          <w:rFonts w:hint="eastAsia"/>
          <w:color w:val="auto"/>
          <w:lang w:val="en-US" w:eastAsia="zh-CN"/>
        </w:rPr>
      </w:pPr>
      <w:bookmarkStart w:id="62" w:name="_Toc6089"/>
      <w:bookmarkStart w:id="63" w:name="_Toc18483"/>
      <w:bookmarkStart w:id="64" w:name="_Toc1644"/>
      <w:bookmarkStart w:id="65" w:name="_Toc24956"/>
      <w:bookmarkStart w:id="66" w:name="_Toc1774"/>
      <w:r>
        <w:rPr>
          <w:rFonts w:hint="eastAsia"/>
          <w:color w:val="auto"/>
          <w:lang w:val="en-US" w:eastAsia="zh-CN"/>
        </w:rPr>
        <w:t>企业及装备</w:t>
      </w:r>
      <w:bookmarkEnd w:id="62"/>
      <w:bookmarkEnd w:id="63"/>
      <w:bookmarkEnd w:id="64"/>
      <w:bookmarkEnd w:id="65"/>
      <w:bookmarkEnd w:id="66"/>
    </w:p>
    <w:p>
      <w:pPr>
        <w:spacing w:line="600" w:lineRule="exact"/>
        <w:ind w:firstLine="64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截至2024年底，</w:t>
      </w:r>
      <w:r>
        <w:rPr>
          <w:rFonts w:hint="eastAsia" w:ascii="Times New Roman" w:hAnsi="Times New Roman" w:cs="Times New Roman"/>
          <w:color w:val="auto"/>
          <w:lang w:val="en-US" w:eastAsia="zh-CN"/>
        </w:rPr>
        <w:t>全</w:t>
      </w:r>
      <w:r>
        <w:rPr>
          <w:rFonts w:hint="default" w:ascii="Times New Roman" w:hAnsi="Times New Roman" w:cs="Times New Roman"/>
          <w:color w:val="auto"/>
          <w:lang w:val="en-US" w:eastAsia="zh-CN"/>
        </w:rPr>
        <w:t>市共</w:t>
      </w:r>
      <w:r>
        <w:rPr>
          <w:rFonts w:hint="eastAsia" w:ascii="Times New Roman" w:hAnsi="Times New Roman" w:cs="Times New Roman"/>
          <w:color w:val="auto"/>
          <w:lang w:val="en-US" w:eastAsia="zh-CN"/>
        </w:rPr>
        <w:t>有交通运输、仓储和邮政</w:t>
      </w:r>
      <w:r>
        <w:rPr>
          <w:rFonts w:hint="eastAsia" w:cs="Times New Roman"/>
          <w:color w:val="auto"/>
          <w:lang w:val="en-US" w:eastAsia="zh-CN"/>
        </w:rPr>
        <w:t>等各类</w:t>
      </w:r>
      <w:r>
        <w:rPr>
          <w:rFonts w:hint="default" w:ascii="Times New Roman" w:hAnsi="Times New Roman" w:cs="Times New Roman"/>
          <w:color w:val="auto"/>
          <w:lang w:val="en-US" w:eastAsia="zh-CN"/>
        </w:rPr>
        <w:t>物流企业1186家，</w:t>
      </w:r>
      <w:r>
        <w:rPr>
          <w:rFonts w:hint="eastAsia" w:ascii="Times New Roman" w:hAnsi="Times New Roman" w:cs="Times New Roman"/>
          <w:color w:val="auto"/>
          <w:lang w:val="en-US" w:eastAsia="zh-CN"/>
        </w:rPr>
        <w:t>其中规模以上</w:t>
      </w:r>
      <w:r>
        <w:rPr>
          <w:rFonts w:hint="eastAsia" w:cs="Times New Roman"/>
          <w:color w:val="auto"/>
          <w:lang w:val="en-US" w:eastAsia="zh-CN"/>
        </w:rPr>
        <w:t>物流相关</w:t>
      </w:r>
      <w:r>
        <w:rPr>
          <w:rFonts w:hint="eastAsia" w:ascii="Times New Roman" w:hAnsi="Times New Roman" w:cs="Times New Roman"/>
          <w:color w:val="auto"/>
          <w:lang w:val="en-US" w:eastAsia="zh-CN"/>
        </w:rPr>
        <w:t>企业数量</w:t>
      </w:r>
      <w:r>
        <w:rPr>
          <w:rFonts w:hint="eastAsia" w:cs="Times New Roman"/>
          <w:color w:val="auto"/>
          <w:lang w:val="en-US" w:eastAsia="zh-CN"/>
        </w:rPr>
        <w:t>93</w:t>
      </w:r>
      <w:r>
        <w:rPr>
          <w:rFonts w:hint="eastAsia" w:ascii="Times New Roman" w:hAnsi="Times New Roman" w:cs="Times New Roman"/>
          <w:color w:val="auto"/>
          <w:lang w:val="en-US" w:eastAsia="zh-CN"/>
        </w:rPr>
        <w:t>家</w:t>
      </w:r>
      <w:r>
        <w:rPr>
          <w:rFonts w:hint="eastAsia" w:cs="Times New Roman"/>
          <w:color w:val="auto"/>
          <w:lang w:val="en-US" w:eastAsia="zh-CN"/>
        </w:rPr>
        <w:t>、全省第5；培育</w:t>
      </w:r>
      <w:r>
        <w:rPr>
          <w:rFonts w:hint="default" w:ascii="Times New Roman" w:hAnsi="Times New Roman" w:cs="Times New Roman"/>
          <w:color w:val="auto"/>
          <w:lang w:val="en-US" w:eastAsia="zh-CN"/>
        </w:rPr>
        <w:t>A级及以上物流企业5家</w:t>
      </w:r>
      <w:r>
        <w:rPr>
          <w:rFonts w:hint="eastAsia" w:cs="Times New Roman"/>
          <w:color w:val="auto"/>
          <w:lang w:val="en-US" w:eastAsia="zh-CN"/>
        </w:rPr>
        <w:t>，其中4A级企业1家、3A级企业4家，已基本形成以沿森物流集团等2家年营业额超2亿元的物流企业为龙头，28家超4000万元、32家超2000万元的物流企业为主力的规上物流企业梯队，物流</w:t>
      </w:r>
      <w:r>
        <w:rPr>
          <w:rFonts w:hint="default" w:cs="Times New Roman"/>
          <w:color w:val="auto"/>
          <w:lang w:val="en-US" w:eastAsia="zh-CN"/>
        </w:rPr>
        <w:t>市场主体竞争力不断提升</w:t>
      </w:r>
      <w:r>
        <w:rPr>
          <w:rFonts w:hint="default" w:ascii="Times New Roman" w:hAnsi="Times New Roman" w:cs="Times New Roman"/>
          <w:color w:val="auto"/>
          <w:lang w:val="en-US" w:eastAsia="zh-CN"/>
        </w:rPr>
        <w:t>。拥有营运货车</w:t>
      </w:r>
      <w:r>
        <w:rPr>
          <w:rFonts w:hint="default" w:cs="Times New Roman"/>
          <w:color w:val="auto"/>
          <w:lang w:val="en-US" w:eastAsia="zh-CN"/>
        </w:rPr>
        <w:t>28600</w:t>
      </w:r>
      <w:r>
        <w:rPr>
          <w:rFonts w:hint="default" w:ascii="Times New Roman" w:hAnsi="Times New Roman" w:cs="Times New Roman"/>
          <w:color w:val="auto"/>
          <w:lang w:val="en-US" w:eastAsia="zh-CN"/>
        </w:rPr>
        <w:t>辆、全省第</w:t>
      </w:r>
      <w:r>
        <w:rPr>
          <w:rFonts w:hint="default" w:cs="Times New Roman"/>
          <w:color w:val="auto"/>
          <w:lang w:val="en-US" w:eastAsia="zh-CN"/>
        </w:rPr>
        <w:t>2</w:t>
      </w:r>
      <w:r>
        <w:rPr>
          <w:rFonts w:hint="default" w:ascii="Times New Roman" w:hAnsi="Times New Roman" w:cs="Times New Roman"/>
          <w:color w:val="auto"/>
          <w:lang w:val="en-US" w:eastAsia="zh-CN"/>
        </w:rPr>
        <w:t>，其中企业户均拥有车辆</w:t>
      </w:r>
      <w:r>
        <w:rPr>
          <w:rFonts w:hint="default" w:cs="Times New Roman"/>
          <w:color w:val="auto"/>
          <w:lang w:val="en-US" w:eastAsia="zh-CN"/>
        </w:rPr>
        <w:t>33</w:t>
      </w:r>
      <w:r>
        <w:rPr>
          <w:rFonts w:hint="default" w:ascii="Times New Roman" w:hAnsi="Times New Roman" w:cs="Times New Roman"/>
          <w:color w:val="auto"/>
          <w:lang w:val="en-US" w:eastAsia="zh-CN"/>
        </w:rPr>
        <w:t>辆，是全省平均水平的</w:t>
      </w:r>
      <w:r>
        <w:rPr>
          <w:rFonts w:hint="default" w:cs="Times New Roman"/>
          <w:color w:val="auto"/>
          <w:lang w:val="en-US" w:eastAsia="zh-CN"/>
        </w:rPr>
        <w:t>1.</w:t>
      </w:r>
      <w:r>
        <w:rPr>
          <w:rFonts w:hint="default" w:ascii="Times New Roman" w:hAnsi="Times New Roman" w:cs="Times New Roman"/>
          <w:color w:val="auto"/>
          <w:lang w:val="en-US" w:eastAsia="zh-CN"/>
        </w:rPr>
        <w:t>4倍</w:t>
      </w:r>
      <w:r>
        <w:rPr>
          <w:rFonts w:hint="default" w:cs="Times New Roman"/>
          <w:color w:val="auto"/>
          <w:lang w:val="en-US" w:eastAsia="zh-CN"/>
        </w:rPr>
        <w:t>；培育规上道路货运企业68户、全省第</w:t>
      </w:r>
      <w:r>
        <w:rPr>
          <w:rFonts w:hint="eastAsia" w:cs="Times New Roman"/>
          <w:color w:val="auto"/>
          <w:lang w:val="en-US" w:eastAsia="zh-CN"/>
        </w:rPr>
        <w:t>2</w:t>
      </w:r>
      <w:r>
        <w:rPr>
          <w:rFonts w:hint="default" w:cs="Times New Roman"/>
          <w:color w:val="auto"/>
          <w:lang w:val="en-US" w:eastAsia="zh-CN"/>
        </w:rPr>
        <w:t>，</w:t>
      </w:r>
      <w:r>
        <w:rPr>
          <w:rFonts w:hint="default" w:ascii="Times New Roman" w:hAnsi="Times New Roman" w:cs="Times New Roman"/>
          <w:color w:val="auto"/>
          <w:lang w:val="en-US" w:eastAsia="zh-CN"/>
        </w:rPr>
        <w:t>是全省除成都以外道路货运规模化、集约化发展水平最好的城市。拥有水路货运企业25户，注册在营的货运船舶17</w:t>
      </w:r>
      <w:r>
        <w:rPr>
          <w:rFonts w:hint="eastAsia" w:cs="Times New Roman"/>
          <w:color w:val="auto"/>
          <w:lang w:val="en-US" w:eastAsia="zh-CN"/>
        </w:rPr>
        <w:t>9</w:t>
      </w:r>
      <w:r>
        <w:rPr>
          <w:rFonts w:hint="default" w:ascii="Times New Roman" w:hAnsi="Times New Roman" w:cs="Times New Roman"/>
          <w:color w:val="auto"/>
          <w:lang w:val="en-US" w:eastAsia="zh-CN"/>
        </w:rPr>
        <w:t>艘</w:t>
      </w:r>
      <w:r>
        <w:rPr>
          <w:rFonts w:hint="eastAsia" w:cs="Times New Roman"/>
          <w:color w:val="auto"/>
          <w:lang w:val="en-US" w:eastAsia="zh-CN"/>
        </w:rPr>
        <w:t>、全省第5</w:t>
      </w:r>
      <w:r>
        <w:rPr>
          <w:rFonts w:hint="default" w:ascii="Times New Roman" w:hAnsi="Times New Roman" w:cs="Times New Roman"/>
          <w:color w:val="auto"/>
          <w:lang w:val="en-US" w:eastAsia="zh-CN"/>
        </w:rPr>
        <w:t>，货运船舶总运力达18.</w:t>
      </w:r>
      <w:r>
        <w:rPr>
          <w:rFonts w:hint="eastAsia" w:cs="Times New Roman"/>
          <w:color w:val="auto"/>
          <w:lang w:val="en-US" w:eastAsia="zh-CN"/>
        </w:rPr>
        <w:t>6</w:t>
      </w:r>
      <w:r>
        <w:rPr>
          <w:rFonts w:hint="default" w:ascii="Times New Roman" w:hAnsi="Times New Roman" w:cs="Times New Roman"/>
          <w:color w:val="auto"/>
          <w:lang w:val="en-US" w:eastAsia="zh-CN"/>
        </w:rPr>
        <w:t>万吨</w:t>
      </w:r>
      <w:r>
        <w:rPr>
          <w:rFonts w:hint="eastAsia" w:ascii="Times New Roman" w:hAnsi="Times New Roman" w:cs="Times New Roman"/>
          <w:color w:val="auto"/>
          <w:lang w:val="en-US" w:eastAsia="zh-CN"/>
        </w:rPr>
        <w:t>、全省第</w:t>
      </w:r>
      <w:r>
        <w:rPr>
          <w:rFonts w:hint="eastAsia" w:cs="Times New Roman"/>
          <w:color w:val="auto"/>
          <w:lang w:val="en-US" w:eastAsia="zh-CN"/>
        </w:rPr>
        <w:t>4</w:t>
      </w:r>
      <w:r>
        <w:rPr>
          <w:rFonts w:hint="default" w:ascii="Times New Roman" w:hAnsi="Times New Roman" w:cs="Times New Roman"/>
          <w:color w:val="auto"/>
          <w:lang w:val="en-US" w:eastAsia="zh-CN"/>
        </w:rPr>
        <w:t>。</w:t>
      </w:r>
    </w:p>
    <w:p>
      <w:pPr>
        <w:pStyle w:val="7"/>
        <w:keepNext/>
        <w:keepLines w:val="0"/>
        <w:pageBreakBefore w:val="0"/>
        <w:widowControl w:val="0"/>
        <w:kinsoku/>
        <w:wordWrap/>
        <w:overflowPunct/>
        <w:topLinePunct w:val="0"/>
        <w:autoSpaceDE/>
        <w:autoSpaceDN/>
        <w:bidi w:val="0"/>
        <w:textAlignment w:val="auto"/>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8</w:t>
      </w:r>
      <w:r>
        <w:rPr>
          <w:color w:val="auto"/>
        </w:rPr>
        <w:fldChar w:fldCharType="end"/>
      </w:r>
      <w:r>
        <w:rPr>
          <w:rFonts w:hint="eastAsia"/>
          <w:color w:val="auto"/>
          <w:lang w:val="en-US" w:eastAsia="zh-CN"/>
        </w:rPr>
        <w:t xml:space="preserve"> 乐山市国家A级物流企业名单</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823"/>
        <w:gridCol w:w="3607"/>
        <w:gridCol w:w="2388"/>
        <w:gridCol w:w="2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14" w:type="pct"/>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序号</w:t>
            </w:r>
          </w:p>
        </w:tc>
        <w:tc>
          <w:tcPr>
            <w:tcW w:w="410" w:type="pct"/>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级别</w:t>
            </w:r>
          </w:p>
        </w:tc>
        <w:tc>
          <w:tcPr>
            <w:tcW w:w="1796" w:type="pct"/>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企业名称</w:t>
            </w:r>
          </w:p>
        </w:tc>
        <w:tc>
          <w:tcPr>
            <w:tcW w:w="1189" w:type="pct"/>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主营业务</w:t>
            </w:r>
          </w:p>
        </w:tc>
        <w:tc>
          <w:tcPr>
            <w:tcW w:w="1189" w:type="pct"/>
            <w:vAlign w:val="center"/>
          </w:tcPr>
          <w:p>
            <w:pPr>
              <w:keepNext/>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企业类型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1</w:t>
            </w:r>
          </w:p>
        </w:tc>
        <w:tc>
          <w:tcPr>
            <w:tcW w:w="410"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4A</w:t>
            </w:r>
          </w:p>
        </w:tc>
        <w:tc>
          <w:tcPr>
            <w:tcW w:w="17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rPr>
              <w:t>四川沿森物流集团股份有限公司</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危化品运输、城市配送、化工物流</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cs="Times New Roman"/>
                <w:color w:val="auto"/>
                <w:sz w:val="24"/>
                <w:szCs w:val="24"/>
                <w:lang w:val="en-US" w:eastAsia="zh-CN"/>
              </w:rPr>
              <w:t>综合性物流企业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2</w:t>
            </w:r>
          </w:p>
        </w:tc>
        <w:tc>
          <w:tcPr>
            <w:tcW w:w="410" w:type="pct"/>
            <w:vMerge w:val="restar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3A</w:t>
            </w:r>
          </w:p>
        </w:tc>
        <w:tc>
          <w:tcPr>
            <w:tcW w:w="17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rPr>
              <w:t>四川淳邦化工物流有限公司</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危化品运输、化工物流</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cs="Times New Roman"/>
                <w:color w:val="auto"/>
                <w:sz w:val="24"/>
                <w:szCs w:val="24"/>
                <w:lang w:val="en-US" w:eastAsia="zh-CN"/>
              </w:rPr>
              <w:t>综合性物流企业</w:t>
            </w:r>
            <w:r>
              <w:rPr>
                <w:rFonts w:hint="eastAsia" w:ascii="Times New Roman" w:hAnsi="Times New Roman" w:cs="Times New Roman"/>
                <w:color w:val="auto"/>
                <w:sz w:val="24"/>
                <w:szCs w:val="24"/>
                <w:lang w:val="en-US" w:eastAsia="zh-CN"/>
              </w:rPr>
              <w:t>，沿森物流子公司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3</w:t>
            </w:r>
          </w:p>
        </w:tc>
        <w:tc>
          <w:tcPr>
            <w:tcW w:w="410" w:type="pct"/>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17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rPr>
              <w:t>四川峨眉山峨胜物流发展有限公司</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水泥运输、建材运输</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cs="Times New Roman"/>
                <w:color w:val="auto"/>
                <w:sz w:val="24"/>
                <w:szCs w:val="24"/>
                <w:lang w:val="en-US" w:eastAsia="zh-CN"/>
              </w:rPr>
              <w:t>专业服务</w:t>
            </w:r>
            <w:r>
              <w:rPr>
                <w:rFonts w:cs="Times New Roman"/>
                <w:color w:val="auto"/>
                <w:sz w:val="24"/>
                <w:szCs w:val="24"/>
              </w:rPr>
              <w:t>峨胜水泥集团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4</w:t>
            </w:r>
          </w:p>
        </w:tc>
        <w:tc>
          <w:tcPr>
            <w:tcW w:w="410" w:type="pct"/>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17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rPr>
              <w:t>四川沿森投资管理有限公司</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物流园区投资运营</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cs="Times New Roman"/>
                <w:color w:val="auto"/>
                <w:sz w:val="24"/>
                <w:szCs w:val="24"/>
                <w:lang w:val="en-US" w:eastAsia="zh-CN"/>
              </w:rPr>
              <w:t>综合性物流企业</w:t>
            </w:r>
            <w:r>
              <w:rPr>
                <w:rFonts w:hint="eastAsia" w:ascii="Times New Roman" w:hAnsi="Times New Roman" w:cs="Times New Roman"/>
                <w:color w:val="auto"/>
                <w:sz w:val="24"/>
                <w:szCs w:val="24"/>
                <w:lang w:val="en-US" w:eastAsia="zh-CN"/>
              </w:rPr>
              <w:t>，沿森物流子公司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5</w:t>
            </w:r>
          </w:p>
        </w:tc>
        <w:tc>
          <w:tcPr>
            <w:tcW w:w="410" w:type="pct"/>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17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rPr>
              <w:t>四川枫茂物流有限责任公司</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危化品运输</w:t>
            </w:r>
          </w:p>
        </w:tc>
        <w:tc>
          <w:tcPr>
            <w:tcW w:w="1189"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仿宋_GB2312" w:cs="Times New Roman"/>
                <w:color w:val="auto"/>
                <w:sz w:val="24"/>
                <w:szCs w:val="24"/>
                <w:lang w:val="en-US" w:eastAsia="zh-CN"/>
              </w:rPr>
            </w:pPr>
            <w:r>
              <w:rPr>
                <w:rFonts w:hint="default" w:cs="Times New Roman"/>
                <w:color w:val="auto"/>
                <w:sz w:val="24"/>
                <w:szCs w:val="24"/>
                <w:lang w:val="en-US" w:eastAsia="zh-CN"/>
              </w:rPr>
              <w:t>综合性物流企业</w:t>
            </w:r>
            <w:r>
              <w:rPr>
                <w:rFonts w:hint="eastAsia" w:ascii="Times New Roman" w:hAnsi="Times New Roman" w:cs="Times New Roman"/>
                <w:color w:val="auto"/>
                <w:sz w:val="24"/>
                <w:szCs w:val="24"/>
                <w:lang w:val="en-US" w:eastAsia="zh-CN"/>
              </w:rPr>
              <w:t>，沿森物流子公司</w:t>
            </w:r>
          </w:p>
        </w:tc>
      </w:tr>
    </w:tbl>
    <w:p>
      <w:pPr>
        <w:pStyle w:val="27"/>
        <w:bidi w:val="0"/>
        <w:rPr>
          <w:color w:val="auto"/>
        </w:rPr>
      </w:pPr>
      <w:r>
        <w:rPr>
          <w:rFonts w:hint="eastAsia" w:ascii="仿宋_GB2312" w:hAnsi="仿宋_GB2312" w:eastAsia="仿宋_GB2312" w:cs="仿宋_GB2312"/>
          <w:b w:val="0"/>
          <w:bCs w:val="0"/>
          <w:color w:val="auto"/>
          <w:sz w:val="36"/>
          <w:szCs w:val="36"/>
          <w:lang w:val="en-US" w:eastAsia="zh-CN"/>
        </w:rPr>
        <w:drawing>
          <wp:inline distT="0" distB="0" distL="114300" distR="114300">
            <wp:extent cx="4838700" cy="2752725"/>
            <wp:effectExtent l="0" t="0" r="0" b="9525"/>
            <wp:docPr id="63" name="图片 6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1"/>
                    <pic:cNvPicPr>
                      <a:picLocks noChangeAspect="1"/>
                    </pic:cNvPicPr>
                  </pic:nvPicPr>
                  <pic:blipFill>
                    <a:blip r:embed="rId31"/>
                    <a:stretch>
                      <a:fillRect/>
                    </a:stretch>
                  </pic:blipFill>
                  <pic:spPr>
                    <a:xfrm>
                      <a:off x="0" y="0"/>
                      <a:ext cx="4838700" cy="2752725"/>
                    </a:xfrm>
                    <a:prstGeom prst="rect">
                      <a:avLst/>
                    </a:prstGeom>
                  </pic:spPr>
                </pic:pic>
              </a:graphicData>
            </a:graphic>
          </wp:inline>
        </w:drawing>
      </w:r>
    </w:p>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9</w:t>
      </w:r>
      <w:r>
        <w:rPr>
          <w:color w:val="auto"/>
        </w:rPr>
        <w:fldChar w:fldCharType="end"/>
      </w:r>
      <w:r>
        <w:rPr>
          <w:rFonts w:hint="eastAsia"/>
          <w:color w:val="auto"/>
          <w:lang w:val="en-US" w:eastAsia="zh-CN"/>
        </w:rPr>
        <w:t xml:space="preserve"> 乐山市交通运输、仓储和邮政业规上企业分类数量</w:t>
      </w:r>
    </w:p>
    <w:p>
      <w:pPr>
        <w:pStyle w:val="5"/>
        <w:bidi w:val="0"/>
        <w:rPr>
          <w:rFonts w:hint="eastAsia"/>
          <w:color w:val="auto"/>
          <w:lang w:val="en-US" w:eastAsia="zh-CN"/>
        </w:rPr>
      </w:pPr>
      <w:bookmarkStart w:id="67" w:name="_Toc29161"/>
      <w:r>
        <w:rPr>
          <w:rFonts w:hint="eastAsia"/>
          <w:color w:val="auto"/>
          <w:lang w:val="en-US" w:eastAsia="zh-CN"/>
        </w:rPr>
        <w:t>运营组织</w:t>
      </w:r>
    </w:p>
    <w:p>
      <w:pPr>
        <w:rPr>
          <w:rFonts w:hint="eastAsia" w:ascii="Times New Roman" w:hAnsi="Times New Roman" w:cs="Times New Roman"/>
          <w:color w:val="auto"/>
          <w:lang w:val="en-US" w:eastAsia="zh-CN"/>
        </w:rPr>
      </w:pPr>
      <w:r>
        <w:rPr>
          <w:rFonts w:hint="eastAsia" w:cs="Times New Roman"/>
          <w:b w:val="0"/>
          <w:bCs w:val="0"/>
          <w:color w:val="auto"/>
          <w:lang w:val="en-US" w:eastAsia="zh-CN"/>
        </w:rPr>
        <w:t>铁路方面，</w:t>
      </w:r>
      <w:r>
        <w:rPr>
          <w:rFonts w:hint="eastAsia" w:ascii="Times New Roman" w:hAnsi="Times New Roman" w:cs="Times New Roman"/>
          <w:b w:val="0"/>
          <w:bCs w:val="0"/>
          <w:color w:val="auto"/>
          <w:lang w:val="en-US" w:eastAsia="zh-CN"/>
        </w:rPr>
        <w:t>乐山市紧抓“中欧班列＋西部陆海新通道”发展机遇，</w:t>
      </w:r>
      <w:r>
        <w:rPr>
          <w:rFonts w:hint="eastAsia" w:cs="Times New Roman"/>
          <w:b w:val="0"/>
          <w:bCs w:val="0"/>
          <w:color w:val="auto"/>
          <w:lang w:val="en-US" w:eastAsia="zh-CN"/>
        </w:rPr>
        <w:t>加快完善物流服务网络</w:t>
      </w:r>
      <w:r>
        <w:rPr>
          <w:rFonts w:hint="eastAsia" w:ascii="Times New Roman" w:hAnsi="Times New Roman" w:cs="Times New Roman"/>
          <w:b w:val="0"/>
          <w:bCs w:val="0"/>
          <w:color w:val="auto"/>
          <w:lang w:val="en-US" w:eastAsia="zh-CN"/>
        </w:rPr>
        <w:t>，</w:t>
      </w:r>
      <w:r>
        <w:rPr>
          <w:rFonts w:hint="eastAsia" w:cs="Times New Roman"/>
          <w:b w:val="0"/>
          <w:bCs w:val="0"/>
          <w:color w:val="auto"/>
          <w:lang w:val="en-US" w:eastAsia="zh-CN"/>
        </w:rPr>
        <w:t>支撑</w:t>
      </w:r>
      <w:r>
        <w:rPr>
          <w:rFonts w:hint="eastAsia" w:ascii="Times New Roman" w:hAnsi="Times New Roman" w:cs="Times New Roman"/>
          <w:b w:val="0"/>
          <w:bCs w:val="0"/>
          <w:color w:val="auto"/>
          <w:lang w:val="en-US" w:eastAsia="zh-CN"/>
        </w:rPr>
        <w:t>构建外向型经济新发展格局。联合成都国际铁路港</w:t>
      </w:r>
      <w:r>
        <w:rPr>
          <w:rFonts w:hint="eastAsia" w:cs="Times New Roman"/>
          <w:b w:val="0"/>
          <w:bCs w:val="0"/>
          <w:color w:val="auto"/>
          <w:lang w:val="en-US" w:eastAsia="zh-CN"/>
        </w:rPr>
        <w:t>管委会</w:t>
      </w:r>
      <w:r>
        <w:rPr>
          <w:rFonts w:hint="eastAsia" w:ascii="Times New Roman" w:hAnsi="Times New Roman" w:cs="Times New Roman"/>
          <w:b w:val="0"/>
          <w:bCs w:val="0"/>
          <w:color w:val="auto"/>
          <w:lang w:val="en-US" w:eastAsia="zh-CN"/>
        </w:rPr>
        <w:t>共同打造“中欧班列+西部陆海新通道”成都集结中心乐山基地，实现两地在国际物流运输组织、货源集结、业务创新、政策协同等方面形成合力</w:t>
      </w:r>
      <w:r>
        <w:rPr>
          <w:rFonts w:hint="eastAsia" w:cs="Times New Roman"/>
          <w:b w:val="0"/>
          <w:bCs w:val="0"/>
          <w:color w:val="auto"/>
          <w:lang w:val="en-US" w:eastAsia="zh-CN"/>
        </w:rPr>
        <w:t>；联合蜀道铁路运营集团开行长江多式联运班列，并积极探索“一单制”业务服务模式。截至目前，全市已先后开行西部陆海新通道班列、中亚班列、长江班列等服务国际、长江经济带运输线路，其中西部陆海新通道</w:t>
      </w:r>
      <w:r>
        <w:rPr>
          <w:rFonts w:hint="eastAsia" w:cs="Times New Roman"/>
          <w:color w:val="auto"/>
          <w:lang w:val="en-US" w:eastAsia="zh-CN"/>
        </w:rPr>
        <w:t>累计</w:t>
      </w:r>
      <w:r>
        <w:rPr>
          <w:rFonts w:hint="default" w:ascii="Times New Roman" w:hAnsi="Times New Roman" w:cs="Times New Roman"/>
          <w:color w:val="auto"/>
          <w:lang w:val="en-US" w:eastAsia="zh-CN"/>
        </w:rPr>
        <w:t>发送货物</w:t>
      </w:r>
      <w:r>
        <w:rPr>
          <w:rFonts w:hint="eastAsia" w:cs="Times New Roman"/>
          <w:color w:val="auto"/>
          <w:lang w:val="en-US" w:eastAsia="zh-CN"/>
        </w:rPr>
        <w:t>672</w:t>
      </w:r>
      <w:r>
        <w:rPr>
          <w:rFonts w:hint="default" w:ascii="Times New Roman" w:hAnsi="Times New Roman" w:cs="Times New Roman"/>
          <w:color w:val="auto"/>
          <w:lang w:val="en-US" w:eastAsia="zh-CN"/>
        </w:rPr>
        <w:t>标箱</w:t>
      </w:r>
      <w:r>
        <w:rPr>
          <w:rFonts w:hint="eastAsia" w:ascii="Times New Roman" w:hAnsi="Times New Roman" w:cs="Times New Roman"/>
          <w:color w:val="auto"/>
          <w:lang w:val="en-US" w:eastAsia="zh-CN"/>
        </w:rPr>
        <w:t>。水运方面，全市水路运输以散货和大件装备运输为主，散货重点服务雅安</w:t>
      </w:r>
      <w:r>
        <w:rPr>
          <w:rFonts w:hint="eastAsia" w:cs="Times New Roman"/>
          <w:color w:val="auto"/>
          <w:lang w:val="en-US" w:eastAsia="zh-CN"/>
        </w:rPr>
        <w:t>、</w:t>
      </w:r>
      <w:r>
        <w:rPr>
          <w:rFonts w:hint="eastAsia" w:ascii="Times New Roman" w:hAnsi="Times New Roman" w:cs="Times New Roman"/>
          <w:color w:val="auto"/>
          <w:lang w:val="en-US" w:eastAsia="zh-CN"/>
        </w:rPr>
        <w:t>洪雅</w:t>
      </w:r>
      <w:r>
        <w:rPr>
          <w:rFonts w:hint="eastAsia" w:cs="Times New Roman"/>
          <w:color w:val="auto"/>
          <w:lang w:val="en-US" w:eastAsia="zh-CN"/>
        </w:rPr>
        <w:t>、</w:t>
      </w:r>
      <w:r>
        <w:rPr>
          <w:rFonts w:hint="eastAsia" w:ascii="Times New Roman" w:hAnsi="Times New Roman" w:cs="Times New Roman"/>
          <w:color w:val="auto"/>
          <w:lang w:val="en-US" w:eastAsia="zh-CN"/>
        </w:rPr>
        <w:t>乐山本地的元明粉和纯碱等货物对外运输，大件重点服务德阳、成都、自贡等地的大型装备对外运输。</w:t>
      </w: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15"/>
        <w:gridCol w:w="49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20" w:type="dxa"/>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vertAlign w:val="baseline"/>
                <w:lang w:val="en-US" w:eastAsia="zh-CN"/>
              </w:rPr>
            </w:pPr>
            <w:r>
              <w:rPr>
                <w:rFonts w:ascii="宋体" w:hAnsi="宋体" w:eastAsia="宋体" w:cs="宋体"/>
                <w:color w:val="auto"/>
                <w:sz w:val="24"/>
                <w:szCs w:val="24"/>
              </w:rPr>
              <w:drawing>
                <wp:inline distT="0" distB="0" distL="114300" distR="114300">
                  <wp:extent cx="3210560" cy="2825750"/>
                  <wp:effectExtent l="0" t="0" r="0" b="0"/>
                  <wp:docPr id="1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IMG_256"/>
                          <pic:cNvPicPr>
                            <a:picLocks noChangeAspect="1"/>
                          </pic:cNvPicPr>
                        </pic:nvPicPr>
                        <pic:blipFill>
                          <a:blip r:embed="rId32"/>
                          <a:srcRect l="10211" t="876" r="18645" b="-876"/>
                          <a:stretch>
                            <a:fillRect/>
                          </a:stretch>
                        </pic:blipFill>
                        <pic:spPr>
                          <a:xfrm>
                            <a:off x="0" y="0"/>
                            <a:ext cx="3210560" cy="2825750"/>
                          </a:xfrm>
                          <a:prstGeom prst="rect">
                            <a:avLst/>
                          </a:prstGeom>
                          <a:noFill/>
                          <a:ln w="9525">
                            <a:noFill/>
                          </a:ln>
                        </pic:spPr>
                      </pic:pic>
                    </a:graphicData>
                  </a:graphic>
                </wp:inline>
              </w:drawing>
            </w:r>
          </w:p>
        </w:tc>
        <w:tc>
          <w:tcPr>
            <w:tcW w:w="5021" w:type="dxa"/>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vertAlign w:val="baseline"/>
                <w:lang w:val="en-US" w:eastAsia="zh-CN"/>
              </w:rPr>
            </w:pPr>
            <w:r>
              <w:rPr>
                <w:color w:val="auto"/>
              </w:rPr>
              <w:drawing>
                <wp:inline distT="0" distB="0" distL="114300" distR="114300">
                  <wp:extent cx="3074670" cy="2796540"/>
                  <wp:effectExtent l="0" t="0" r="11430" b="3810"/>
                  <wp:docPr id="10" name="图片 9"/>
                  <wp:cNvGraphicFramePr/>
                  <a:graphic xmlns:a="http://schemas.openxmlformats.org/drawingml/2006/main">
                    <a:graphicData uri="http://schemas.openxmlformats.org/drawingml/2006/picture">
                      <pic:pic xmlns:pic="http://schemas.openxmlformats.org/drawingml/2006/picture">
                        <pic:nvPicPr>
                          <pic:cNvPr id="10" name="图片 9"/>
                          <pic:cNvPicPr/>
                        </pic:nvPicPr>
                        <pic:blipFill>
                          <a:blip r:embed="rId33"/>
                          <a:srcRect l="3942" t="19809" r="44250" b="9514"/>
                          <a:stretch>
                            <a:fillRect/>
                          </a:stretch>
                        </pic:blipFill>
                        <pic:spPr>
                          <a:xfrm>
                            <a:off x="0" y="0"/>
                            <a:ext cx="3074670" cy="2796540"/>
                          </a:xfrm>
                          <a:prstGeom prst="rect">
                            <a:avLst/>
                          </a:prstGeom>
                        </pic:spPr>
                      </pic:pic>
                    </a:graphicData>
                  </a:graphic>
                </wp:inline>
              </w:drawing>
            </w:r>
          </w:p>
        </w:tc>
      </w:tr>
    </w:tbl>
    <w:p>
      <w:pPr>
        <w:pStyle w:val="7"/>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10</w:t>
      </w:r>
      <w:r>
        <w:rPr>
          <w:color w:val="auto"/>
        </w:rPr>
        <w:fldChar w:fldCharType="end"/>
      </w:r>
      <w:r>
        <w:rPr>
          <w:rFonts w:hint="eastAsia"/>
          <w:color w:val="auto"/>
          <w:lang w:val="en-US" w:eastAsia="zh-CN"/>
        </w:rPr>
        <w:t xml:space="preserve"> 乐山开行中亚班列和长江班列</w:t>
      </w:r>
    </w:p>
    <w:p>
      <w:pPr>
        <w:pStyle w:val="5"/>
        <w:bidi w:val="0"/>
        <w:rPr>
          <w:rFonts w:hint="default"/>
          <w:color w:val="auto"/>
          <w:lang w:val="en-US" w:eastAsia="zh-CN"/>
        </w:rPr>
      </w:pPr>
      <w:r>
        <w:rPr>
          <w:rFonts w:hint="eastAsia"/>
          <w:color w:val="auto"/>
          <w:lang w:val="en-US" w:eastAsia="zh-CN"/>
        </w:rPr>
        <w:t>营商环境</w:t>
      </w:r>
    </w:p>
    <w:p>
      <w:pPr>
        <w:rPr>
          <w:rFonts w:hint="default" w:ascii="Times New Roman" w:hAnsi="Times New Roman" w:cs="Times New Roman"/>
          <w:b w:val="0"/>
          <w:bCs w:val="0"/>
          <w:color w:val="auto"/>
          <w:lang w:val="en-US" w:eastAsia="zh-CN"/>
        </w:rPr>
      </w:pPr>
      <w:r>
        <w:rPr>
          <w:rFonts w:hint="eastAsia" w:ascii="Times New Roman" w:hAnsi="Times New Roman" w:cs="Times New Roman"/>
          <w:b w:val="0"/>
          <w:bCs w:val="0"/>
          <w:color w:val="auto"/>
          <w:lang w:val="en-US" w:eastAsia="zh-CN"/>
        </w:rPr>
        <w:t>近年来，乐山市充分发挥地理区位、资源产业优势，积极扩大全市物流产业对外开放合作。市政府先后与蜀道铁路运营集团、省港航投资集团签订战略合作协议，在共同创新多式联运服务、推动岷江高等级航道建设等领域开展深度合作。同时，乐山积极出台真金白银支持政策，最大程度激活市场主体活力，印发《支持“转企升规”十五条政策措施》，</w:t>
      </w:r>
      <w:r>
        <w:rPr>
          <w:rFonts w:hint="eastAsia" w:cs="Times New Roman"/>
          <w:b w:val="0"/>
          <w:bCs w:val="0"/>
          <w:color w:val="auto"/>
          <w:lang w:val="en-US" w:eastAsia="zh-CN"/>
        </w:rPr>
        <w:t>对</w:t>
      </w:r>
      <w:r>
        <w:rPr>
          <w:rFonts w:hint="eastAsia" w:ascii="Times New Roman" w:hAnsi="Times New Roman" w:cs="Times New Roman"/>
          <w:b w:val="0"/>
          <w:bCs w:val="0"/>
          <w:color w:val="auto"/>
          <w:lang w:val="en-US" w:eastAsia="zh-CN"/>
        </w:rPr>
        <w:t>道路运输企业等服务企业</w:t>
      </w:r>
      <w:r>
        <w:rPr>
          <w:rFonts w:hint="eastAsia" w:cs="Times New Roman"/>
          <w:b w:val="0"/>
          <w:bCs w:val="0"/>
          <w:color w:val="auto"/>
          <w:lang w:val="en-US" w:eastAsia="zh-CN"/>
        </w:rPr>
        <w:t>给予</w:t>
      </w:r>
      <w:r>
        <w:rPr>
          <w:rFonts w:hint="eastAsia" w:ascii="Times New Roman" w:hAnsi="Times New Roman" w:cs="Times New Roman"/>
          <w:b w:val="0"/>
          <w:bCs w:val="0"/>
          <w:color w:val="auto"/>
          <w:lang w:val="en-US" w:eastAsia="zh-CN"/>
        </w:rPr>
        <w:t>升规入统奖励；聚焦</w:t>
      </w:r>
      <w:r>
        <w:rPr>
          <w:rFonts w:hint="default" w:ascii="Times New Roman" w:hAnsi="Times New Roman" w:eastAsia="仿宋_GB2312" w:cs="Times New Roman"/>
          <w:color w:val="auto"/>
          <w:sz w:val="32"/>
          <w:szCs w:val="40"/>
          <w:highlight w:val="none"/>
          <w:lang w:val="en-US" w:eastAsia="zh-CN"/>
        </w:rPr>
        <w:t>加快现代物流产业建圈强链</w:t>
      </w:r>
      <w:r>
        <w:rPr>
          <w:rFonts w:hint="eastAsia" w:cs="Times New Roman"/>
          <w:color w:val="auto"/>
          <w:sz w:val="32"/>
          <w:szCs w:val="40"/>
          <w:highlight w:val="none"/>
          <w:lang w:val="en-US" w:eastAsia="zh-CN"/>
        </w:rPr>
        <w:t>，</w:t>
      </w:r>
      <w:r>
        <w:rPr>
          <w:rFonts w:hint="eastAsia" w:ascii="Times New Roman" w:hAnsi="Times New Roman" w:cs="Times New Roman"/>
          <w:b w:val="0"/>
          <w:bCs w:val="0"/>
          <w:color w:val="auto"/>
          <w:lang w:val="en-US" w:eastAsia="zh-CN"/>
        </w:rPr>
        <w:t>专门印发</w:t>
      </w:r>
      <w:r>
        <w:rPr>
          <w:rFonts w:hint="default" w:ascii="Times New Roman" w:hAnsi="Times New Roman" w:cs="Times New Roman"/>
          <w:b w:val="0"/>
          <w:bCs w:val="0"/>
          <w:color w:val="auto"/>
          <w:lang w:val="en-US" w:eastAsia="zh-CN"/>
        </w:rPr>
        <w:t>《乐山市加快现代物流业高质量发展支持政策》</w:t>
      </w:r>
      <w:r>
        <w:rPr>
          <w:rFonts w:hint="eastAsia" w:ascii="Times New Roman" w:hAnsi="Times New Roman" w:cs="Times New Roman"/>
          <w:b w:val="0"/>
          <w:bCs w:val="0"/>
          <w:color w:val="auto"/>
          <w:lang w:val="en-US" w:eastAsia="zh-CN"/>
        </w:rPr>
        <w:t>，围绕支持物流园区能级提升、培育壮大物流市场主体、推进多式联运发展、支持发展新质生产力、健全城乡物流网络、加强物流发展要素保障等六方面细化制定</w:t>
      </w:r>
      <w:r>
        <w:rPr>
          <w:rFonts w:hint="eastAsia" w:cs="Times New Roman"/>
          <w:b w:val="0"/>
          <w:bCs w:val="0"/>
          <w:color w:val="auto"/>
          <w:lang w:val="en-US" w:eastAsia="zh-CN"/>
        </w:rPr>
        <w:t>了系列</w:t>
      </w:r>
      <w:r>
        <w:rPr>
          <w:rFonts w:hint="eastAsia" w:ascii="Times New Roman" w:hAnsi="Times New Roman" w:cs="Times New Roman"/>
          <w:b w:val="0"/>
          <w:bCs w:val="0"/>
          <w:color w:val="auto"/>
          <w:lang w:val="en-US" w:eastAsia="zh-CN"/>
        </w:rPr>
        <w:t>具体举措。</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9</w:t>
      </w:r>
      <w:r>
        <w:rPr>
          <w:color w:val="auto"/>
        </w:rPr>
        <w:fldChar w:fldCharType="end"/>
      </w:r>
      <w:r>
        <w:rPr>
          <w:rFonts w:hint="eastAsia"/>
          <w:color w:val="auto"/>
          <w:lang w:val="en-US" w:eastAsia="zh-CN"/>
        </w:rPr>
        <w:t xml:space="preserve"> 乐山市优化物流产业营商环境政策清单</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2103"/>
        <w:gridCol w:w="7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43"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kern w:val="0"/>
                <w:sz w:val="24"/>
                <w:szCs w:val="24"/>
              </w:rPr>
            </w:pPr>
            <w:r>
              <w:rPr>
                <w:rFonts w:hint="default" w:ascii="Times New Roman" w:hAnsi="Times New Roman" w:eastAsia="黑体" w:cs="Times New Roman"/>
                <w:color w:val="auto"/>
                <w:kern w:val="0"/>
                <w:sz w:val="24"/>
                <w:szCs w:val="24"/>
              </w:rPr>
              <w:t>序号</w:t>
            </w:r>
          </w:p>
        </w:tc>
        <w:tc>
          <w:tcPr>
            <w:tcW w:w="1047"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kern w:val="0"/>
                <w:sz w:val="24"/>
                <w:szCs w:val="24"/>
              </w:rPr>
            </w:pPr>
            <w:r>
              <w:rPr>
                <w:rFonts w:hint="default" w:ascii="Times New Roman" w:hAnsi="Times New Roman" w:eastAsia="黑体" w:cs="Times New Roman"/>
                <w:color w:val="auto"/>
                <w:kern w:val="0"/>
                <w:sz w:val="24"/>
                <w:szCs w:val="24"/>
              </w:rPr>
              <w:t>政策文件</w:t>
            </w:r>
          </w:p>
        </w:tc>
        <w:tc>
          <w:tcPr>
            <w:tcW w:w="3508"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kern w:val="0"/>
                <w:sz w:val="24"/>
                <w:szCs w:val="24"/>
              </w:rPr>
            </w:pPr>
            <w:r>
              <w:rPr>
                <w:rFonts w:hint="default" w:ascii="Times New Roman" w:hAnsi="Times New Roman" w:eastAsia="黑体" w:cs="Times New Roman"/>
                <w:color w:val="auto"/>
                <w:kern w:val="0"/>
                <w:sz w:val="24"/>
                <w:szCs w:val="24"/>
              </w:rPr>
              <w:t>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0"/>
                <w:sz w:val="24"/>
                <w:szCs w:val="24"/>
                <w:lang w:val="en-US" w:eastAsia="zh-CN" w:bidi="ar-SA"/>
              </w:rPr>
            </w:pPr>
            <w:r>
              <w:rPr>
                <w:rFonts w:hint="eastAsia" w:ascii="Times New Roman" w:hAnsi="Times New Roman" w:cs="Times New Roman"/>
                <w:color w:val="auto"/>
                <w:kern w:val="0"/>
                <w:sz w:val="24"/>
                <w:szCs w:val="24"/>
                <w:lang w:val="en-US" w:eastAsia="zh-CN" w:bidi="ar-SA"/>
              </w:rPr>
              <w:t>1</w:t>
            </w:r>
          </w:p>
        </w:tc>
        <w:tc>
          <w:tcPr>
            <w:tcW w:w="1047" w:type="pct"/>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0"/>
                <w:sz w:val="24"/>
                <w:szCs w:val="24"/>
                <w:lang w:val="en-US" w:eastAsia="zh-CN" w:bidi="ar-SA"/>
              </w:rPr>
            </w:pPr>
            <w:r>
              <w:rPr>
                <w:rFonts w:hint="eastAsia" w:cs="Times New Roman"/>
                <w:color w:val="auto"/>
                <w:kern w:val="0"/>
                <w:sz w:val="24"/>
                <w:szCs w:val="24"/>
                <w:lang w:eastAsia="zh-CN"/>
              </w:rPr>
              <w:t>《</w:t>
            </w:r>
            <w:r>
              <w:rPr>
                <w:rFonts w:hint="eastAsia" w:cs="Times New Roman"/>
                <w:color w:val="auto"/>
                <w:kern w:val="0"/>
                <w:sz w:val="24"/>
                <w:szCs w:val="24"/>
              </w:rPr>
              <w:t>支持“转企升规”十五条政策措施</w:t>
            </w:r>
            <w:r>
              <w:rPr>
                <w:rFonts w:hint="eastAsia" w:cs="Times New Roman"/>
                <w:color w:val="auto"/>
                <w:kern w:val="0"/>
                <w:sz w:val="24"/>
                <w:szCs w:val="24"/>
                <w:lang w:eastAsia="zh-CN"/>
              </w:rPr>
              <w:t>》</w:t>
            </w:r>
          </w:p>
        </w:tc>
        <w:tc>
          <w:tcPr>
            <w:tcW w:w="3508" w:type="pct"/>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0"/>
                <w:sz w:val="24"/>
                <w:szCs w:val="24"/>
                <w:lang w:val="en-US" w:eastAsia="zh-CN" w:bidi="ar-SA"/>
              </w:rPr>
            </w:pPr>
            <w:r>
              <w:rPr>
                <w:rFonts w:hint="default" w:cs="Times New Roman"/>
                <w:color w:val="auto"/>
                <w:kern w:val="0"/>
                <w:sz w:val="24"/>
                <w:szCs w:val="24"/>
              </w:rPr>
              <w:t>对首次入统的服务业企业</w:t>
            </w:r>
            <w:r>
              <w:rPr>
                <w:rFonts w:hint="eastAsia" w:cs="Times New Roman"/>
                <w:color w:val="auto"/>
                <w:kern w:val="0"/>
                <w:sz w:val="24"/>
                <w:szCs w:val="24"/>
                <w:lang w:eastAsia="zh-CN"/>
              </w:rPr>
              <w:t>（</w:t>
            </w:r>
            <w:r>
              <w:rPr>
                <w:rFonts w:hint="eastAsia" w:cs="Times New Roman"/>
                <w:color w:val="auto"/>
                <w:kern w:val="0"/>
                <w:sz w:val="24"/>
                <w:szCs w:val="24"/>
                <w:lang w:val="en-US" w:eastAsia="zh-CN"/>
              </w:rPr>
              <w:t>含运输服务企业</w:t>
            </w:r>
            <w:r>
              <w:rPr>
                <w:rFonts w:hint="eastAsia" w:cs="Times New Roman"/>
                <w:color w:val="auto"/>
                <w:kern w:val="0"/>
                <w:sz w:val="24"/>
                <w:szCs w:val="24"/>
                <w:lang w:eastAsia="zh-CN"/>
              </w:rPr>
              <w:t>）</w:t>
            </w:r>
            <w:r>
              <w:rPr>
                <w:rFonts w:hint="default" w:cs="Times New Roman"/>
                <w:color w:val="auto"/>
                <w:kern w:val="0"/>
                <w:sz w:val="24"/>
                <w:szCs w:val="24"/>
              </w:rPr>
              <w:t>，一次性给予4万元/户的统计平台建设补助</w:t>
            </w:r>
            <w:r>
              <w:rPr>
                <w:rFonts w:hint="eastAsia" w:cs="Times New Roman"/>
                <w:color w:val="auto"/>
                <w:kern w:val="0"/>
                <w:sz w:val="24"/>
                <w:szCs w:val="24"/>
                <w:lang w:eastAsia="zh-CN"/>
              </w:rPr>
              <w:t>。</w:t>
            </w:r>
            <w:r>
              <w:rPr>
                <w:rFonts w:hint="eastAsia" w:cs="Times New Roman"/>
                <w:color w:val="auto"/>
                <w:kern w:val="0"/>
                <w:sz w:val="24"/>
                <w:szCs w:val="24"/>
                <w:lang w:val="en-US" w:eastAsia="zh-CN"/>
              </w:rPr>
              <w:t>此外，按照申报入库批次年份的下一年度统计数据库中营业收入对企业给予提档升级奖励：对年营业收入1000万元（含）以上2000万元以下的服务业企业，一次性给予最高10万元/户奖励；对年营业收入2000万元（含）以上3000万元以下的服务业企业，一次性给予最高16万元/户奖励；对年营业收入达3000万元（含）以上的服务业企业，一次性给予最高30万元/户奖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0"/>
                <w:sz w:val="24"/>
                <w:szCs w:val="24"/>
                <w:lang w:val="en-US" w:eastAsia="zh-CN" w:bidi="ar-SA"/>
              </w:rPr>
            </w:pPr>
            <w:r>
              <w:rPr>
                <w:rFonts w:hint="eastAsia" w:ascii="Times New Roman" w:hAnsi="Times New Roman" w:cs="Times New Roman"/>
                <w:color w:val="auto"/>
                <w:kern w:val="0"/>
                <w:sz w:val="24"/>
                <w:szCs w:val="24"/>
                <w:lang w:val="en-US" w:eastAsia="zh-CN" w:bidi="ar-SA"/>
              </w:rPr>
              <w:t>2</w:t>
            </w:r>
          </w:p>
        </w:tc>
        <w:tc>
          <w:tcPr>
            <w:tcW w:w="1047"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kern w:val="0"/>
                <w:sz w:val="24"/>
                <w:szCs w:val="24"/>
                <w:lang w:eastAsia="zh-CN"/>
              </w:rPr>
            </w:pPr>
            <w:r>
              <w:rPr>
                <w:rFonts w:hint="default" w:ascii="Times New Roman" w:hAnsi="Times New Roman" w:cs="Times New Roman"/>
                <w:color w:val="auto"/>
                <w:kern w:val="0"/>
                <w:sz w:val="24"/>
                <w:szCs w:val="24"/>
                <w:lang w:eastAsia="zh-CN"/>
              </w:rPr>
              <w:t>《乐山市加快现代物流业高质量发展支持政策》</w:t>
            </w:r>
          </w:p>
        </w:tc>
        <w:tc>
          <w:tcPr>
            <w:tcW w:w="3508" w:type="pct"/>
            <w:vAlign w:val="center"/>
          </w:tcPr>
          <w:p>
            <w:pPr>
              <w:keepNext w:val="0"/>
              <w:keepLines w:val="0"/>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kern w:val="0"/>
                <w:sz w:val="24"/>
                <w:szCs w:val="24"/>
              </w:rPr>
            </w:pPr>
            <w:r>
              <w:rPr>
                <w:rFonts w:hint="default" w:ascii="Times New Roman" w:hAnsi="Times New Roman" w:eastAsia="仿宋_GB2312" w:cs="Times New Roman"/>
                <w:color w:val="auto"/>
                <w:kern w:val="0"/>
                <w:sz w:val="24"/>
                <w:szCs w:val="24"/>
                <w:lang w:val="en-US" w:eastAsia="zh-CN"/>
              </w:rPr>
              <w:t>围绕支持</w:t>
            </w:r>
            <w:r>
              <w:rPr>
                <w:rFonts w:hint="eastAsia" w:cs="Times New Roman"/>
                <w:color w:val="auto"/>
                <w:kern w:val="0"/>
                <w:sz w:val="24"/>
                <w:szCs w:val="24"/>
                <w:lang w:val="en-US" w:eastAsia="zh-CN"/>
              </w:rPr>
              <w:t>冷链物流发展</w:t>
            </w:r>
            <w:r>
              <w:rPr>
                <w:rFonts w:hint="default" w:ascii="Times New Roman" w:hAnsi="Times New Roman" w:eastAsia="仿宋_GB2312" w:cs="Times New Roman"/>
                <w:color w:val="auto"/>
                <w:kern w:val="0"/>
                <w:sz w:val="24"/>
                <w:szCs w:val="24"/>
                <w:lang w:val="en-US" w:eastAsia="zh-CN"/>
              </w:rPr>
              <w:t>、</w:t>
            </w:r>
            <w:r>
              <w:rPr>
                <w:rFonts w:hint="eastAsia" w:cs="Times New Roman"/>
                <w:b w:val="0"/>
                <w:color w:val="auto"/>
                <w:kern w:val="0"/>
                <w:sz w:val="24"/>
                <w:szCs w:val="24"/>
                <w:lang w:val="en-US" w:eastAsia="zh-CN"/>
              </w:rPr>
              <w:t>支持物流园区集约化和规模化发展</w:t>
            </w:r>
            <w:r>
              <w:rPr>
                <w:rFonts w:hint="default" w:ascii="Times New Roman" w:hAnsi="Times New Roman" w:eastAsia="仿宋_GB2312" w:cs="Times New Roman"/>
                <w:b w:val="0"/>
                <w:color w:val="auto"/>
                <w:kern w:val="0"/>
                <w:sz w:val="24"/>
                <w:szCs w:val="24"/>
                <w:lang w:val="en-US" w:eastAsia="zh-CN"/>
              </w:rPr>
              <w:t>、</w:t>
            </w:r>
            <w:r>
              <w:rPr>
                <w:rFonts w:hint="eastAsia" w:cs="Times New Roman"/>
                <w:b w:val="0"/>
                <w:color w:val="auto"/>
                <w:kern w:val="0"/>
                <w:sz w:val="24"/>
                <w:szCs w:val="24"/>
                <w:lang w:val="en-US" w:eastAsia="zh-CN"/>
              </w:rPr>
              <w:t>支持交通物流企业升规入统</w:t>
            </w:r>
            <w:r>
              <w:rPr>
                <w:rFonts w:hint="default" w:ascii="Times New Roman" w:hAnsi="Times New Roman" w:eastAsia="仿宋_GB2312" w:cs="Times New Roman"/>
                <w:b w:val="0"/>
                <w:color w:val="auto"/>
                <w:kern w:val="0"/>
                <w:sz w:val="24"/>
                <w:szCs w:val="24"/>
                <w:lang w:val="en-US" w:eastAsia="zh-CN"/>
              </w:rPr>
              <w:t>、</w:t>
            </w:r>
            <w:r>
              <w:rPr>
                <w:rFonts w:hint="eastAsia" w:cs="Times New Roman"/>
                <w:b w:val="0"/>
                <w:color w:val="auto"/>
                <w:kern w:val="0"/>
                <w:sz w:val="24"/>
                <w:szCs w:val="24"/>
                <w:lang w:val="en-US" w:eastAsia="zh-CN"/>
              </w:rPr>
              <w:t>支持物流企业“升A升星”</w:t>
            </w:r>
            <w:r>
              <w:rPr>
                <w:rFonts w:hint="default" w:ascii="Times New Roman" w:hAnsi="Times New Roman" w:eastAsia="仿宋_GB2312" w:cs="Times New Roman"/>
                <w:b w:val="0"/>
                <w:color w:val="auto"/>
                <w:kern w:val="0"/>
                <w:sz w:val="24"/>
                <w:szCs w:val="24"/>
                <w:lang w:val="en-US" w:eastAsia="zh-CN"/>
              </w:rPr>
              <w:t>、</w:t>
            </w:r>
            <w:r>
              <w:rPr>
                <w:rFonts w:hint="eastAsia" w:cs="Times New Roman"/>
                <w:b w:val="0"/>
                <w:color w:val="auto"/>
                <w:kern w:val="0"/>
                <w:sz w:val="24"/>
                <w:szCs w:val="24"/>
                <w:lang w:val="en-US" w:eastAsia="zh-CN"/>
              </w:rPr>
              <w:t>支持内河水运发展</w:t>
            </w:r>
            <w:r>
              <w:rPr>
                <w:rFonts w:hint="default" w:ascii="Times New Roman" w:hAnsi="Times New Roman" w:eastAsia="仿宋_GB2312" w:cs="Times New Roman"/>
                <w:b w:val="0"/>
                <w:color w:val="auto"/>
                <w:kern w:val="0"/>
                <w:sz w:val="24"/>
                <w:szCs w:val="24"/>
                <w:lang w:val="en-US" w:eastAsia="zh-CN"/>
              </w:rPr>
              <w:t>、</w:t>
            </w:r>
            <w:r>
              <w:rPr>
                <w:rFonts w:hint="eastAsia" w:cs="Times New Roman"/>
                <w:b w:val="0"/>
                <w:color w:val="auto"/>
                <w:kern w:val="0"/>
                <w:sz w:val="24"/>
                <w:szCs w:val="24"/>
                <w:lang w:val="en-US" w:eastAsia="zh-CN"/>
              </w:rPr>
              <w:t>推动多式联运发展、支持物流用地保障</w:t>
            </w:r>
            <w:r>
              <w:rPr>
                <w:rFonts w:hint="eastAsia" w:ascii="Times New Roman" w:hAnsi="Times New Roman" w:cs="Times New Roman"/>
                <w:b w:val="0"/>
                <w:color w:val="auto"/>
                <w:kern w:val="0"/>
                <w:sz w:val="24"/>
                <w:szCs w:val="24"/>
                <w:lang w:val="en-US" w:eastAsia="zh-CN"/>
              </w:rPr>
              <w:t>等方面提出具体的资金和用地支持政策，促进现代物流行业高质量发展。</w:t>
            </w:r>
          </w:p>
        </w:tc>
      </w:tr>
    </w:tbl>
    <w:p>
      <w:pPr>
        <w:pStyle w:val="5"/>
        <w:bidi w:val="0"/>
        <w:ind w:firstLineChars="200"/>
        <w:rPr>
          <w:rFonts w:hint="default"/>
          <w:color w:val="auto"/>
          <w:lang w:val="en-US" w:eastAsia="zh-CN"/>
        </w:rPr>
      </w:pPr>
      <w:r>
        <w:rPr>
          <w:rFonts w:hint="eastAsia"/>
          <w:color w:val="auto"/>
          <w:lang w:val="en-US" w:eastAsia="zh-CN"/>
        </w:rPr>
        <w:t>存在问题</w:t>
      </w:r>
    </w:p>
    <w:p>
      <w:pPr>
        <w:bidi w:val="0"/>
        <w:spacing w:line="600" w:lineRule="exact"/>
        <w:ind w:firstLine="640" w:firstLineChars="200"/>
        <w:rPr>
          <w:rFonts w:hint="eastAsia" w:ascii="Times New Roman" w:hAnsi="Times New Roman" w:cstheme="minorBidi"/>
          <w:b w:val="0"/>
          <w:bCs w:val="0"/>
          <w:color w:val="auto"/>
          <w:kern w:val="2"/>
          <w:sz w:val="32"/>
          <w:szCs w:val="22"/>
          <w:shd w:val="clear"/>
          <w:lang w:val="en-US" w:eastAsia="zh-CN" w:bidi="ar"/>
        </w:rPr>
      </w:pPr>
      <w:r>
        <w:rPr>
          <w:rFonts w:hint="eastAsia" w:ascii="仿宋_GB2312" w:hAnsi="仿宋_GB2312" w:eastAsia="仿宋_GB2312" w:cs="仿宋_GB2312"/>
          <w:b w:val="0"/>
          <w:bCs w:val="0"/>
          <w:color w:val="auto"/>
          <w:sz w:val="32"/>
          <w:szCs w:val="22"/>
          <w:shd w:val="clear" w:color="auto" w:fill="auto"/>
          <w:lang w:val="en-US" w:eastAsia="zh-CN"/>
        </w:rPr>
        <w:t>一是物流市场主体“小、散、弱”。</w:t>
      </w:r>
      <w:r>
        <w:rPr>
          <w:rFonts w:hint="eastAsia" w:ascii="仿宋_GB2312" w:hAnsi="仿宋_GB2312" w:eastAsia="仿宋_GB2312" w:cs="仿宋_GB2312"/>
          <w:b w:val="0"/>
          <w:bCs w:val="0"/>
          <w:color w:val="auto"/>
          <w:lang w:val="en-US" w:eastAsia="zh-CN"/>
        </w:rPr>
        <w:t>A级及以上物流企业数量仅位居全省第15位，物流企业普遍存在同质化竞争，</w:t>
      </w:r>
      <w:r>
        <w:rPr>
          <w:rFonts w:hint="eastAsia" w:ascii="仿宋_GB2312" w:hAnsi="仿宋_GB2312" w:eastAsia="仿宋_GB2312" w:cs="仿宋_GB2312"/>
          <w:b w:val="0"/>
          <w:bCs w:val="0"/>
          <w:color w:val="auto"/>
          <w:kern w:val="3"/>
          <w:sz w:val="32"/>
          <w:rtl w:val="0"/>
          <w:lang w:val="en-US" w:eastAsia="zh-CN"/>
        </w:rPr>
        <w:t>大型生产制造企业、商贸企业仍以自营物流为主，</w:t>
      </w:r>
      <w:r>
        <w:rPr>
          <w:rFonts w:hint="eastAsia" w:ascii="仿宋_GB2312" w:hAnsi="仿宋_GB2312" w:eastAsia="仿宋_GB2312" w:cs="仿宋_GB2312"/>
          <w:b w:val="0"/>
          <w:bCs w:val="0"/>
          <w:color w:val="auto"/>
          <w:sz w:val="32"/>
          <w:szCs w:val="22"/>
          <w:shd w:val="clear" w:color="auto" w:fill="auto"/>
          <w:lang w:val="en-US" w:eastAsia="zh-CN"/>
        </w:rPr>
        <w:t>缺少竞争能力强的龙头型多式联运企业，</w:t>
      </w:r>
      <w:r>
        <w:rPr>
          <w:rFonts w:hint="eastAsia" w:ascii="仿宋_GB2312" w:hAnsi="仿宋_GB2312" w:eastAsia="仿宋_GB2312" w:cs="仿宋_GB2312"/>
          <w:b w:val="0"/>
          <w:bCs w:val="0"/>
          <w:color w:val="auto"/>
          <w:kern w:val="2"/>
          <w:sz w:val="32"/>
          <w:szCs w:val="22"/>
          <w:shd w:val="clear" w:color="auto" w:fill="auto"/>
          <w:lang w:val="en-US" w:eastAsia="zh-CN" w:bidi="ar"/>
        </w:rPr>
        <w:t>无法与生产企业建立深度合作关系</w:t>
      </w:r>
      <w:r>
        <w:rPr>
          <w:rFonts w:hint="eastAsia" w:ascii="仿宋_GB2312" w:hAnsi="仿宋_GB2312" w:eastAsia="仿宋_GB2312" w:cs="仿宋_GB2312"/>
          <w:b w:val="0"/>
          <w:bCs w:val="0"/>
          <w:color w:val="auto"/>
          <w:kern w:val="2"/>
          <w:sz w:val="32"/>
          <w:szCs w:val="22"/>
          <w:shd w:val="clear"/>
          <w:lang w:val="en-US" w:eastAsia="zh-CN" w:bidi="ar"/>
        </w:rPr>
        <w:t>。二是铁路、水路基础设施优势尚未转变成运输能力优势。国际</w:t>
      </w:r>
      <w:r>
        <w:rPr>
          <w:rFonts w:hint="eastAsia" w:ascii="Times New Roman" w:hAnsi="Times New Roman" w:cstheme="minorBidi"/>
          <w:b w:val="0"/>
          <w:bCs w:val="0"/>
          <w:color w:val="auto"/>
          <w:kern w:val="2"/>
          <w:sz w:val="32"/>
          <w:szCs w:val="22"/>
          <w:shd w:val="clear"/>
          <w:lang w:val="en-US" w:eastAsia="zh-CN" w:bidi="ar"/>
        </w:rPr>
        <w:t>班列开行数量、开行线路数量</w:t>
      </w:r>
      <w:r>
        <w:rPr>
          <w:rFonts w:hint="eastAsia" w:cstheme="minorBidi"/>
          <w:b w:val="0"/>
          <w:bCs w:val="0"/>
          <w:color w:val="auto"/>
          <w:kern w:val="2"/>
          <w:sz w:val="32"/>
          <w:szCs w:val="22"/>
          <w:shd w:val="clear"/>
          <w:lang w:val="en-US" w:eastAsia="zh-CN" w:bidi="ar"/>
        </w:rPr>
        <w:t>少于</w:t>
      </w:r>
      <w:r>
        <w:rPr>
          <w:rFonts w:hint="eastAsia" w:ascii="Times New Roman" w:hAnsi="Times New Roman" w:cstheme="minorBidi"/>
          <w:b w:val="0"/>
          <w:bCs w:val="0"/>
          <w:color w:val="auto"/>
          <w:kern w:val="2"/>
          <w:sz w:val="32"/>
          <w:szCs w:val="22"/>
          <w:shd w:val="clear"/>
          <w:lang w:val="en-US" w:eastAsia="zh-CN" w:bidi="ar"/>
        </w:rPr>
        <w:t>省内泸州、宜宾、达州等其他城市，国际物流服务水平较低</w:t>
      </w:r>
      <w:r>
        <w:rPr>
          <w:rFonts w:hint="eastAsia" w:cstheme="minorBidi"/>
          <w:b w:val="0"/>
          <w:bCs w:val="0"/>
          <w:color w:val="auto"/>
          <w:kern w:val="2"/>
          <w:sz w:val="32"/>
          <w:szCs w:val="22"/>
          <w:shd w:val="clear"/>
          <w:lang w:val="en-US" w:eastAsia="zh-CN" w:bidi="ar"/>
        </w:rPr>
        <w:t>；</w:t>
      </w:r>
      <w:r>
        <w:rPr>
          <w:rFonts w:hint="eastAsia" w:ascii="Times New Roman" w:hAnsi="Times New Roman" w:cstheme="minorBidi"/>
          <w:b w:val="0"/>
          <w:bCs w:val="0"/>
          <w:color w:val="auto"/>
          <w:kern w:val="2"/>
          <w:sz w:val="32"/>
          <w:szCs w:val="22"/>
          <w:shd w:val="clear"/>
          <w:lang w:val="en-US" w:eastAsia="zh-CN" w:bidi="ar"/>
        </w:rPr>
        <w:t>岷江航道尚未开行集装箱班列航线，水运集约化、低成本运输优势没有充分发挥。</w:t>
      </w:r>
    </w:p>
    <w:p>
      <w:pPr>
        <w:bidi w:val="0"/>
        <w:spacing w:line="600" w:lineRule="exact"/>
        <w:ind w:firstLine="640" w:firstLineChars="200"/>
        <w:rPr>
          <w:rFonts w:hint="eastAsia" w:ascii="Times New Roman" w:hAnsi="Times New Roman" w:cstheme="minorBidi"/>
          <w:b w:val="0"/>
          <w:bCs w:val="0"/>
          <w:color w:val="auto"/>
          <w:kern w:val="2"/>
          <w:sz w:val="32"/>
          <w:szCs w:val="22"/>
          <w:shd w:val="clear"/>
          <w:lang w:val="en-US" w:eastAsia="zh-CN" w:bidi="ar"/>
        </w:rPr>
        <w:sectPr>
          <w:headerReference r:id="rId14" w:type="default"/>
          <w:pgSz w:w="23811" w:h="16838" w:orient="landscape"/>
          <w:pgMar w:top="1800" w:right="1440" w:bottom="1800" w:left="1440" w:header="851" w:footer="992" w:gutter="0"/>
          <w:pgNumType w:fmt="decimal"/>
          <w:cols w:space="1280" w:num="2"/>
          <w:docGrid w:type="lines" w:linePitch="312" w:charSpace="0"/>
        </w:sectPr>
      </w:pPr>
    </w:p>
    <w:p>
      <w:pPr>
        <w:pStyle w:val="3"/>
        <w:bidi w:val="0"/>
        <w:rPr>
          <w:rFonts w:hint="eastAsia"/>
          <w:color w:val="auto"/>
          <w:lang w:val="en-US" w:eastAsia="zh-CN"/>
        </w:rPr>
      </w:pPr>
      <w:bookmarkStart w:id="68" w:name="_Toc14171"/>
      <w:bookmarkStart w:id="69" w:name="_Toc13383"/>
      <w:bookmarkStart w:id="70" w:name="_Toc18925"/>
      <w:bookmarkStart w:id="71" w:name="_Toc29092"/>
      <w:bookmarkStart w:id="72" w:name="_Toc5107"/>
      <w:bookmarkStart w:id="73" w:name="_Toc7384"/>
      <w:r>
        <w:rPr>
          <w:rFonts w:hint="eastAsia"/>
          <w:color w:val="auto"/>
          <w:lang w:val="en-US" w:eastAsia="zh-CN"/>
        </w:rPr>
        <w:t>需求现状</w:t>
      </w:r>
      <w:bookmarkEnd w:id="67"/>
      <w:bookmarkEnd w:id="68"/>
      <w:bookmarkEnd w:id="69"/>
      <w:bookmarkEnd w:id="70"/>
      <w:bookmarkEnd w:id="71"/>
      <w:bookmarkEnd w:id="72"/>
      <w:r>
        <w:rPr>
          <w:rFonts w:hint="eastAsia"/>
          <w:color w:val="auto"/>
          <w:lang w:val="en-US" w:eastAsia="zh-CN"/>
        </w:rPr>
        <w:t>及预测</w:t>
      </w:r>
      <w:bookmarkEnd w:id="73"/>
    </w:p>
    <w:p>
      <w:pPr>
        <w:pStyle w:val="4"/>
        <w:bidi w:val="0"/>
        <w:rPr>
          <w:rFonts w:hint="default" w:ascii="Times New Roman" w:hAnsi="Times New Roman" w:cs="Times New Roman"/>
          <w:color w:val="auto"/>
          <w:lang w:val="en-US" w:eastAsia="zh-CN"/>
        </w:rPr>
      </w:pPr>
      <w:bookmarkStart w:id="74" w:name="_Toc18788"/>
      <w:bookmarkStart w:id="75" w:name="_Toc11957"/>
      <w:bookmarkStart w:id="76" w:name="_Toc447"/>
      <w:r>
        <w:rPr>
          <w:rFonts w:hint="default" w:ascii="Times New Roman" w:hAnsi="Times New Roman" w:cs="Times New Roman"/>
          <w:color w:val="auto"/>
          <w:lang w:val="en-US" w:eastAsia="zh-CN"/>
        </w:rPr>
        <w:t>公路货运现状分析</w:t>
      </w:r>
      <w:bookmarkEnd w:id="74"/>
      <w:bookmarkEnd w:id="75"/>
    </w:p>
    <w:p>
      <w:pPr>
        <w:bidi w:val="0"/>
        <w:rPr>
          <w:rFonts w:hint="default" w:ascii="Times New Roman" w:hAnsi="Times New Roman" w:eastAsia="仿宋_GB2312" w:cs="Times New Roman"/>
          <w:color w:val="auto"/>
          <w:sz w:val="32"/>
          <w:szCs w:val="22"/>
          <w:lang w:val="en-US" w:eastAsia="zh-CN"/>
        </w:rPr>
      </w:pPr>
      <w:r>
        <w:rPr>
          <w:rFonts w:hint="eastAsia" w:ascii="Times New Roman" w:hAnsi="Times New Roman" w:cs="Times New Roman"/>
          <w:color w:val="auto"/>
          <w:sz w:val="32"/>
          <w:szCs w:val="22"/>
          <w:lang w:val="en-US" w:eastAsia="zh-CN"/>
        </w:rPr>
        <w:t>乐山市</w:t>
      </w:r>
      <w:r>
        <w:rPr>
          <w:rFonts w:hint="default" w:ascii="Times New Roman" w:hAnsi="Times New Roman" w:cs="Times New Roman"/>
          <w:color w:val="auto"/>
          <w:sz w:val="32"/>
          <w:szCs w:val="22"/>
          <w:lang w:val="en-US" w:eastAsia="zh-CN"/>
        </w:rPr>
        <w:t>公路货运量占比长期在</w:t>
      </w:r>
      <w:r>
        <w:rPr>
          <w:rFonts w:hint="eastAsia" w:cs="Times New Roman"/>
          <w:color w:val="auto"/>
          <w:sz w:val="32"/>
          <w:szCs w:val="22"/>
          <w:lang w:val="en-US" w:eastAsia="zh-CN"/>
        </w:rPr>
        <w:t>90</w:t>
      </w:r>
      <w:r>
        <w:rPr>
          <w:rFonts w:hint="eastAsia" w:ascii="Times New Roman" w:hAnsi="Times New Roman" w:cs="Times New Roman"/>
          <w:color w:val="auto"/>
          <w:sz w:val="32"/>
          <w:szCs w:val="22"/>
          <w:lang w:val="en-US" w:eastAsia="zh-CN"/>
        </w:rPr>
        <w:t>%以上，公路货运流量、流向</w:t>
      </w:r>
      <w:r>
        <w:rPr>
          <w:rFonts w:hint="eastAsia" w:cs="Times New Roman"/>
          <w:color w:val="auto"/>
          <w:sz w:val="32"/>
          <w:szCs w:val="22"/>
          <w:lang w:val="en-US" w:eastAsia="zh-CN"/>
        </w:rPr>
        <w:t>特征</w:t>
      </w:r>
      <w:r>
        <w:rPr>
          <w:rFonts w:hint="eastAsia" w:ascii="Times New Roman" w:hAnsi="Times New Roman" w:cs="Times New Roman"/>
          <w:color w:val="auto"/>
          <w:sz w:val="32"/>
          <w:szCs w:val="22"/>
          <w:lang w:val="en-US" w:eastAsia="zh-CN"/>
        </w:rPr>
        <w:t>可较好</w:t>
      </w:r>
      <w:r>
        <w:rPr>
          <w:rFonts w:hint="eastAsia" w:cs="Times New Roman"/>
          <w:color w:val="auto"/>
          <w:sz w:val="32"/>
          <w:szCs w:val="22"/>
          <w:lang w:val="en-US" w:eastAsia="zh-CN"/>
        </w:rPr>
        <w:t>表征</w:t>
      </w:r>
      <w:r>
        <w:rPr>
          <w:rFonts w:hint="eastAsia" w:ascii="Times New Roman" w:hAnsi="Times New Roman" w:cs="Times New Roman"/>
          <w:color w:val="auto"/>
          <w:sz w:val="32"/>
          <w:szCs w:val="22"/>
          <w:lang w:val="en-US" w:eastAsia="zh-CN"/>
        </w:rPr>
        <w:t>乐山整体货运流量</w:t>
      </w:r>
      <w:r>
        <w:rPr>
          <w:rFonts w:hint="eastAsia" w:cs="Times New Roman"/>
          <w:color w:val="auto"/>
          <w:sz w:val="32"/>
          <w:szCs w:val="22"/>
          <w:lang w:val="en-US" w:eastAsia="zh-CN"/>
        </w:rPr>
        <w:t>、</w:t>
      </w:r>
      <w:r>
        <w:rPr>
          <w:rFonts w:hint="eastAsia" w:ascii="Times New Roman" w:hAnsi="Times New Roman" w:cs="Times New Roman"/>
          <w:color w:val="auto"/>
          <w:sz w:val="32"/>
          <w:szCs w:val="22"/>
          <w:lang w:val="en-US" w:eastAsia="zh-CN"/>
        </w:rPr>
        <w:t>流向</w:t>
      </w:r>
      <w:r>
        <w:rPr>
          <w:rFonts w:hint="eastAsia" w:cs="Times New Roman"/>
          <w:color w:val="auto"/>
          <w:sz w:val="32"/>
          <w:szCs w:val="22"/>
          <w:lang w:val="en-US" w:eastAsia="zh-CN"/>
        </w:rPr>
        <w:t>情况</w:t>
      </w:r>
      <w:r>
        <w:rPr>
          <w:rFonts w:hint="eastAsia" w:ascii="Times New Roman" w:hAnsi="Times New Roman" w:cs="Times New Roman"/>
          <w:color w:val="auto"/>
          <w:sz w:val="32"/>
          <w:szCs w:val="22"/>
          <w:lang w:val="en-US" w:eastAsia="zh-CN"/>
        </w:rPr>
        <w:t>。本</w:t>
      </w:r>
      <w:r>
        <w:rPr>
          <w:rFonts w:hint="eastAsia" w:cs="Times New Roman"/>
          <w:color w:val="auto"/>
          <w:sz w:val="32"/>
          <w:szCs w:val="22"/>
          <w:lang w:val="en-US" w:eastAsia="zh-CN"/>
        </w:rPr>
        <w:t>项目依托从</w:t>
      </w:r>
      <w:r>
        <w:rPr>
          <w:rFonts w:hint="eastAsia" w:ascii="Times New Roman" w:hAnsi="Times New Roman" w:cs="Times New Roman"/>
          <w:color w:val="auto"/>
          <w:sz w:val="32"/>
          <w:szCs w:val="22"/>
          <w:lang w:val="en-US" w:eastAsia="zh-CN"/>
        </w:rPr>
        <w:t>省级相关部门采集</w:t>
      </w:r>
      <w:r>
        <w:rPr>
          <w:rFonts w:hint="eastAsia" w:cs="Times New Roman"/>
          <w:color w:val="auto"/>
          <w:sz w:val="32"/>
          <w:szCs w:val="22"/>
          <w:lang w:val="en-US" w:eastAsia="zh-CN"/>
        </w:rPr>
        <w:t>的2024年7月至</w:t>
      </w:r>
      <w:r>
        <w:rPr>
          <w:rFonts w:hint="default" w:ascii="Times New Roman" w:hAnsi="Times New Roman" w:cs="Times New Roman"/>
          <w:color w:val="auto"/>
          <w:sz w:val="32"/>
          <w:szCs w:val="22"/>
          <w:lang w:val="en-US" w:eastAsia="zh-CN"/>
        </w:rPr>
        <w:t>202</w:t>
      </w:r>
      <w:r>
        <w:rPr>
          <w:rFonts w:hint="eastAsia" w:ascii="Times New Roman" w:hAnsi="Times New Roman" w:cs="Times New Roman"/>
          <w:color w:val="auto"/>
          <w:sz w:val="32"/>
          <w:szCs w:val="22"/>
          <w:lang w:val="en-US" w:eastAsia="zh-CN"/>
        </w:rPr>
        <w:t>5</w:t>
      </w:r>
      <w:r>
        <w:rPr>
          <w:rFonts w:hint="default" w:ascii="Times New Roman" w:hAnsi="Times New Roman" w:cs="Times New Roman"/>
          <w:color w:val="auto"/>
          <w:sz w:val="32"/>
          <w:szCs w:val="22"/>
          <w:lang w:val="en-US" w:eastAsia="zh-CN"/>
        </w:rPr>
        <w:t>年</w:t>
      </w:r>
      <w:r>
        <w:rPr>
          <w:rFonts w:hint="eastAsia" w:cs="Times New Roman"/>
          <w:color w:val="auto"/>
          <w:sz w:val="32"/>
          <w:szCs w:val="22"/>
          <w:lang w:val="en-US" w:eastAsia="zh-CN"/>
        </w:rPr>
        <w:t>6</w:t>
      </w:r>
      <w:r>
        <w:rPr>
          <w:rFonts w:hint="default" w:ascii="Times New Roman" w:hAnsi="Times New Roman" w:cs="Times New Roman"/>
          <w:color w:val="auto"/>
          <w:sz w:val="32"/>
          <w:szCs w:val="22"/>
          <w:lang w:val="en-US" w:eastAsia="zh-CN"/>
        </w:rPr>
        <w:t>月</w:t>
      </w:r>
      <w:r>
        <w:rPr>
          <w:rFonts w:hint="eastAsia" w:cs="Times New Roman"/>
          <w:color w:val="auto"/>
          <w:sz w:val="32"/>
          <w:szCs w:val="22"/>
          <w:lang w:val="en-US" w:eastAsia="zh-CN"/>
        </w:rPr>
        <w:t>一整年的</w:t>
      </w:r>
      <w:r>
        <w:rPr>
          <w:rFonts w:hint="default" w:ascii="Times New Roman" w:hAnsi="Times New Roman" w:cs="Times New Roman"/>
          <w:color w:val="auto"/>
          <w:sz w:val="32"/>
          <w:szCs w:val="22"/>
          <w:lang w:val="en-US" w:eastAsia="zh-CN"/>
        </w:rPr>
        <w:t>四川省籍货运车辆进出乐山市的高速公路收费站卡口数据</w:t>
      </w:r>
      <w:r>
        <w:rPr>
          <w:rFonts w:hint="eastAsia" w:cs="Times New Roman"/>
          <w:color w:val="auto"/>
          <w:sz w:val="32"/>
          <w:szCs w:val="22"/>
          <w:lang w:val="en-US" w:eastAsia="zh-CN"/>
        </w:rPr>
        <w:t>和普通公路交调站数据</w:t>
      </w:r>
      <w:r>
        <w:rPr>
          <w:rFonts w:hint="default" w:ascii="Times New Roman" w:hAnsi="Times New Roman" w:cs="Times New Roman"/>
          <w:color w:val="auto"/>
          <w:sz w:val="32"/>
          <w:szCs w:val="22"/>
          <w:lang w:val="en-US" w:eastAsia="zh-CN"/>
        </w:rPr>
        <w:t>，</w:t>
      </w:r>
      <w:r>
        <w:rPr>
          <w:rFonts w:hint="eastAsia" w:ascii="Times New Roman" w:hAnsi="Times New Roman" w:cs="Times New Roman"/>
          <w:color w:val="auto"/>
          <w:sz w:val="32"/>
          <w:szCs w:val="22"/>
          <w:lang w:val="en-US" w:eastAsia="zh-CN"/>
        </w:rPr>
        <w:t>分析</w:t>
      </w:r>
      <w:r>
        <w:rPr>
          <w:rFonts w:hint="default" w:ascii="Times New Roman" w:hAnsi="Times New Roman" w:cs="Times New Roman"/>
          <w:color w:val="auto"/>
          <w:sz w:val="32"/>
          <w:szCs w:val="22"/>
          <w:lang w:val="en-US" w:eastAsia="zh-CN"/>
        </w:rPr>
        <w:t>乐山市公路货运的总体流量规模并识别主要流向分布</w:t>
      </w:r>
      <w:r>
        <w:rPr>
          <w:rStyle w:val="25"/>
          <w:rFonts w:hint="default" w:ascii="Times New Roman" w:hAnsi="Times New Roman" w:cs="Times New Roman"/>
          <w:color w:val="auto"/>
          <w:sz w:val="32"/>
          <w:szCs w:val="22"/>
          <w:lang w:val="en-US" w:eastAsia="zh-CN"/>
        </w:rPr>
        <w:footnoteReference w:id="3"/>
      </w:r>
      <w:r>
        <w:rPr>
          <w:rFonts w:hint="eastAsia" w:cs="Times New Roman"/>
          <w:color w:val="auto"/>
          <w:sz w:val="32"/>
          <w:szCs w:val="22"/>
          <w:lang w:val="en-US" w:eastAsia="zh-CN"/>
        </w:rPr>
        <w:t>，其中高速公路收费站卡口数据可分析到达、发送特征以及高速公路收费站节点流量特征，普通公路交调站数据用于分析普通公路断面节点流量特征。</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到达特征</w:t>
      </w:r>
    </w:p>
    <w:p>
      <w:pPr>
        <w:tabs>
          <w:tab w:val="left" w:pos="1434"/>
        </w:tabs>
        <w:bidi w:val="0"/>
        <w:rPr>
          <w:rFonts w:hint="default" w:ascii="Times New Roman" w:hAnsi="Times New Roman" w:cs="Times New Roman"/>
          <w:b/>
          <w:bCs/>
          <w:color w:val="auto"/>
          <w:sz w:val="32"/>
          <w:szCs w:val="22"/>
          <w:lang w:val="en-US" w:eastAsia="zh-CN"/>
        </w:rPr>
      </w:pPr>
      <w:r>
        <w:rPr>
          <w:rFonts w:hint="default" w:ascii="Times New Roman" w:hAnsi="Times New Roman" w:cs="Times New Roman"/>
          <w:b/>
          <w:bCs/>
          <w:color w:val="auto"/>
          <w:sz w:val="32"/>
          <w:szCs w:val="22"/>
          <w:lang w:val="en-US" w:eastAsia="zh-CN"/>
        </w:rPr>
        <w:t>1.省外货源</w:t>
      </w:r>
    </w:p>
    <w:p>
      <w:pPr>
        <w:tabs>
          <w:tab w:val="left" w:pos="1434"/>
        </w:tabs>
        <w:bidi w:val="0"/>
        <w:rPr>
          <w:rFonts w:hint="default" w:ascii="Times New Roman" w:hAnsi="Times New Roman" w:cs="Times New Roman"/>
          <w:color w:val="auto"/>
          <w:sz w:val="32"/>
          <w:szCs w:val="22"/>
          <w:lang w:val="en-US" w:eastAsia="zh-CN"/>
        </w:rPr>
      </w:pPr>
      <w:r>
        <w:rPr>
          <w:rFonts w:hint="eastAsia" w:cs="Times New Roman"/>
          <w:color w:val="auto"/>
          <w:sz w:val="32"/>
          <w:szCs w:val="22"/>
          <w:lang w:val="en-US" w:eastAsia="zh-CN"/>
        </w:rPr>
        <w:t>省外货源</w:t>
      </w:r>
      <w:r>
        <w:rPr>
          <w:rFonts w:hint="default" w:ascii="Times New Roman" w:hAnsi="Times New Roman" w:cs="Times New Roman"/>
          <w:color w:val="auto"/>
          <w:sz w:val="32"/>
          <w:szCs w:val="22"/>
          <w:lang w:val="en-US" w:eastAsia="zh-CN"/>
        </w:rPr>
        <w:t>主要</w:t>
      </w:r>
      <w:r>
        <w:rPr>
          <w:rFonts w:hint="eastAsia" w:cs="Times New Roman"/>
          <w:color w:val="auto"/>
          <w:sz w:val="32"/>
          <w:szCs w:val="22"/>
          <w:lang w:val="en-US" w:eastAsia="zh-CN"/>
        </w:rPr>
        <w:t>集中在</w:t>
      </w:r>
      <w:r>
        <w:rPr>
          <w:rFonts w:hint="default" w:ascii="Times New Roman" w:hAnsi="Times New Roman" w:cs="Times New Roman"/>
          <w:color w:val="auto"/>
          <w:sz w:val="32"/>
          <w:szCs w:val="22"/>
          <w:lang w:val="en-US" w:eastAsia="zh-CN"/>
        </w:rPr>
        <w:t>西南</w:t>
      </w:r>
      <w:r>
        <w:rPr>
          <w:rFonts w:hint="eastAsia" w:cs="Times New Roman"/>
          <w:color w:val="auto"/>
          <w:sz w:val="32"/>
          <w:szCs w:val="22"/>
          <w:lang w:val="en-US" w:eastAsia="zh-CN"/>
        </w:rPr>
        <w:t>地区</w:t>
      </w:r>
      <w:r>
        <w:rPr>
          <w:rFonts w:hint="default" w:ascii="Times New Roman" w:hAnsi="Times New Roman" w:cs="Times New Roman"/>
          <w:color w:val="auto"/>
          <w:sz w:val="32"/>
          <w:szCs w:val="22"/>
          <w:lang w:val="en-US" w:eastAsia="zh-CN"/>
        </w:rPr>
        <w:t>，其中重庆、云南、贵州三省（市）合计车辆来源占比超过70%，车流密度高、联系强，是乐山主要的省外货源地</w:t>
      </w:r>
      <w:r>
        <w:rPr>
          <w:rFonts w:hint="eastAsia" w:cs="Times New Roman"/>
          <w:color w:val="auto"/>
          <w:sz w:val="32"/>
          <w:szCs w:val="22"/>
          <w:lang w:val="en-US" w:eastAsia="zh-CN"/>
        </w:rPr>
        <w:t>，</w:t>
      </w:r>
      <w:r>
        <w:rPr>
          <w:rFonts w:hint="default" w:ascii="Times New Roman" w:hAnsi="Times New Roman" w:cs="Times New Roman"/>
          <w:color w:val="auto"/>
          <w:sz w:val="32"/>
          <w:szCs w:val="22"/>
          <w:lang w:val="en-US" w:eastAsia="zh-CN"/>
        </w:rPr>
        <w:t>中远距离货源主要分布于华南、中部少数省份。</w:t>
      </w:r>
    </w:p>
    <w:p>
      <w:pPr>
        <w:pStyle w:val="7"/>
        <w:rPr>
          <w:rFonts w:hint="eastAsia" w:eastAsia="楷体"/>
          <w:color w:val="auto"/>
          <w:lang w:val="en-US" w:eastAsia="zh-CN"/>
        </w:rPr>
      </w:pPr>
      <w:bookmarkStart w:id="77" w:name="_Hlk203563555"/>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r>
        <w:rPr>
          <w:rFonts w:hint="eastAsia"/>
          <w:color w:val="auto"/>
          <w:lang w:val="en-US" w:eastAsia="zh-CN"/>
        </w:rPr>
        <w:t xml:space="preserve"> </w:t>
      </w:r>
      <w:r>
        <w:rPr>
          <w:color w:val="auto"/>
        </w:rPr>
        <w:t>四川省外至乐山</w:t>
      </w:r>
      <w:r>
        <w:rPr>
          <w:rFonts w:hint="eastAsia"/>
          <w:color w:val="auto"/>
        </w:rPr>
        <w:t>货车流量</w:t>
      </w:r>
      <w:r>
        <w:rPr>
          <w:color w:val="auto"/>
        </w:rPr>
        <w:t>前</w:t>
      </w:r>
      <w:r>
        <w:rPr>
          <w:rFonts w:hint="eastAsia"/>
          <w:color w:val="auto"/>
          <w:lang w:val="en-US" w:eastAsia="zh-CN"/>
        </w:rPr>
        <w:t>十省（区、市）</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319"/>
        <w:gridCol w:w="4111"/>
        <w:gridCol w:w="3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blHeader/>
          <w:jc w:val="center"/>
        </w:trPr>
        <w:tc>
          <w:tcPr>
            <w:tcW w:w="1155" w:type="pct"/>
            <w:tcBorders>
              <w:insideV w:val="nil"/>
              <w:tl2br w:val="nil"/>
            </w:tcBorders>
            <w:shd w:val="clear" w:color="auto" w:fill="auto"/>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排名</w:t>
            </w:r>
          </w:p>
        </w:tc>
        <w:tc>
          <w:tcPr>
            <w:tcW w:w="2047" w:type="pct"/>
            <w:tcBorders>
              <w:insideV w:val="nil"/>
            </w:tcBorders>
            <w:shd w:val="clear" w:color="auto" w:fill="auto"/>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val="0"/>
                <w:color w:val="auto"/>
                <w:lang w:eastAsia="zh-CN"/>
              </w:rPr>
            </w:pPr>
            <w:r>
              <w:rPr>
                <w:rFonts w:hint="eastAsia" w:ascii="黑体" w:hAnsi="黑体" w:eastAsia="黑体" w:cs="黑体"/>
                <w:b w:val="0"/>
                <w:bCs w:val="0"/>
                <w:color w:val="auto"/>
                <w:lang w:val="en-US" w:eastAsia="zh-CN"/>
              </w:rPr>
              <w:t>省（区、市）</w:t>
            </w:r>
          </w:p>
        </w:tc>
        <w:tc>
          <w:tcPr>
            <w:tcW w:w="1796" w:type="pct"/>
            <w:tcBorders>
              <w:insideV w:val="nil"/>
            </w:tcBorders>
            <w:shd w:val="clear" w:color="auto" w:fill="auto"/>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lang w:val="en-US" w:eastAsia="zh-CN"/>
              </w:rPr>
              <w:t>货车</w:t>
            </w:r>
            <w:r>
              <w:rPr>
                <w:rFonts w:hint="eastAsia" w:ascii="黑体" w:hAnsi="黑体" w:eastAsia="黑体" w:cs="黑体"/>
                <w:color w:val="auto"/>
              </w:rPr>
              <w:t>流量/辆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155"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1</w:t>
            </w:r>
          </w:p>
        </w:tc>
        <w:tc>
          <w:tcPr>
            <w:tcW w:w="2047"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重庆</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23724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155"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2</w:t>
            </w:r>
          </w:p>
        </w:tc>
        <w:tc>
          <w:tcPr>
            <w:tcW w:w="2047"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云南</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6516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155"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3</w:t>
            </w:r>
          </w:p>
        </w:tc>
        <w:tc>
          <w:tcPr>
            <w:tcW w:w="2047"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贵州</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3708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155"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4</w:t>
            </w:r>
          </w:p>
        </w:tc>
        <w:tc>
          <w:tcPr>
            <w:tcW w:w="2047"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湖北</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1248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155"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5</w:t>
            </w:r>
          </w:p>
        </w:tc>
        <w:tc>
          <w:tcPr>
            <w:tcW w:w="2047" w:type="pct"/>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广东</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780</w:t>
            </w:r>
          </w:p>
        </w:tc>
      </w:tr>
      <w:bookmarkEnd w:id="77"/>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6</w:t>
            </w:r>
          </w:p>
        </w:tc>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广西</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552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7</w:t>
            </w:r>
          </w:p>
        </w:tc>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陕西</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8</w:t>
            </w:r>
          </w:p>
        </w:tc>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甘肃</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jc w:val="center"/>
        </w:trPr>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9</w:t>
            </w:r>
          </w:p>
        </w:tc>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湖南</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default"/>
                <w:color w:val="auto"/>
                <w:lang w:val="en-US" w:eastAsia="zh-CN"/>
              </w:rPr>
              <w:t>10</w:t>
            </w:r>
          </w:p>
        </w:tc>
        <w:tc>
          <w:tcPr>
            <w:tcW w:w="0" w:type="auto"/>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河南</w:t>
            </w:r>
          </w:p>
        </w:tc>
        <w:tc>
          <w:tcPr>
            <w:tcW w:w="3607" w:type="dxa"/>
            <w:shd w:val="clear" w:color="auto" w:fill="FFFFFF"/>
            <w:vAlign w:val="center"/>
          </w:tcPr>
          <w:p>
            <w:pPr>
              <w:pStyle w:val="32"/>
              <w:snapToGrid/>
              <w:rPr>
                <w:rFonts w:hint="eastAsia" w:ascii="Times New Roman" w:hAnsi="Times New Roman" w:eastAsia="仿宋_GB2312" w:cs="Times New Roman"/>
                <w:b w:val="0"/>
                <w:bCs w:val="0"/>
                <w:color w:val="auto"/>
                <w:lang w:val="en-US" w:eastAsia="zh-CN"/>
              </w:rPr>
            </w:pPr>
            <w:r>
              <w:rPr>
                <w:rFonts w:hint="eastAsia"/>
                <w:color w:val="auto"/>
                <w:lang w:val="en-US" w:eastAsia="zh-CN"/>
              </w:rPr>
              <w:t>84</w:t>
            </w:r>
          </w:p>
        </w:tc>
      </w:tr>
    </w:tbl>
    <w:p>
      <w:pPr>
        <w:pStyle w:val="27"/>
        <w:bidi w:val="0"/>
        <w:rPr>
          <w:rFonts w:hint="eastAsia" w:eastAsia="宋体"/>
          <w:color w:val="auto"/>
          <w:lang w:eastAsia="zh-CN"/>
        </w:rPr>
      </w:pPr>
      <w:r>
        <w:rPr>
          <w:rFonts w:hint="eastAsia" w:eastAsia="宋体"/>
          <w:color w:val="auto"/>
          <w:lang w:eastAsia="zh-CN"/>
        </w:rPr>
        <w:drawing>
          <wp:inline distT="0" distB="0" distL="114300" distR="114300">
            <wp:extent cx="5760085" cy="4022090"/>
            <wp:effectExtent l="9525" t="9525" r="21590" b="26035"/>
            <wp:docPr id="25" name="图片 25" descr="78035693bd00bb1850d937e5b6298f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78035693bd00bb1850d937e5b6298fec"/>
                    <pic:cNvPicPr>
                      <a:picLocks noChangeAspect="1"/>
                    </pic:cNvPicPr>
                  </pic:nvPicPr>
                  <pic:blipFill>
                    <a:blip r:embed="rId34"/>
                    <a:stretch>
                      <a:fillRect/>
                    </a:stretch>
                  </pic:blipFill>
                  <pic:spPr>
                    <a:xfrm>
                      <a:off x="0" y="0"/>
                      <a:ext cx="5760085" cy="4022090"/>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cs="Times New Roman"/>
          <w:b/>
          <w:bCs/>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四川省外各</w:t>
      </w:r>
      <w:r>
        <w:rPr>
          <w:rFonts w:hint="eastAsia"/>
          <w:color w:val="auto"/>
          <w:lang w:val="en-US" w:eastAsia="zh-CN"/>
        </w:rPr>
        <w:t>省（市、区）</w:t>
      </w:r>
      <w:r>
        <w:rPr>
          <w:rFonts w:hint="default" w:ascii="Times New Roman" w:hAnsi="Times New Roman" w:cs="Times New Roman"/>
          <w:color w:val="auto"/>
          <w:lang w:val="en-US" w:eastAsia="zh-CN"/>
        </w:rPr>
        <w:t>至乐山货运OD流向分布图</w:t>
      </w:r>
    </w:p>
    <w:p>
      <w:pPr>
        <w:bidi w:val="0"/>
        <w:rPr>
          <w:rFonts w:hint="default"/>
          <w:b/>
          <w:bCs/>
          <w:color w:val="auto"/>
          <w:lang w:val="en-US" w:eastAsia="zh-CN"/>
        </w:rPr>
      </w:pPr>
      <w:r>
        <w:rPr>
          <w:rFonts w:hint="default"/>
          <w:b/>
          <w:bCs/>
          <w:color w:val="auto"/>
          <w:lang w:val="en-US" w:eastAsia="zh-CN"/>
        </w:rPr>
        <w:t>2.省内货源</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省内货源集中在成都市、眉山市和宜宾市，成都市以近</w:t>
      </w:r>
      <w:r>
        <w:rPr>
          <w:rStyle w:val="23"/>
          <w:rFonts w:hint="eastAsia"/>
          <w:b w:val="0"/>
          <w:bCs/>
          <w:color w:val="auto"/>
          <w:lang w:val="en-US" w:eastAsia="zh-CN"/>
        </w:rPr>
        <w:t>33.3</w:t>
      </w:r>
      <w:r>
        <w:rPr>
          <w:rFonts w:hint="default" w:ascii="Times New Roman" w:hAnsi="Times New Roman" w:cs="Times New Roman"/>
          <w:color w:val="auto"/>
          <w:lang w:val="en-US" w:eastAsia="zh-CN"/>
        </w:rPr>
        <w:t>万辆居首，体现出成都极强的物资输出能力与产业互联水平</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眉山市处于乐山地缘相邻地带，具有交通便捷的优势，构建起了高频、高密度的物流通道</w:t>
      </w:r>
      <w:r>
        <w:rPr>
          <w:rFonts w:hint="eastAsia" w:cs="Times New Roman"/>
          <w:color w:val="auto"/>
          <w:lang w:val="en-US" w:eastAsia="zh-CN"/>
        </w:rPr>
        <w:t>，</w:t>
      </w:r>
      <w:r>
        <w:rPr>
          <w:rFonts w:hint="default" w:ascii="Times New Roman" w:hAnsi="Times New Roman" w:cs="Times New Roman"/>
          <w:color w:val="auto"/>
          <w:lang w:val="en-US" w:eastAsia="zh-CN"/>
        </w:rPr>
        <w:t>宜宾市</w:t>
      </w:r>
      <w:r>
        <w:rPr>
          <w:rFonts w:hint="eastAsia" w:cs="Times New Roman"/>
          <w:color w:val="auto"/>
          <w:lang w:val="en-US" w:eastAsia="zh-CN"/>
        </w:rPr>
        <w:t>由于水运发达，较大运量货物经长江水路运输至宜宾港后转公路运输到达乐山</w:t>
      </w:r>
      <w:r>
        <w:rPr>
          <w:rFonts w:hint="default" w:ascii="Times New Roman" w:hAnsi="Times New Roman" w:cs="Times New Roman"/>
          <w:color w:val="auto"/>
          <w:lang w:val="en-US" w:eastAsia="zh-CN"/>
        </w:rPr>
        <w:t>。</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楷体" w:cs="Times New Roman"/>
          <w:color w:val="auto"/>
          <w:lang w:eastAsia="zh-CN"/>
        </w:rPr>
      </w:pPr>
      <w:bookmarkStart w:id="78" w:name="_Hlk203323857"/>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四川省内</w:t>
      </w:r>
      <w:r>
        <w:rPr>
          <w:rFonts w:hint="eastAsia" w:cs="Times New Roman"/>
          <w:color w:val="auto"/>
          <w:lang w:val="en-US" w:eastAsia="zh-CN"/>
        </w:rPr>
        <w:t>各市（州）</w:t>
      </w:r>
      <w:r>
        <w:rPr>
          <w:rFonts w:hint="default" w:ascii="Times New Roman" w:hAnsi="Times New Roman" w:cs="Times New Roman"/>
          <w:color w:val="auto"/>
        </w:rPr>
        <w:t>至乐山</w:t>
      </w:r>
      <w:r>
        <w:rPr>
          <w:rFonts w:hint="eastAsia"/>
          <w:color w:val="auto"/>
        </w:rPr>
        <w:t>货车流量</w:t>
      </w:r>
      <w:r>
        <w:rPr>
          <w:rFonts w:hint="default" w:ascii="Times New Roman" w:hAnsi="Times New Roman" w:cs="Times New Roman"/>
          <w:color w:val="auto"/>
        </w:rPr>
        <w:t>前</w:t>
      </w:r>
      <w:r>
        <w:rPr>
          <w:rFonts w:hint="eastAsia" w:cs="Times New Roman"/>
          <w:color w:val="auto"/>
          <w:lang w:val="en-US" w:eastAsia="zh-CN"/>
        </w:rPr>
        <w:t>十</w:t>
      </w:r>
      <w:r>
        <w:rPr>
          <w:rFonts w:hint="eastAsia" w:ascii="Times New Roman" w:hAnsi="Times New Roman" w:cs="Times New Roman"/>
          <w:color w:val="auto"/>
          <w:lang w:val="en-US" w:eastAsia="zh-CN"/>
        </w:rPr>
        <w:t>城市</w:t>
      </w:r>
    </w:p>
    <w:tbl>
      <w:tblPr>
        <w:tblStyle w:val="30"/>
        <w:tblW w:w="4998" w:type="pct"/>
        <w:jc w:val="center"/>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Layout w:type="autofit"/>
        <w:tblCellMar>
          <w:top w:w="0" w:type="dxa"/>
          <w:left w:w="108" w:type="dxa"/>
          <w:bottom w:w="0" w:type="dxa"/>
          <w:right w:w="108" w:type="dxa"/>
        </w:tblCellMar>
      </w:tblPr>
      <w:tblGrid>
        <w:gridCol w:w="2383"/>
        <w:gridCol w:w="2644"/>
        <w:gridCol w:w="5010"/>
      </w:tblGrid>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tblHeader/>
          <w:jc w:val="center"/>
        </w:trPr>
        <w:tc>
          <w:tcPr>
            <w:tcW w:w="1187" w:type="pct"/>
            <w:tcBorders>
              <w:top w:val="single" w:color="000000" w:sz="4" w:space="0"/>
              <w:left w:val="single" w:color="000000" w:sz="4" w:space="0"/>
              <w:bottom w:val="single" w:color="000000" w:sz="4" w:space="0"/>
              <w:right w:val="single" w:color="000000" w:sz="4" w:space="0"/>
              <w:insideV w:val="nil"/>
              <w:tl2br w:val="nil"/>
            </w:tcBorders>
            <w:shd w:val="clear" w:color="auto" w:fill="FFFFFF"/>
            <w:vAlign w:val="center"/>
          </w:tcPr>
          <w:p>
            <w:pPr>
              <w:pStyle w:val="28"/>
              <w:keepNext/>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color w:val="auto"/>
              </w:rPr>
            </w:pPr>
            <w:r>
              <w:rPr>
                <w:rFonts w:hint="eastAsia" w:ascii="黑体" w:hAnsi="黑体" w:eastAsia="黑体" w:cs="黑体"/>
                <w:color w:val="auto"/>
              </w:rPr>
              <w:t>排名</w:t>
            </w:r>
          </w:p>
        </w:tc>
        <w:tc>
          <w:tcPr>
            <w:tcW w:w="1317" w:type="pct"/>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color w:val="auto"/>
              </w:rPr>
            </w:pPr>
            <w:r>
              <w:rPr>
                <w:rFonts w:hint="eastAsia" w:ascii="黑体" w:hAnsi="黑体" w:eastAsia="黑体" w:cs="黑体"/>
                <w:color w:val="auto"/>
              </w:rPr>
              <w:t>市级</w:t>
            </w:r>
          </w:p>
        </w:tc>
        <w:tc>
          <w:tcPr>
            <w:tcW w:w="2495" w:type="pct"/>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color w:val="auto"/>
              </w:rPr>
            </w:pPr>
            <w:r>
              <w:rPr>
                <w:rFonts w:hint="eastAsia" w:ascii="黑体" w:hAnsi="黑体" w:eastAsia="黑体" w:cs="黑体"/>
                <w:color w:val="auto"/>
                <w:lang w:val="en-US" w:eastAsia="zh-CN"/>
              </w:rPr>
              <w:t>货车</w:t>
            </w:r>
            <w:r>
              <w:rPr>
                <w:rFonts w:hint="eastAsia" w:ascii="黑体" w:hAnsi="黑体" w:eastAsia="黑体" w:cs="黑体"/>
                <w:color w:val="auto"/>
              </w:rPr>
              <w:t>流量/辆</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1</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成都市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keepNext/>
              <w:keepLines w:val="0"/>
              <w:pageBreakBefore w:val="0"/>
              <w:widowControl w:val="0"/>
              <w:kinsoku/>
              <w:wordWrap/>
              <w:overflowPunct/>
              <w:topLinePunct w:val="0"/>
              <w:autoSpaceDE/>
              <w:autoSpaceDN/>
              <w:bidi w:val="0"/>
              <w:snapToGrid w:val="0"/>
              <w:textAlignment w:val="auto"/>
              <w:rPr>
                <w:rFonts w:hint="default" w:ascii="Times New Roman" w:hAnsi="Times New Roman" w:eastAsia="仿宋_GB2312" w:cs="Times New Roman"/>
                <w:b w:val="0"/>
                <w:color w:val="auto"/>
              </w:rPr>
            </w:pPr>
            <w:r>
              <w:rPr>
                <w:rFonts w:hint="eastAsia"/>
                <w:color w:val="auto"/>
                <w:lang w:val="en-US" w:eastAsia="zh-CN"/>
              </w:rPr>
              <w:t>332868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2</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眉山市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b w:val="0"/>
                <w:color w:val="auto"/>
              </w:rPr>
            </w:pPr>
            <w:r>
              <w:rPr>
                <w:rFonts w:hint="eastAsia"/>
                <w:color w:val="auto"/>
                <w:lang w:val="en-US" w:eastAsia="zh-CN"/>
              </w:rPr>
              <w:t>252580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3</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宜宾市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b w:val="0"/>
                <w:color w:val="auto"/>
              </w:rPr>
            </w:pPr>
            <w:r>
              <w:rPr>
                <w:rFonts w:hint="eastAsia"/>
                <w:color w:val="auto"/>
                <w:lang w:val="en-US" w:eastAsia="zh-CN"/>
              </w:rPr>
              <w:t>158880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4</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雅安市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b w:val="0"/>
                <w:color w:val="auto"/>
              </w:rPr>
            </w:pPr>
            <w:r>
              <w:rPr>
                <w:rFonts w:hint="eastAsia"/>
                <w:color w:val="auto"/>
                <w:lang w:val="en-US" w:eastAsia="zh-CN"/>
              </w:rPr>
              <w:t>103776</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5</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自贡市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b w:val="0"/>
                <w:color w:val="auto"/>
              </w:rPr>
            </w:pPr>
            <w:r>
              <w:rPr>
                <w:rFonts w:hint="eastAsia"/>
                <w:color w:val="auto"/>
                <w:lang w:val="en-US" w:eastAsia="zh-CN"/>
              </w:rPr>
              <w:t>59508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6</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default"/>
                <w:color w:val="auto"/>
                <w:lang w:val="en-US" w:eastAsia="zh-CN"/>
              </w:rPr>
              <w:t>凉山州</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ascii="Times New Roman" w:hAnsi="Times New Roman" w:eastAsia="仿宋_GB2312" w:cs="Times New Roman"/>
                <w:b w:val="0"/>
                <w:color w:val="auto"/>
                <w:lang w:val="en-US" w:eastAsia="zh-CN"/>
              </w:rPr>
            </w:pPr>
            <w:r>
              <w:rPr>
                <w:rFonts w:hint="eastAsia"/>
                <w:color w:val="auto"/>
                <w:lang w:val="en-US" w:eastAsia="zh-CN"/>
              </w:rPr>
              <w:t>49248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7</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default"/>
                <w:color w:val="auto"/>
                <w:lang w:val="en-US" w:eastAsia="zh-CN"/>
              </w:rPr>
              <w:t>内江市</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ascii="Times New Roman" w:hAnsi="Times New Roman" w:eastAsia="仿宋_GB2312" w:cs="Times New Roman"/>
                <w:b w:val="0"/>
                <w:color w:val="auto"/>
                <w:lang w:val="en-US" w:eastAsia="zh-CN"/>
              </w:rPr>
            </w:pPr>
            <w:r>
              <w:rPr>
                <w:rFonts w:hint="eastAsia"/>
                <w:color w:val="auto"/>
                <w:lang w:val="en-US" w:eastAsia="zh-CN"/>
              </w:rPr>
              <w:t>15348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8</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default"/>
                <w:color w:val="auto"/>
                <w:lang w:val="en-US" w:eastAsia="zh-CN"/>
              </w:rPr>
              <w:t>德阳市</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ascii="Times New Roman" w:hAnsi="Times New Roman" w:eastAsia="仿宋_GB2312" w:cs="Times New Roman"/>
                <w:b w:val="0"/>
                <w:color w:val="auto"/>
                <w:lang w:val="en-US" w:eastAsia="zh-CN"/>
              </w:rPr>
            </w:pPr>
            <w:r>
              <w:rPr>
                <w:rFonts w:hint="eastAsia"/>
                <w:color w:val="auto"/>
                <w:lang w:val="en-US" w:eastAsia="zh-CN"/>
              </w:rPr>
              <w:t>13464</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9</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default"/>
                <w:color w:val="auto"/>
                <w:lang w:val="en-US" w:eastAsia="zh-CN"/>
              </w:rPr>
              <w:t>泸州市</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ascii="Times New Roman" w:hAnsi="Times New Roman" w:eastAsia="仿宋_GB2312" w:cs="Times New Roman"/>
                <w:b w:val="0"/>
                <w:color w:val="auto"/>
                <w:lang w:val="en-US" w:eastAsia="zh-CN"/>
              </w:rPr>
            </w:pPr>
            <w:r>
              <w:rPr>
                <w:rFonts w:hint="eastAsia"/>
                <w:color w:val="auto"/>
                <w:lang w:val="en-US" w:eastAsia="zh-CN"/>
              </w:rPr>
              <w:t>8568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val="0"/>
                <w:color w:val="auto"/>
                <w:lang w:val="en-US" w:eastAsia="zh-CN"/>
              </w:rPr>
            </w:pPr>
            <w:r>
              <w:rPr>
                <w:rFonts w:hint="eastAsia"/>
                <w:color w:val="auto"/>
                <w:lang w:val="en-US" w:eastAsia="zh-CN"/>
              </w:rPr>
              <w:t>10</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default"/>
                <w:color w:val="auto"/>
                <w:lang w:val="en-US" w:eastAsia="zh-CN"/>
              </w:rPr>
              <w:t>资阳市</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ascii="Times New Roman" w:hAnsi="Times New Roman" w:eastAsia="仿宋_GB2312" w:cs="Times New Roman"/>
                <w:b w:val="0"/>
                <w:color w:val="auto"/>
                <w:lang w:val="en-US" w:eastAsia="zh-CN"/>
              </w:rPr>
            </w:pPr>
            <w:r>
              <w:rPr>
                <w:rFonts w:hint="eastAsia"/>
                <w:color w:val="auto"/>
                <w:lang w:val="en-US" w:eastAsia="zh-CN"/>
              </w:rPr>
              <w:t>6516</w:t>
            </w:r>
          </w:p>
        </w:tc>
      </w:tr>
      <w:bookmarkEnd w:id="78"/>
    </w:tbl>
    <w:p>
      <w:pPr>
        <w:pStyle w:val="27"/>
        <w:bidi w:val="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760085" cy="4042410"/>
            <wp:effectExtent l="9525" t="9525" r="21590" b="24765"/>
            <wp:docPr id="27" name="图片 27" descr="dc5e97fd6d3330515ac31119a08508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c5e97fd6d3330515ac31119a085088c"/>
                    <pic:cNvPicPr>
                      <a:picLocks noChangeAspect="1"/>
                    </pic:cNvPicPr>
                  </pic:nvPicPr>
                  <pic:blipFill>
                    <a:blip r:embed="rId35"/>
                    <a:stretch>
                      <a:fillRect/>
                    </a:stretch>
                  </pic:blipFill>
                  <pic:spPr>
                    <a:xfrm>
                      <a:off x="0" y="0"/>
                      <a:ext cx="5760085" cy="4042410"/>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四川省内</w:t>
      </w:r>
      <w:r>
        <w:rPr>
          <w:rFonts w:hint="eastAsia" w:cs="Times New Roman"/>
          <w:color w:val="auto"/>
          <w:lang w:val="en-US" w:eastAsia="zh-CN"/>
        </w:rPr>
        <w:t>各市（州）</w:t>
      </w:r>
      <w:r>
        <w:rPr>
          <w:rFonts w:hint="default" w:ascii="Times New Roman" w:hAnsi="Times New Roman" w:cs="Times New Roman"/>
          <w:color w:val="auto"/>
          <w:lang w:val="en-US" w:eastAsia="zh-CN"/>
        </w:rPr>
        <w:t>至乐山货运OD流向分布图</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发送特征</w:t>
      </w:r>
    </w:p>
    <w:p>
      <w:pPr>
        <w:keepNext w:val="0"/>
        <w:keepLines w:val="0"/>
        <w:pageBreakBefore w:val="0"/>
        <w:widowControl/>
        <w:kinsoku/>
        <w:wordWrap/>
        <w:overflowPunct/>
        <w:topLinePunct w:val="0"/>
        <w:autoSpaceDE/>
        <w:autoSpaceDN/>
        <w:bidi w:val="0"/>
        <w:adjustRightInd/>
        <w:snapToGrid/>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乐山货物对外运输目的地主要</w:t>
      </w:r>
      <w:r>
        <w:rPr>
          <w:rFonts w:hint="default" w:ascii="Times New Roman" w:hAnsi="Times New Roman" w:cs="Times New Roman"/>
          <w:color w:val="auto"/>
          <w:lang w:val="en-US" w:eastAsia="zh-CN"/>
        </w:rPr>
        <w:t>集中</w:t>
      </w:r>
      <w:r>
        <w:rPr>
          <w:rFonts w:hint="eastAsia" w:ascii="Times New Roman" w:hAnsi="Times New Roman" w:cs="Times New Roman"/>
          <w:color w:val="auto"/>
          <w:lang w:val="en-US" w:eastAsia="zh-CN"/>
        </w:rPr>
        <w:t>在</w:t>
      </w:r>
      <w:r>
        <w:rPr>
          <w:rFonts w:hint="default" w:ascii="Times New Roman" w:hAnsi="Times New Roman" w:cs="Times New Roman"/>
          <w:color w:val="auto"/>
          <w:lang w:val="en-US" w:eastAsia="zh-CN"/>
        </w:rPr>
        <w:t>成都、眉山、宜宾、雅安</w:t>
      </w:r>
      <w:r>
        <w:rPr>
          <w:rFonts w:hint="eastAsia" w:cs="Times New Roman"/>
          <w:color w:val="auto"/>
          <w:lang w:val="en-US" w:eastAsia="zh-CN"/>
        </w:rPr>
        <w:t>、自贡</w:t>
      </w:r>
      <w:r>
        <w:rPr>
          <w:rFonts w:hint="default" w:ascii="Times New Roman" w:hAnsi="Times New Roman" w:cs="Times New Roman"/>
          <w:color w:val="auto"/>
          <w:lang w:val="en-US" w:eastAsia="zh-CN"/>
        </w:rPr>
        <w:t>等城市，</w:t>
      </w:r>
      <w:r>
        <w:rPr>
          <w:rFonts w:hint="eastAsia" w:ascii="Times New Roman" w:hAnsi="Times New Roman" w:cs="Times New Roman"/>
          <w:color w:val="auto"/>
          <w:lang w:val="en-US" w:eastAsia="zh-CN"/>
        </w:rPr>
        <w:t>与到达乐山货源地一致，通过数据对比分析可知，乐山</w:t>
      </w:r>
      <w:r>
        <w:rPr>
          <w:rFonts w:hint="eastAsia" w:cs="Times New Roman"/>
          <w:color w:val="auto"/>
          <w:lang w:val="en-US" w:eastAsia="zh-CN"/>
        </w:rPr>
        <w:t>公路货运量</w:t>
      </w:r>
      <w:r>
        <w:rPr>
          <w:rFonts w:hint="eastAsia" w:ascii="Times New Roman" w:hAnsi="Times New Roman" w:cs="Times New Roman"/>
          <w:color w:val="auto"/>
          <w:lang w:val="en-US" w:eastAsia="zh-CN"/>
        </w:rPr>
        <w:t>对外输</w:t>
      </w:r>
      <w:r>
        <w:rPr>
          <w:rFonts w:hint="eastAsia" w:cs="Times New Roman"/>
          <w:color w:val="auto"/>
          <w:lang w:val="en-US" w:eastAsia="zh-CN"/>
        </w:rPr>
        <w:t>出</w:t>
      </w:r>
      <w:r>
        <w:rPr>
          <w:rFonts w:hint="eastAsia" w:ascii="Times New Roman" w:hAnsi="Times New Roman" w:cs="Times New Roman"/>
          <w:color w:val="auto"/>
          <w:lang w:val="en-US" w:eastAsia="zh-CN"/>
        </w:rPr>
        <w:t>量要大于对内输入量。整体</w:t>
      </w:r>
      <w:r>
        <w:rPr>
          <w:rFonts w:hint="eastAsia" w:cs="Times New Roman"/>
          <w:color w:val="auto"/>
          <w:lang w:val="en-US" w:eastAsia="zh-CN"/>
        </w:rPr>
        <w:t>来看</w:t>
      </w:r>
      <w:r>
        <w:rPr>
          <w:rFonts w:hint="eastAsia" w:ascii="Times New Roman" w:hAnsi="Times New Roman" w:cs="Times New Roman"/>
          <w:color w:val="auto"/>
          <w:lang w:val="en-US" w:eastAsia="zh-CN"/>
        </w:rPr>
        <w:t>，乐山在四川省内初步形成以成都—眉山—乐山—宜宾为物流主轴，以雅安—乐山—自贡为次轴的十字形物流走廊。</w:t>
      </w:r>
    </w:p>
    <w:p>
      <w:pPr>
        <w:pStyle w:val="7"/>
        <w:keepNext/>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3</w:t>
      </w:r>
      <w:r>
        <w:rPr>
          <w:color w:val="auto"/>
        </w:rPr>
        <w:fldChar w:fldCharType="end"/>
      </w:r>
      <w:r>
        <w:rPr>
          <w:rFonts w:hint="eastAsia"/>
          <w:color w:val="auto"/>
          <w:lang w:val="en-US" w:eastAsia="zh-CN"/>
        </w:rPr>
        <w:t xml:space="preserve"> </w:t>
      </w:r>
      <w:r>
        <w:rPr>
          <w:rFonts w:hint="default" w:ascii="Times New Roman" w:hAnsi="Times New Roman" w:cs="Times New Roman"/>
          <w:color w:val="auto"/>
          <w:lang w:val="en-US" w:eastAsia="zh-CN"/>
        </w:rPr>
        <w:t>乐山至四川省内</w:t>
      </w:r>
      <w:r>
        <w:rPr>
          <w:rFonts w:hint="eastAsia" w:cs="Times New Roman"/>
          <w:color w:val="auto"/>
          <w:lang w:val="en-US" w:eastAsia="zh-CN"/>
        </w:rPr>
        <w:t>各市（州）</w:t>
      </w:r>
      <w:r>
        <w:rPr>
          <w:rFonts w:hint="eastAsia"/>
          <w:color w:val="auto"/>
        </w:rPr>
        <w:t>货车流量</w:t>
      </w:r>
      <w:r>
        <w:rPr>
          <w:rFonts w:hint="default" w:ascii="Times New Roman" w:hAnsi="Times New Roman" w:cs="Times New Roman"/>
          <w:color w:val="auto"/>
          <w:lang w:val="en-US" w:eastAsia="zh-CN"/>
        </w:rPr>
        <w:t>前</w:t>
      </w:r>
      <w:r>
        <w:rPr>
          <w:rFonts w:hint="eastAsia" w:cs="Times New Roman"/>
          <w:color w:val="auto"/>
          <w:lang w:val="en-US" w:eastAsia="zh-CN"/>
        </w:rPr>
        <w:t>十</w:t>
      </w:r>
      <w:r>
        <w:rPr>
          <w:rFonts w:hint="eastAsia" w:ascii="Times New Roman" w:hAnsi="Times New Roman" w:cs="Times New Roman"/>
          <w:color w:val="auto"/>
          <w:lang w:val="en-US" w:eastAsia="zh-CN"/>
        </w:rPr>
        <w:t>城市</w:t>
      </w:r>
    </w:p>
    <w:tbl>
      <w:tblPr>
        <w:tblStyle w:val="30"/>
        <w:tblW w:w="4998" w:type="pct"/>
        <w:jc w:val="center"/>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Layout w:type="autofit"/>
        <w:tblCellMar>
          <w:top w:w="0" w:type="dxa"/>
          <w:left w:w="108" w:type="dxa"/>
          <w:bottom w:w="0" w:type="dxa"/>
          <w:right w:w="108" w:type="dxa"/>
        </w:tblCellMar>
      </w:tblPr>
      <w:tblGrid>
        <w:gridCol w:w="2383"/>
        <w:gridCol w:w="2644"/>
        <w:gridCol w:w="5010"/>
      </w:tblGrid>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tblHeader/>
          <w:jc w:val="center"/>
        </w:trPr>
        <w:tc>
          <w:tcPr>
            <w:tcW w:w="1187" w:type="pct"/>
            <w:tcBorders>
              <w:top w:val="single" w:color="000000" w:sz="4" w:space="0"/>
              <w:left w:val="single" w:color="000000" w:sz="4" w:space="0"/>
              <w:bottom w:val="single" w:color="000000" w:sz="4" w:space="0"/>
              <w:right w:val="single" w:color="000000" w:sz="4" w:space="0"/>
              <w:insideV w:val="nil"/>
              <w:tl2br w:val="nil"/>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color w:val="auto"/>
              </w:rPr>
            </w:pPr>
            <w:r>
              <w:rPr>
                <w:rFonts w:hint="eastAsia" w:ascii="黑体" w:hAnsi="黑体" w:eastAsia="黑体" w:cs="黑体"/>
                <w:color w:val="auto"/>
              </w:rPr>
              <w:t>排名</w:t>
            </w:r>
          </w:p>
        </w:tc>
        <w:tc>
          <w:tcPr>
            <w:tcW w:w="1317" w:type="pct"/>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color w:val="auto"/>
              </w:rPr>
            </w:pPr>
            <w:r>
              <w:rPr>
                <w:rFonts w:hint="eastAsia" w:ascii="黑体" w:hAnsi="黑体" w:eastAsia="黑体" w:cs="黑体"/>
                <w:color w:val="auto"/>
              </w:rPr>
              <w:t>市级</w:t>
            </w:r>
          </w:p>
        </w:tc>
        <w:tc>
          <w:tcPr>
            <w:tcW w:w="2495" w:type="pct"/>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color w:val="auto"/>
              </w:rPr>
            </w:pPr>
            <w:r>
              <w:rPr>
                <w:rFonts w:hint="eastAsia" w:ascii="黑体" w:hAnsi="黑体" w:eastAsia="黑体" w:cs="黑体"/>
                <w:color w:val="auto"/>
                <w:lang w:val="en-US" w:eastAsia="zh-CN"/>
              </w:rPr>
              <w:t>货车</w:t>
            </w:r>
            <w:r>
              <w:rPr>
                <w:rFonts w:hint="eastAsia" w:ascii="黑体" w:hAnsi="黑体" w:eastAsia="黑体" w:cs="黑体"/>
                <w:color w:val="auto"/>
              </w:rPr>
              <w:t>流量/辆</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1</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成都市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b w:val="0"/>
                <w:color w:val="auto"/>
              </w:rPr>
            </w:pPr>
            <w:r>
              <w:rPr>
                <w:rFonts w:hint="eastAsia"/>
                <w:color w:val="auto"/>
                <w:lang w:val="en-US" w:eastAsia="zh-CN"/>
              </w:rPr>
              <w:t>422472</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2</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眉山市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b w:val="0"/>
                <w:color w:val="auto"/>
              </w:rPr>
            </w:pPr>
            <w:r>
              <w:rPr>
                <w:rFonts w:hint="eastAsia"/>
                <w:color w:val="auto"/>
                <w:lang w:val="en-US" w:eastAsia="zh-CN"/>
              </w:rPr>
              <w:t>326988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3</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宜宾市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b w:val="0"/>
                <w:color w:val="auto"/>
              </w:rPr>
            </w:pPr>
            <w:r>
              <w:rPr>
                <w:rFonts w:hint="eastAsia"/>
                <w:color w:val="auto"/>
                <w:lang w:val="en-US" w:eastAsia="zh-CN"/>
              </w:rPr>
              <w:t>179328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4</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雅安市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b w:val="0"/>
                <w:color w:val="auto"/>
              </w:rPr>
            </w:pPr>
            <w:r>
              <w:rPr>
                <w:rFonts w:hint="eastAsia"/>
                <w:color w:val="auto"/>
                <w:lang w:val="en-US" w:eastAsia="zh-CN"/>
              </w:rPr>
              <w:t>151740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bCs/>
                <w:color w:val="auto"/>
              </w:rPr>
            </w:pPr>
            <w:r>
              <w:rPr>
                <w:rFonts w:hint="default"/>
                <w:color w:val="auto"/>
              </w:rPr>
              <w:t>5</w:t>
            </w:r>
          </w:p>
        </w:tc>
        <w:tc>
          <w:tcPr>
            <w:tcW w:w="131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rPr>
            </w:pPr>
            <w:r>
              <w:rPr>
                <w:rFonts w:hint="default"/>
                <w:color w:val="auto"/>
              </w:rPr>
              <w:t>自贡市</w:t>
            </w:r>
          </w:p>
        </w:tc>
        <w:tc>
          <w:tcPr>
            <w:tcW w:w="5010"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b w:val="0"/>
                <w:color w:val="auto"/>
              </w:rPr>
            </w:pPr>
            <w:r>
              <w:rPr>
                <w:rFonts w:hint="eastAsia"/>
                <w:color w:val="auto"/>
                <w:lang w:val="en-US" w:eastAsia="zh-CN"/>
              </w:rPr>
              <w:t>69744</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6</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eastAsia"/>
                <w:color w:val="auto"/>
                <w:lang w:val="en-US" w:eastAsia="zh-CN"/>
              </w:rPr>
              <w:t>凉山州</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ascii="Times New Roman" w:hAnsi="Times New Roman" w:eastAsia="仿宋_GB2312" w:cs="Times New Roman"/>
                <w:b w:val="0"/>
                <w:color w:val="auto"/>
                <w:lang w:val="en-US" w:eastAsia="zh-CN"/>
              </w:rPr>
            </w:pPr>
            <w:r>
              <w:rPr>
                <w:rFonts w:hint="eastAsia"/>
                <w:color w:val="auto"/>
                <w:lang w:val="en-US" w:eastAsia="zh-CN"/>
              </w:rPr>
              <w:t>42840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7</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eastAsia"/>
                <w:color w:val="auto"/>
                <w:lang w:val="en-US" w:eastAsia="zh-CN"/>
              </w:rPr>
              <w:t>德阳市</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ascii="Times New Roman" w:hAnsi="Times New Roman" w:eastAsia="仿宋_GB2312" w:cs="Times New Roman"/>
                <w:b w:val="0"/>
                <w:color w:val="auto"/>
                <w:lang w:val="en-US" w:eastAsia="zh-CN"/>
              </w:rPr>
            </w:pPr>
            <w:r>
              <w:rPr>
                <w:rFonts w:hint="eastAsia"/>
                <w:color w:val="auto"/>
                <w:lang w:val="en-US" w:eastAsia="zh-CN"/>
              </w:rPr>
              <w:t>22128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8</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eastAsia"/>
                <w:color w:val="auto"/>
                <w:lang w:val="en-US" w:eastAsia="zh-CN"/>
              </w:rPr>
              <w:t>泸州市</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color w:val="auto"/>
                <w:lang w:val="en-US" w:eastAsia="zh-CN"/>
              </w:rPr>
            </w:pPr>
            <w:r>
              <w:rPr>
                <w:rFonts w:hint="eastAsia"/>
                <w:color w:val="auto"/>
                <w:lang w:val="en-US" w:eastAsia="zh-CN"/>
              </w:rPr>
              <w:t>15576</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eastAsia" w:ascii="Times New Roman" w:hAnsi="Times New Roman" w:eastAsia="仿宋_GB2312" w:cs="Times New Roman"/>
                <w:b w:val="0"/>
                <w:bCs w:val="0"/>
                <w:color w:val="auto"/>
                <w:lang w:val="en-US" w:eastAsia="zh-CN"/>
              </w:rPr>
            </w:pPr>
            <w:r>
              <w:rPr>
                <w:rFonts w:hint="eastAsia"/>
                <w:color w:val="auto"/>
                <w:lang w:val="en-US" w:eastAsia="zh-CN"/>
              </w:rPr>
              <w:t>9</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eastAsia"/>
                <w:color w:val="auto"/>
                <w:lang w:val="en-US" w:eastAsia="zh-CN"/>
              </w:rPr>
              <w:t>内江市</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ascii="Times New Roman" w:hAnsi="Times New Roman" w:eastAsia="仿宋_GB2312" w:cs="Times New Roman"/>
                <w:b w:val="0"/>
                <w:color w:val="auto"/>
                <w:lang w:val="en-US" w:eastAsia="zh-CN"/>
              </w:rPr>
            </w:pPr>
            <w:r>
              <w:rPr>
                <w:rFonts w:hint="eastAsia"/>
                <w:color w:val="auto"/>
                <w:lang w:val="en-US" w:eastAsia="zh-CN"/>
              </w:rPr>
              <w:t>15108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118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7"/>
              <w:keepNext w:val="0"/>
              <w:keepLines w:val="0"/>
              <w:widowControl/>
              <w:suppressLineNumbers w:val="0"/>
              <w:spacing w:before="0" w:beforeAutospacing="0" w:after="0" w:afterAutospacing="0" w:line="400" w:lineRule="exact"/>
              <w:ind w:left="0" w:right="0"/>
              <w:rPr>
                <w:rFonts w:hint="default" w:ascii="Times New Roman" w:hAnsi="Times New Roman" w:eastAsia="仿宋_GB2312" w:cs="Times New Roman"/>
                <w:b w:val="0"/>
                <w:bCs w:val="0"/>
                <w:color w:val="auto"/>
                <w:lang w:val="en-US" w:eastAsia="zh-CN"/>
              </w:rPr>
            </w:pPr>
            <w:r>
              <w:rPr>
                <w:rFonts w:hint="eastAsia" w:eastAsia="仿宋_GB2312" w:cs="Times New Roman"/>
                <w:b w:val="0"/>
                <w:bCs w:val="0"/>
                <w:color w:val="auto"/>
                <w:lang w:val="en-US" w:eastAsia="zh-CN"/>
              </w:rPr>
              <w:t>10</w:t>
            </w:r>
          </w:p>
        </w:tc>
        <w:tc>
          <w:tcPr>
            <w:tcW w:w="131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8"/>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_GB2312" w:cs="Times New Roman"/>
                <w:b w:val="0"/>
                <w:color w:val="auto"/>
                <w:lang w:val="en-US" w:eastAsia="zh-CN"/>
              </w:rPr>
            </w:pPr>
            <w:r>
              <w:rPr>
                <w:rFonts w:hint="eastAsia"/>
                <w:color w:val="auto"/>
                <w:lang w:val="en-US" w:eastAsia="zh-CN"/>
              </w:rPr>
              <w:t>甘孜州</w:t>
            </w:r>
          </w:p>
        </w:tc>
        <w:tc>
          <w:tcPr>
            <w:tcW w:w="501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rPr>
                <w:rFonts w:hint="default" w:ascii="Times New Roman" w:hAnsi="Times New Roman" w:eastAsia="仿宋_GB2312" w:cs="Times New Roman"/>
                <w:b w:val="0"/>
                <w:color w:val="auto"/>
                <w:lang w:val="en-US" w:eastAsia="zh-CN"/>
              </w:rPr>
            </w:pPr>
            <w:r>
              <w:rPr>
                <w:rFonts w:hint="eastAsia"/>
                <w:color w:val="auto"/>
                <w:lang w:val="en-US" w:eastAsia="zh-CN"/>
              </w:rPr>
              <w:t>14556</w:t>
            </w:r>
          </w:p>
        </w:tc>
      </w:tr>
    </w:tbl>
    <w:p>
      <w:pPr>
        <w:pStyle w:val="27"/>
        <w:bidi w:val="0"/>
        <w:spacing w:before="157" w:beforeLines="5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760085" cy="4123055"/>
            <wp:effectExtent l="9525" t="9525" r="21590" b="20320"/>
            <wp:docPr id="28" name="图片 28" descr="0e8122d1d887d8fa0d86e6cafc5722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e8122d1d887d8fa0d86e6cafc5722ce"/>
                    <pic:cNvPicPr>
                      <a:picLocks noChangeAspect="1"/>
                    </pic:cNvPicPr>
                  </pic:nvPicPr>
                  <pic:blipFill>
                    <a:blip r:embed="rId36"/>
                    <a:stretch>
                      <a:fillRect/>
                    </a:stretch>
                  </pic:blipFill>
                  <pic:spPr>
                    <a:xfrm>
                      <a:off x="0" y="0"/>
                      <a:ext cx="5760085" cy="4123055"/>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cs="Times New Roman"/>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3</w:t>
      </w:r>
      <w:r>
        <w:rPr>
          <w:color w:val="auto"/>
        </w:rPr>
        <w:fldChar w:fldCharType="end"/>
      </w:r>
      <w:r>
        <w:rPr>
          <w:rFonts w:hint="eastAsia"/>
          <w:color w:val="auto"/>
          <w:lang w:val="en-US" w:eastAsia="zh-CN"/>
        </w:rPr>
        <w:t>乐山</w:t>
      </w:r>
      <w:r>
        <w:rPr>
          <w:rFonts w:hint="default" w:ascii="Times New Roman" w:hAnsi="Times New Roman" w:cs="Times New Roman"/>
          <w:color w:val="auto"/>
          <w:lang w:val="en-US" w:eastAsia="zh-CN"/>
        </w:rPr>
        <w:t>至四川省内</w:t>
      </w:r>
      <w:r>
        <w:rPr>
          <w:rFonts w:hint="eastAsia" w:cs="Times New Roman"/>
          <w:color w:val="auto"/>
          <w:lang w:val="en-US" w:eastAsia="zh-CN"/>
        </w:rPr>
        <w:t>各市（州）</w:t>
      </w:r>
      <w:r>
        <w:rPr>
          <w:rFonts w:hint="default" w:ascii="Times New Roman" w:hAnsi="Times New Roman" w:cs="Times New Roman"/>
          <w:color w:val="auto"/>
          <w:lang w:val="en-US" w:eastAsia="zh-CN"/>
        </w:rPr>
        <w:t>货运OD流向分布图</w:t>
      </w:r>
    </w:p>
    <w:p>
      <w:pPr>
        <w:pStyle w:val="5"/>
        <w:bidi w:val="0"/>
        <w:rPr>
          <w:rFonts w:hint="default" w:ascii="Times New Roman" w:hAnsi="Times New Roman" w:cs="Times New Roman"/>
          <w:color w:val="auto"/>
          <w:lang w:val="en-US" w:eastAsia="zh-CN"/>
        </w:rPr>
      </w:pPr>
      <w:bookmarkStart w:id="79" w:name="_Toc10092"/>
      <w:r>
        <w:rPr>
          <w:rFonts w:hint="eastAsia" w:cs="Times New Roman"/>
          <w:color w:val="auto"/>
          <w:lang w:val="en-US" w:eastAsia="zh-CN"/>
        </w:rPr>
        <w:t>节点特征</w:t>
      </w:r>
    </w:p>
    <w:p>
      <w:pPr>
        <w:rPr>
          <w:rFonts w:hint="default" w:cs="Times New Roman"/>
          <w:b/>
          <w:bCs/>
          <w:color w:val="auto"/>
          <w:sz w:val="32"/>
          <w:szCs w:val="22"/>
          <w:lang w:val="en-US" w:eastAsia="zh-CN"/>
        </w:rPr>
      </w:pPr>
      <w:r>
        <w:rPr>
          <w:rFonts w:hint="eastAsia" w:cs="Times New Roman"/>
          <w:b/>
          <w:bCs/>
          <w:color w:val="auto"/>
          <w:sz w:val="32"/>
          <w:szCs w:val="22"/>
          <w:lang w:val="en-US" w:eastAsia="zh-CN"/>
        </w:rPr>
        <w:t>1.高速公路收费站节点</w:t>
      </w:r>
    </w:p>
    <w:p>
      <w:pPr>
        <w:rPr>
          <w:rFonts w:hint="eastAsia"/>
          <w:color w:val="auto"/>
        </w:rPr>
      </w:pPr>
      <w:r>
        <w:rPr>
          <w:rFonts w:hint="eastAsia" w:cs="Times New Roman"/>
          <w:color w:val="auto"/>
          <w:sz w:val="32"/>
          <w:szCs w:val="22"/>
          <w:lang w:val="en-US" w:eastAsia="zh-CN"/>
        </w:rPr>
        <w:t>通过分析</w:t>
      </w:r>
      <w:r>
        <w:rPr>
          <w:rFonts w:hint="default" w:ascii="Times New Roman" w:hAnsi="Times New Roman" w:cs="Times New Roman"/>
          <w:color w:val="auto"/>
          <w:sz w:val="32"/>
          <w:szCs w:val="22"/>
          <w:lang w:val="en-US" w:eastAsia="zh-CN"/>
        </w:rPr>
        <w:t>高速公路收费站卡口数据</w:t>
      </w:r>
      <w:r>
        <w:rPr>
          <w:rFonts w:hint="eastAsia" w:cs="Times New Roman"/>
          <w:color w:val="auto"/>
          <w:sz w:val="32"/>
          <w:szCs w:val="22"/>
          <w:lang w:val="en-US" w:eastAsia="zh-CN"/>
        </w:rPr>
        <w:t>，</w:t>
      </w:r>
      <w:r>
        <w:rPr>
          <w:rFonts w:hint="eastAsia"/>
          <w:color w:val="auto"/>
        </w:rPr>
        <w:t>乐山的热门货运通行收费站主要集中于乐山</w:t>
      </w:r>
      <w:r>
        <w:rPr>
          <w:rFonts w:hint="eastAsia"/>
          <w:color w:val="auto"/>
          <w:lang w:val="en-US" w:eastAsia="zh-CN"/>
        </w:rPr>
        <w:t>北部</w:t>
      </w:r>
      <w:r>
        <w:rPr>
          <w:rFonts w:hint="eastAsia"/>
          <w:color w:val="auto"/>
        </w:rPr>
        <w:t>地区，</w:t>
      </w:r>
      <w:r>
        <w:rPr>
          <w:rFonts w:hint="eastAsia"/>
          <w:color w:val="auto"/>
          <w:lang w:val="en-US" w:eastAsia="zh-CN"/>
        </w:rPr>
        <w:t>其中</w:t>
      </w:r>
      <w:r>
        <w:rPr>
          <w:rFonts w:hint="eastAsia"/>
          <w:color w:val="auto"/>
        </w:rPr>
        <w:t>乐雅峨眉山、成乐夹江和成乐夹江东收费站的货车流量位列前三，站均流量超过</w:t>
      </w:r>
      <w:r>
        <w:rPr>
          <w:rFonts w:hint="eastAsia"/>
          <w:color w:val="auto"/>
          <w:lang w:val="en-US" w:eastAsia="zh-CN"/>
        </w:rPr>
        <w:t>40</w:t>
      </w:r>
      <w:r>
        <w:rPr>
          <w:rFonts w:hint="eastAsia"/>
          <w:color w:val="auto"/>
        </w:rPr>
        <w:t>万辆。</w:t>
      </w:r>
    </w:p>
    <w:p>
      <w:pPr>
        <w:pStyle w:val="7"/>
        <w:rPr>
          <w:rFonts w:hint="eastAsia" w:eastAsia="楷体"/>
          <w:color w:val="auto"/>
          <w:lang w:val="en-US" w:eastAsia="zh-CN"/>
        </w:rPr>
      </w:pPr>
      <w:bookmarkStart w:id="80" w:name="_Hlk209190751"/>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4</w:t>
      </w:r>
      <w:r>
        <w:rPr>
          <w:color w:val="auto"/>
        </w:rPr>
        <w:fldChar w:fldCharType="end"/>
      </w:r>
      <w:r>
        <w:rPr>
          <w:rFonts w:hint="eastAsia"/>
          <w:color w:val="auto"/>
          <w:lang w:val="en-US" w:eastAsia="zh-CN"/>
        </w:rPr>
        <w:t xml:space="preserve"> </w:t>
      </w:r>
      <w:r>
        <w:rPr>
          <w:color w:val="auto"/>
        </w:rPr>
        <w:t>乐山</w:t>
      </w:r>
      <w:r>
        <w:rPr>
          <w:rFonts w:hint="eastAsia"/>
          <w:color w:val="auto"/>
        </w:rPr>
        <w:t>高速公路收费站货车流</w:t>
      </w:r>
      <w:r>
        <w:rPr>
          <w:color w:val="auto"/>
        </w:rPr>
        <w:t>量排行</w:t>
      </w:r>
    </w:p>
    <w:tbl>
      <w:tblPr>
        <w:tblStyle w:val="30"/>
        <w:tblW w:w="4998" w:type="pct"/>
        <w:jc w:val="center"/>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Layout w:type="autofit"/>
        <w:tblCellMar>
          <w:top w:w="0" w:type="dxa"/>
          <w:left w:w="108" w:type="dxa"/>
          <w:bottom w:w="0" w:type="dxa"/>
          <w:right w:w="108" w:type="dxa"/>
        </w:tblCellMar>
      </w:tblPr>
      <w:tblGrid>
        <w:gridCol w:w="851"/>
        <w:gridCol w:w="5197"/>
        <w:gridCol w:w="3989"/>
      </w:tblGrid>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tblHeader/>
          <w:jc w:val="center"/>
        </w:trPr>
        <w:tc>
          <w:tcPr>
            <w:tcW w:w="424" w:type="pct"/>
            <w:tcBorders>
              <w:top w:val="single" w:color="000000" w:sz="4" w:space="0"/>
              <w:left w:val="single" w:color="000000" w:sz="4" w:space="0"/>
              <w:bottom w:val="single" w:color="000000" w:sz="4" w:space="0"/>
              <w:right w:val="nil"/>
              <w:insideV w:val="nil"/>
              <w:tl2br w:val="nil"/>
            </w:tcBorders>
            <w:shd w:val="clear" w:color="auto" w:fill="FFFFFF"/>
            <w:vAlign w:val="center"/>
          </w:tcPr>
          <w:p>
            <w:pPr>
              <w:pStyle w:val="32"/>
              <w:rPr>
                <w:rFonts w:eastAsia="黑体" w:cs="Times New Roman"/>
                <w:b/>
                <w:bCs w:val="0"/>
                <w:color w:val="auto"/>
              </w:rPr>
            </w:pPr>
            <w:r>
              <w:rPr>
                <w:rFonts w:eastAsia="黑体" w:cs="Times New Roman"/>
                <w:b w:val="0"/>
                <w:bCs/>
                <w:color w:val="auto"/>
              </w:rPr>
              <w:t>排名</w:t>
            </w:r>
          </w:p>
        </w:tc>
        <w:tc>
          <w:tcPr>
            <w:tcW w:w="2589" w:type="pct"/>
            <w:tcBorders>
              <w:top w:val="single" w:color="000000" w:sz="4" w:space="0"/>
              <w:left w:val="single" w:color="000000" w:sz="4" w:space="0"/>
              <w:bottom w:val="single" w:color="000000" w:sz="4" w:space="0"/>
              <w:right w:val="nil"/>
              <w:insideV w:val="nil"/>
            </w:tcBorders>
            <w:shd w:val="clear" w:color="auto" w:fill="FFFFFF"/>
            <w:vAlign w:val="center"/>
          </w:tcPr>
          <w:p>
            <w:pPr>
              <w:pStyle w:val="32"/>
              <w:rPr>
                <w:rFonts w:eastAsia="黑体" w:cs="Times New Roman"/>
                <w:b/>
                <w:bCs w:val="0"/>
                <w:color w:val="auto"/>
              </w:rPr>
            </w:pPr>
            <w:r>
              <w:rPr>
                <w:rFonts w:eastAsia="黑体" w:cs="Times New Roman"/>
                <w:b w:val="0"/>
                <w:bCs/>
                <w:color w:val="auto"/>
              </w:rPr>
              <w:t>收费站</w:t>
            </w:r>
          </w:p>
        </w:tc>
        <w:tc>
          <w:tcPr>
            <w:tcW w:w="1987" w:type="pct"/>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32"/>
              <w:rPr>
                <w:rFonts w:eastAsia="黑体" w:cs="Times New Roman"/>
                <w:b/>
                <w:bCs w:val="0"/>
                <w:color w:val="auto"/>
              </w:rPr>
            </w:pPr>
            <w:r>
              <w:rPr>
                <w:rFonts w:eastAsia="黑体" w:cs="Times New Roman"/>
                <w:b w:val="0"/>
                <w:bCs/>
                <w:color w:val="auto"/>
              </w:rPr>
              <w:t>通行流量/辆</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4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r>
              <w:rPr>
                <w:rFonts w:cs="Times New Roman"/>
                <w:b w:val="0"/>
                <w:bCs/>
                <w:color w:val="auto"/>
              </w:rPr>
              <w:t>1</w:t>
            </w:r>
          </w:p>
        </w:tc>
        <w:tc>
          <w:tcPr>
            <w:tcW w:w="2589"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rFonts w:hint="eastAsia"/>
                <w:color w:val="auto"/>
              </w:rPr>
              <w:t>乐雅峨眉山</w:t>
            </w:r>
          </w:p>
        </w:tc>
        <w:tc>
          <w:tcPr>
            <w:tcW w:w="198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color w:val="auto"/>
              </w:rPr>
              <w:t>464208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4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r>
              <w:rPr>
                <w:rFonts w:cs="Times New Roman"/>
                <w:b w:val="0"/>
                <w:bCs/>
                <w:color w:val="auto"/>
              </w:rPr>
              <w:t>2</w:t>
            </w:r>
          </w:p>
        </w:tc>
        <w:tc>
          <w:tcPr>
            <w:tcW w:w="2589"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rFonts w:hint="eastAsia"/>
                <w:color w:val="auto"/>
              </w:rPr>
              <w:t>成乐夹江</w:t>
            </w:r>
          </w:p>
        </w:tc>
        <w:tc>
          <w:tcPr>
            <w:tcW w:w="198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color w:val="auto"/>
              </w:rPr>
              <w:t>459660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4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r>
              <w:rPr>
                <w:rFonts w:cs="Times New Roman"/>
                <w:b w:val="0"/>
                <w:bCs/>
                <w:color w:val="auto"/>
              </w:rPr>
              <w:t>3</w:t>
            </w:r>
          </w:p>
        </w:tc>
        <w:tc>
          <w:tcPr>
            <w:tcW w:w="2589"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rFonts w:hint="eastAsia"/>
                <w:color w:val="auto"/>
              </w:rPr>
              <w:t>成乐夹江东</w:t>
            </w:r>
          </w:p>
        </w:tc>
        <w:tc>
          <w:tcPr>
            <w:tcW w:w="198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color w:val="auto"/>
              </w:rPr>
              <w:t>380724</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4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bookmarkStart w:id="81" w:name="_Hlk210066593"/>
            <w:r>
              <w:rPr>
                <w:rFonts w:cs="Times New Roman"/>
                <w:b w:val="0"/>
                <w:bCs/>
                <w:color w:val="auto"/>
              </w:rPr>
              <w:t>4</w:t>
            </w:r>
          </w:p>
        </w:tc>
        <w:tc>
          <w:tcPr>
            <w:tcW w:w="2589"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rFonts w:hint="eastAsia"/>
                <w:color w:val="auto"/>
              </w:rPr>
              <w:t>乐宜犍为南</w:t>
            </w:r>
          </w:p>
        </w:tc>
        <w:tc>
          <w:tcPr>
            <w:tcW w:w="198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color w:val="auto"/>
              </w:rPr>
              <w:t>303060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4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r>
              <w:rPr>
                <w:rFonts w:cs="Times New Roman"/>
                <w:b w:val="0"/>
                <w:bCs/>
                <w:color w:val="auto"/>
              </w:rPr>
              <w:t>5</w:t>
            </w:r>
          </w:p>
        </w:tc>
        <w:tc>
          <w:tcPr>
            <w:tcW w:w="2589"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rFonts w:hint="eastAsia"/>
                <w:color w:val="auto"/>
              </w:rPr>
              <w:t>仁沐新沐川</w:t>
            </w:r>
          </w:p>
        </w:tc>
        <w:tc>
          <w:tcPr>
            <w:tcW w:w="198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color w:val="auto"/>
              </w:rPr>
              <w:t>281508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4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val="0"/>
                <w:bCs w:val="0"/>
                <w:color w:val="auto"/>
              </w:rPr>
            </w:pPr>
            <w:r>
              <w:rPr>
                <w:rFonts w:cs="Times New Roman"/>
                <w:b w:val="0"/>
                <w:bCs w:val="0"/>
                <w:color w:val="auto"/>
              </w:rPr>
              <w:t>6</w:t>
            </w:r>
          </w:p>
        </w:tc>
        <w:tc>
          <w:tcPr>
            <w:tcW w:w="2589"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rFonts w:hint="eastAsia"/>
                <w:color w:val="auto"/>
              </w:rPr>
              <w:t>仁沐新马边</w:t>
            </w:r>
          </w:p>
        </w:tc>
        <w:tc>
          <w:tcPr>
            <w:tcW w:w="1987" w:type="pct"/>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cs="Times New Roman"/>
                <w:bCs/>
                <w:color w:val="auto"/>
              </w:rPr>
            </w:pPr>
            <w:r>
              <w:rPr>
                <w:color w:val="auto"/>
              </w:rPr>
              <w:t>250704</w:t>
            </w:r>
          </w:p>
        </w:tc>
      </w:tr>
      <w:bookmarkEnd w:id="80"/>
      <w:bookmarkEnd w:id="81"/>
    </w:tbl>
    <w:p>
      <w:pPr>
        <w:pStyle w:val="27"/>
        <w:bidi w:val="0"/>
        <w:rPr>
          <w:color w:val="auto"/>
        </w:rPr>
      </w:pPr>
      <w:r>
        <w:rPr>
          <w:color w:val="auto"/>
        </w:rPr>
        <w:drawing>
          <wp:inline distT="0" distB="0" distL="0" distR="0">
            <wp:extent cx="5760085" cy="4055745"/>
            <wp:effectExtent l="9525" t="9525" r="21590" b="11430"/>
            <wp:docPr id="6794354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35404" name="图片 9"/>
                    <pic:cNvPicPr>
                      <a:picLocks noChangeAspect="1" noChangeArrowheads="1"/>
                    </pic:cNvPicPr>
                  </pic:nvPicPr>
                  <pic:blipFill>
                    <a:blip r:embed="rId37" cstate="print">
                      <a:extLst>
                        <a:ext uri="{28A0092B-C50C-407E-A947-70E740481C1C}">
                          <a14:useLocalDpi xmlns:a14="http://schemas.microsoft.com/office/drawing/2010/main" val="0"/>
                        </a:ext>
                      </a:extLst>
                    </a:blip>
                    <a:srcRect t="210" b="210"/>
                    <a:stretch>
                      <a:fillRect/>
                    </a:stretch>
                  </pic:blipFill>
                  <pic:spPr>
                    <a:xfrm>
                      <a:off x="0" y="0"/>
                      <a:ext cx="5760085" cy="4055745"/>
                    </a:xfrm>
                    <a:prstGeom prst="rect">
                      <a:avLst/>
                    </a:prstGeom>
                    <a:ln>
                      <a:solidFill>
                        <a:schemeClr val="bg2">
                          <a:lumMod val="75000"/>
                        </a:schemeClr>
                      </a:solidFill>
                    </a:ln>
                  </pic:spPr>
                </pic:pic>
              </a:graphicData>
            </a:graphic>
          </wp:inline>
        </w:drawing>
      </w:r>
    </w:p>
    <w:p>
      <w:pPr>
        <w:pStyle w:val="7"/>
        <w:bidi w:val="0"/>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4</w:t>
      </w:r>
      <w:r>
        <w:rPr>
          <w:color w:val="auto"/>
        </w:rPr>
        <w:fldChar w:fldCharType="end"/>
      </w:r>
      <w:r>
        <w:rPr>
          <w:rFonts w:hint="eastAsia"/>
          <w:color w:val="auto"/>
          <w:lang w:val="en-US" w:eastAsia="zh-CN"/>
        </w:rPr>
        <w:t xml:space="preserve"> </w:t>
      </w:r>
      <w:r>
        <w:rPr>
          <w:color w:val="auto"/>
        </w:rPr>
        <w:t>乐山</w:t>
      </w:r>
      <w:r>
        <w:rPr>
          <w:rFonts w:hint="eastAsia"/>
          <w:color w:val="auto"/>
        </w:rPr>
        <w:t>高速公路收费站货车流量数据</w:t>
      </w:r>
    </w:p>
    <w:p>
      <w:pPr>
        <w:rPr>
          <w:rFonts w:hint="eastAsia" w:cs="Times New Roman"/>
          <w:b/>
          <w:bCs/>
          <w:color w:val="auto"/>
          <w:sz w:val="32"/>
          <w:szCs w:val="22"/>
          <w:lang w:val="en-US" w:eastAsia="zh-CN"/>
        </w:rPr>
      </w:pPr>
      <w:r>
        <w:rPr>
          <w:rFonts w:hint="eastAsia" w:cs="Times New Roman"/>
          <w:b/>
          <w:bCs/>
          <w:color w:val="auto"/>
          <w:sz w:val="32"/>
          <w:szCs w:val="22"/>
          <w:lang w:val="en-US" w:eastAsia="zh-CN"/>
        </w:rPr>
        <w:t>2.普通公路交调站节点</w:t>
      </w:r>
    </w:p>
    <w:p>
      <w:pPr>
        <w:rPr>
          <w:rFonts w:hint="eastAsia"/>
          <w:color w:val="auto"/>
          <w:lang w:val="en-US" w:eastAsia="zh-CN"/>
        </w:rPr>
      </w:pPr>
      <w:r>
        <w:rPr>
          <w:rFonts w:hint="eastAsia" w:cs="Times New Roman"/>
          <w:color w:val="auto"/>
          <w:lang w:val="en-US" w:eastAsia="zh-CN"/>
        </w:rPr>
        <w:t>依托</w:t>
      </w:r>
      <w:r>
        <w:rPr>
          <w:rFonts w:hint="default" w:ascii="Times New Roman" w:hAnsi="Times New Roman" w:cs="Times New Roman"/>
          <w:color w:val="auto"/>
          <w:lang w:val="en-US" w:eastAsia="zh-CN"/>
        </w:rPr>
        <w:t>乐山市普通国道以及省道上设置的交调站数据，对各站点的货车截面流量进行分析</w:t>
      </w:r>
      <w:r>
        <w:rPr>
          <w:rFonts w:hint="eastAsia" w:cs="Times New Roman"/>
          <w:color w:val="auto"/>
          <w:lang w:val="en-US" w:eastAsia="zh-CN"/>
        </w:rPr>
        <w:t>。整体来看，乐山</w:t>
      </w:r>
      <w:r>
        <w:rPr>
          <w:rFonts w:hint="eastAsia"/>
          <w:color w:val="auto"/>
        </w:rPr>
        <w:t>北部</w:t>
      </w:r>
      <w:r>
        <w:rPr>
          <w:rFonts w:hint="eastAsia"/>
          <w:color w:val="auto"/>
          <w:lang w:val="en-US" w:eastAsia="zh-CN"/>
        </w:rPr>
        <w:t>少数普通公路</w:t>
      </w:r>
      <w:r>
        <w:rPr>
          <w:rFonts w:hint="eastAsia"/>
          <w:color w:val="auto"/>
        </w:rPr>
        <w:t>承担了大部分的交通压力，</w:t>
      </w:r>
      <w:r>
        <w:rPr>
          <w:rFonts w:hint="eastAsia"/>
          <w:color w:val="auto"/>
          <w:lang w:val="en-US" w:eastAsia="zh-CN"/>
        </w:rPr>
        <w:t>其中</w:t>
      </w:r>
      <w:r>
        <w:rPr>
          <w:rFonts w:hint="eastAsia"/>
          <w:color w:val="auto"/>
        </w:rPr>
        <w:t>市中区苏稽站</w:t>
      </w:r>
      <w:r>
        <w:rPr>
          <w:rFonts w:hint="eastAsia"/>
          <w:color w:val="auto"/>
          <w:lang w:val="en-US" w:eastAsia="zh-CN"/>
        </w:rPr>
        <w:t>观测流量</w:t>
      </w:r>
      <w:r>
        <w:rPr>
          <w:rFonts w:hint="eastAsia"/>
          <w:color w:val="auto"/>
        </w:rPr>
        <w:t>以</w:t>
      </w:r>
      <w:r>
        <w:rPr>
          <w:rFonts w:hint="eastAsia"/>
          <w:color w:val="auto"/>
          <w:lang w:val="en-US" w:eastAsia="zh-CN"/>
        </w:rPr>
        <w:t>9.8万</w:t>
      </w:r>
      <w:r>
        <w:rPr>
          <w:rFonts w:hint="eastAsia"/>
          <w:color w:val="auto"/>
        </w:rPr>
        <w:t>余辆居首</w:t>
      </w:r>
      <w:r>
        <w:rPr>
          <w:rFonts w:hint="eastAsia"/>
          <w:color w:val="auto"/>
          <w:lang w:eastAsia="zh-CN"/>
        </w:rPr>
        <w:t>，</w:t>
      </w:r>
      <w:r>
        <w:rPr>
          <w:rFonts w:hint="eastAsia"/>
          <w:color w:val="auto"/>
          <w:lang w:val="en-US" w:eastAsia="zh-CN"/>
        </w:rPr>
        <w:t>流量分布与高速公路收费站数据分析结果基本一致。</w:t>
      </w:r>
    </w:p>
    <w:p>
      <w:pPr>
        <w:pStyle w:val="7"/>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5</w:t>
      </w:r>
      <w:r>
        <w:rPr>
          <w:color w:val="auto"/>
        </w:rPr>
        <w:fldChar w:fldCharType="end"/>
      </w:r>
      <w:r>
        <w:rPr>
          <w:rFonts w:hint="eastAsia"/>
          <w:color w:val="auto"/>
          <w:lang w:val="en-US" w:eastAsia="zh-CN"/>
        </w:rPr>
        <w:t xml:space="preserve"> 乐山普通公路交调站观测截面流量排行</w:t>
      </w:r>
    </w:p>
    <w:tbl>
      <w:tblPr>
        <w:tblStyle w:val="30"/>
        <w:tblW w:w="4998" w:type="pct"/>
        <w:jc w:val="center"/>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Layout w:type="autofit"/>
        <w:tblCellMar>
          <w:top w:w="0" w:type="dxa"/>
          <w:left w:w="108" w:type="dxa"/>
          <w:bottom w:w="0" w:type="dxa"/>
          <w:right w:w="108" w:type="dxa"/>
        </w:tblCellMar>
      </w:tblPr>
      <w:tblGrid>
        <w:gridCol w:w="2154"/>
        <w:gridCol w:w="4535"/>
        <w:gridCol w:w="3348"/>
      </w:tblGrid>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tblHeader/>
          <w:jc w:val="center"/>
        </w:trPr>
        <w:tc>
          <w:tcPr>
            <w:tcW w:w="1073" w:type="pct"/>
            <w:tcBorders>
              <w:top w:val="single" w:color="000000" w:sz="4" w:space="0"/>
              <w:left w:val="single" w:color="000000" w:sz="4" w:space="0"/>
              <w:bottom w:val="single" w:color="000000" w:sz="4" w:space="0"/>
              <w:right w:val="nil"/>
              <w:insideV w:val="nil"/>
              <w:tl2br w:val="nil"/>
            </w:tcBorders>
            <w:shd w:val="clear" w:color="auto" w:fill="FFFFFF"/>
            <w:vAlign w:val="center"/>
          </w:tcPr>
          <w:p>
            <w:pPr>
              <w:pStyle w:val="32"/>
              <w:rPr>
                <w:rFonts w:eastAsia="黑体" w:cs="Times New Roman"/>
                <w:b/>
                <w:bCs w:val="0"/>
                <w:color w:val="auto"/>
              </w:rPr>
            </w:pPr>
            <w:r>
              <w:rPr>
                <w:rFonts w:eastAsia="黑体" w:cs="Times New Roman"/>
                <w:b w:val="0"/>
                <w:bCs/>
                <w:color w:val="auto"/>
              </w:rPr>
              <w:t>排名</w:t>
            </w:r>
          </w:p>
        </w:tc>
        <w:tc>
          <w:tcPr>
            <w:tcW w:w="2259" w:type="pct"/>
            <w:tcBorders>
              <w:top w:val="single" w:color="000000" w:sz="4" w:space="0"/>
              <w:left w:val="single" w:color="000000" w:sz="4" w:space="0"/>
              <w:bottom w:val="single" w:color="000000" w:sz="4" w:space="0"/>
              <w:right w:val="nil"/>
              <w:insideV w:val="nil"/>
            </w:tcBorders>
            <w:shd w:val="clear" w:color="auto" w:fill="FFFFFF"/>
            <w:vAlign w:val="center"/>
          </w:tcPr>
          <w:p>
            <w:pPr>
              <w:pStyle w:val="32"/>
              <w:rPr>
                <w:rFonts w:eastAsia="黑体" w:cs="Times New Roman"/>
                <w:b/>
                <w:bCs w:val="0"/>
                <w:color w:val="auto"/>
              </w:rPr>
            </w:pPr>
            <w:r>
              <w:rPr>
                <w:rFonts w:hint="eastAsia" w:eastAsia="黑体" w:cs="Times New Roman"/>
                <w:b w:val="0"/>
                <w:bCs/>
                <w:color w:val="auto"/>
              </w:rPr>
              <w:t>观测</w:t>
            </w:r>
            <w:r>
              <w:rPr>
                <w:rFonts w:eastAsia="黑体" w:cs="Times New Roman"/>
                <w:b w:val="0"/>
                <w:bCs/>
                <w:color w:val="auto"/>
              </w:rPr>
              <w:t>站</w:t>
            </w:r>
          </w:p>
        </w:tc>
        <w:tc>
          <w:tcPr>
            <w:tcW w:w="1668" w:type="pct"/>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32"/>
              <w:rPr>
                <w:rFonts w:eastAsia="黑体" w:cs="Times New Roman"/>
                <w:b/>
                <w:bCs w:val="0"/>
                <w:color w:val="auto"/>
              </w:rPr>
            </w:pPr>
            <w:r>
              <w:rPr>
                <w:rFonts w:hint="eastAsia" w:eastAsia="黑体" w:cs="Times New Roman"/>
                <w:b w:val="0"/>
                <w:bCs/>
                <w:color w:val="auto"/>
              </w:rPr>
              <w:t>截面</w:t>
            </w:r>
            <w:r>
              <w:rPr>
                <w:rFonts w:eastAsia="黑体" w:cs="Times New Roman"/>
                <w:b w:val="0"/>
                <w:bCs/>
                <w:color w:val="auto"/>
              </w:rPr>
              <w:t>流量/辆</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r>
              <w:rPr>
                <w:rFonts w:cs="Times New Roman"/>
                <w:b w:val="0"/>
                <w:bCs/>
                <w:color w:val="auto"/>
              </w:rPr>
              <w:t>1</w:t>
            </w:r>
          </w:p>
        </w:tc>
        <w:tc>
          <w:tcPr>
            <w:tcW w:w="0" w:type="pct"/>
            <w:tcBorders>
              <w:top w:val="single" w:color="000000" w:sz="4" w:space="0"/>
              <w:left w:val="single" w:color="000000" w:sz="4" w:space="0"/>
              <w:bottom w:val="single" w:color="000000" w:sz="4" w:space="0"/>
              <w:right w:val="single" w:color="000000" w:sz="4" w:space="0"/>
            </w:tcBorders>
            <w:shd w:val="clear" w:color="000000" w:fill="FFFFFF"/>
            <w:vAlign w:val="bottom"/>
          </w:tcPr>
          <w:p>
            <w:pPr>
              <w:pStyle w:val="32"/>
              <w:rPr>
                <w:rFonts w:cs="Times New Roman"/>
                <w:bCs/>
                <w:color w:val="auto"/>
              </w:rPr>
            </w:pPr>
            <w:r>
              <w:rPr>
                <w:rFonts w:hint="eastAsia" w:ascii="Times New Roman" w:hAnsi="Times New Roman" w:eastAsia="仿宋_GB2312" w:cs="Times New Roman"/>
                <w:bCs/>
                <w:color w:val="auto"/>
                <w:sz w:val="24"/>
                <w:szCs w:val="28"/>
              </w:rPr>
              <w:t>市中区苏稽站</w:t>
            </w:r>
          </w:p>
        </w:tc>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Cs/>
                <w:color w:val="auto"/>
                <w:szCs w:val="24"/>
              </w:rPr>
            </w:pPr>
            <w:r>
              <w:rPr>
                <w:color w:val="auto"/>
                <w:sz w:val="24"/>
                <w:szCs w:val="24"/>
              </w:rPr>
              <w:t>98559</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r>
              <w:rPr>
                <w:rFonts w:cs="Times New Roman"/>
                <w:b w:val="0"/>
                <w:bCs/>
                <w:color w:val="auto"/>
              </w:rPr>
              <w:t>2</w:t>
            </w:r>
          </w:p>
        </w:tc>
        <w:tc>
          <w:tcPr>
            <w:tcW w:w="0" w:type="pct"/>
            <w:tcBorders>
              <w:top w:val="nil"/>
              <w:left w:val="single" w:color="000000" w:sz="4" w:space="0"/>
              <w:bottom w:val="single" w:color="000000" w:sz="4" w:space="0"/>
              <w:right w:val="single" w:color="000000" w:sz="4" w:space="0"/>
            </w:tcBorders>
            <w:shd w:val="clear" w:color="000000" w:fill="FFFFFF"/>
            <w:vAlign w:val="bottom"/>
          </w:tcPr>
          <w:p>
            <w:pPr>
              <w:pStyle w:val="32"/>
              <w:rPr>
                <w:rFonts w:cs="Times New Roman"/>
                <w:bCs/>
                <w:color w:val="auto"/>
              </w:rPr>
            </w:pPr>
            <w:r>
              <w:rPr>
                <w:rFonts w:hint="eastAsia" w:ascii="Times New Roman" w:hAnsi="Times New Roman" w:eastAsia="仿宋_GB2312" w:cs="Times New Roman"/>
                <w:bCs/>
                <w:color w:val="auto"/>
                <w:sz w:val="24"/>
                <w:szCs w:val="28"/>
              </w:rPr>
              <w:t>峨眉山双福站</w:t>
            </w:r>
          </w:p>
        </w:tc>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Cs/>
                <w:color w:val="auto"/>
                <w:szCs w:val="24"/>
              </w:rPr>
            </w:pPr>
            <w:r>
              <w:rPr>
                <w:color w:val="auto"/>
                <w:sz w:val="24"/>
                <w:szCs w:val="24"/>
              </w:rPr>
              <w:t>91710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r>
              <w:rPr>
                <w:rFonts w:cs="Times New Roman"/>
                <w:b w:val="0"/>
                <w:bCs/>
                <w:color w:val="auto"/>
              </w:rPr>
              <w:t>3</w:t>
            </w:r>
          </w:p>
        </w:tc>
        <w:tc>
          <w:tcPr>
            <w:tcW w:w="0" w:type="pct"/>
            <w:tcBorders>
              <w:top w:val="nil"/>
              <w:left w:val="single" w:color="000000" w:sz="4" w:space="0"/>
              <w:bottom w:val="single" w:color="000000" w:sz="4" w:space="0"/>
              <w:right w:val="single" w:color="000000" w:sz="4" w:space="0"/>
            </w:tcBorders>
            <w:shd w:val="clear" w:color="000000" w:fill="FFFFFF"/>
            <w:vAlign w:val="bottom"/>
          </w:tcPr>
          <w:p>
            <w:pPr>
              <w:pStyle w:val="32"/>
              <w:rPr>
                <w:rFonts w:cs="Times New Roman"/>
                <w:bCs/>
                <w:color w:val="auto"/>
              </w:rPr>
            </w:pPr>
            <w:r>
              <w:rPr>
                <w:rFonts w:hint="eastAsia" w:cs="Times New Roman"/>
                <w:bCs/>
                <w:color w:val="auto"/>
                <w:sz w:val="24"/>
                <w:szCs w:val="28"/>
                <w:lang w:val="en-US" w:eastAsia="zh-CN"/>
              </w:rPr>
              <w:t>夹江县</w:t>
            </w:r>
            <w:r>
              <w:rPr>
                <w:rFonts w:hint="eastAsia" w:ascii="Times New Roman" w:hAnsi="Times New Roman" w:eastAsia="仿宋_GB2312" w:cs="Times New Roman"/>
                <w:bCs/>
                <w:color w:val="auto"/>
                <w:sz w:val="24"/>
                <w:szCs w:val="28"/>
              </w:rPr>
              <w:t>土门乡</w:t>
            </w:r>
          </w:p>
        </w:tc>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Cs/>
                <w:color w:val="auto"/>
                <w:szCs w:val="24"/>
              </w:rPr>
            </w:pPr>
            <w:r>
              <w:rPr>
                <w:color w:val="auto"/>
                <w:sz w:val="24"/>
                <w:szCs w:val="24"/>
              </w:rPr>
              <w:t>70692</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r>
              <w:rPr>
                <w:rFonts w:cs="Times New Roman"/>
                <w:b w:val="0"/>
                <w:bCs/>
                <w:color w:val="auto"/>
              </w:rPr>
              <w:t>4</w:t>
            </w:r>
          </w:p>
        </w:tc>
        <w:tc>
          <w:tcPr>
            <w:tcW w:w="0" w:type="pct"/>
            <w:tcBorders>
              <w:top w:val="nil"/>
              <w:left w:val="single" w:color="000000" w:sz="4" w:space="0"/>
              <w:bottom w:val="single" w:color="000000" w:sz="4" w:space="0"/>
              <w:right w:val="single" w:color="000000" w:sz="4" w:space="0"/>
            </w:tcBorders>
            <w:shd w:val="clear" w:color="000000" w:fill="FFFFFF"/>
            <w:vAlign w:val="bottom"/>
          </w:tcPr>
          <w:p>
            <w:pPr>
              <w:pStyle w:val="32"/>
              <w:rPr>
                <w:rFonts w:cs="Times New Roman"/>
                <w:bCs/>
                <w:color w:val="auto"/>
              </w:rPr>
            </w:pPr>
            <w:r>
              <w:rPr>
                <w:rFonts w:hint="eastAsia" w:ascii="Times New Roman" w:hAnsi="Times New Roman" w:eastAsia="仿宋_GB2312" w:cs="Times New Roman"/>
                <w:bCs/>
                <w:color w:val="auto"/>
                <w:sz w:val="24"/>
                <w:szCs w:val="28"/>
              </w:rPr>
              <w:t>市中区岷江三桥站</w:t>
            </w:r>
          </w:p>
        </w:tc>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Cs/>
                <w:color w:val="auto"/>
                <w:szCs w:val="24"/>
              </w:rPr>
            </w:pPr>
            <w:r>
              <w:rPr>
                <w:color w:val="auto"/>
                <w:sz w:val="24"/>
                <w:szCs w:val="24"/>
              </w:rPr>
              <w:t>58536</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
                <w:bCs w:val="0"/>
                <w:color w:val="auto"/>
              </w:rPr>
            </w:pPr>
            <w:r>
              <w:rPr>
                <w:rFonts w:cs="Times New Roman"/>
                <w:b w:val="0"/>
                <w:bCs/>
                <w:color w:val="auto"/>
              </w:rPr>
              <w:t>5</w:t>
            </w:r>
          </w:p>
        </w:tc>
        <w:tc>
          <w:tcPr>
            <w:tcW w:w="0" w:type="pct"/>
            <w:tcBorders>
              <w:top w:val="nil"/>
              <w:left w:val="single" w:color="000000" w:sz="4" w:space="0"/>
              <w:bottom w:val="single" w:color="000000" w:sz="4" w:space="0"/>
              <w:right w:val="single" w:color="000000" w:sz="4" w:space="0"/>
            </w:tcBorders>
            <w:shd w:val="clear" w:color="000000" w:fill="FFFFFF"/>
            <w:vAlign w:val="bottom"/>
          </w:tcPr>
          <w:p>
            <w:pPr>
              <w:pStyle w:val="32"/>
              <w:rPr>
                <w:rFonts w:cs="Times New Roman"/>
                <w:bCs/>
                <w:color w:val="auto"/>
              </w:rPr>
            </w:pPr>
            <w:r>
              <w:rPr>
                <w:rFonts w:hint="eastAsia" w:ascii="Times New Roman" w:hAnsi="Times New Roman" w:eastAsia="仿宋_GB2312" w:cs="Times New Roman"/>
                <w:bCs/>
                <w:color w:val="auto"/>
                <w:sz w:val="24"/>
                <w:szCs w:val="28"/>
              </w:rPr>
              <w:t>市中区马家冲</w:t>
            </w:r>
          </w:p>
        </w:tc>
        <w:tc>
          <w:tcPr>
            <w:tcW w:w="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cs="Times New Roman"/>
                <w:bCs/>
                <w:color w:val="auto"/>
                <w:szCs w:val="24"/>
              </w:rPr>
            </w:pPr>
            <w:r>
              <w:rPr>
                <w:color w:val="auto"/>
                <w:sz w:val="24"/>
                <w:szCs w:val="24"/>
              </w:rPr>
              <w:t>56673</w:t>
            </w:r>
          </w:p>
        </w:tc>
      </w:tr>
    </w:tbl>
    <w:p>
      <w:pPr>
        <w:pStyle w:val="27"/>
        <w:bidi w:val="0"/>
        <w:rPr>
          <w:color w:val="auto"/>
        </w:rPr>
      </w:pPr>
      <w:r>
        <w:rPr>
          <w:color w:val="auto"/>
        </w:rPr>
        <w:drawing>
          <wp:inline distT="0" distB="0" distL="0" distR="0">
            <wp:extent cx="5760085" cy="4055745"/>
            <wp:effectExtent l="9525" t="9525" r="21590" b="1143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noChangeArrowheads="1"/>
                    </pic:cNvPicPr>
                  </pic:nvPicPr>
                  <pic:blipFill>
                    <a:blip r:embed="rId38" cstate="print">
                      <a:extLst>
                        <a:ext uri="{28A0092B-C50C-407E-A947-70E740481C1C}">
                          <a14:useLocalDpi xmlns:a14="http://schemas.microsoft.com/office/drawing/2010/main" val="0"/>
                        </a:ext>
                      </a:extLst>
                    </a:blip>
                    <a:srcRect t="210" b="210"/>
                    <a:stretch>
                      <a:fillRect/>
                    </a:stretch>
                  </pic:blipFill>
                  <pic:spPr>
                    <a:xfrm>
                      <a:off x="0" y="0"/>
                      <a:ext cx="5760085" cy="4055745"/>
                    </a:xfrm>
                    <a:prstGeom prst="rect">
                      <a:avLst/>
                    </a:prstGeom>
                    <a:ln>
                      <a:solidFill>
                        <a:schemeClr val="bg2">
                          <a:lumMod val="75000"/>
                        </a:schemeClr>
                      </a:solidFill>
                    </a:ln>
                  </pic:spPr>
                </pic:pic>
              </a:graphicData>
            </a:graphic>
          </wp:inline>
        </w:drawing>
      </w:r>
    </w:p>
    <w:p>
      <w:pPr>
        <w:pStyle w:val="7"/>
        <w:bidi w:val="0"/>
        <w:rPr>
          <w:rFonts w:hint="eastAsia"/>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5</w:t>
      </w:r>
      <w:r>
        <w:rPr>
          <w:color w:val="auto"/>
        </w:rPr>
        <w:fldChar w:fldCharType="end"/>
      </w:r>
      <w:r>
        <w:rPr>
          <w:rFonts w:hint="eastAsia"/>
          <w:color w:val="auto"/>
          <w:lang w:val="en-US" w:eastAsia="zh-CN"/>
        </w:rPr>
        <w:t xml:space="preserve"> 乐山普通公路交调站观测截面流量分布图</w:t>
      </w:r>
    </w:p>
    <w:p>
      <w:pPr>
        <w:pStyle w:val="5"/>
        <w:rPr>
          <w:rFonts w:hint="default"/>
          <w:color w:val="auto"/>
          <w:lang w:val="en-US" w:eastAsia="zh-CN"/>
        </w:rPr>
      </w:pPr>
      <w:r>
        <w:rPr>
          <w:rFonts w:hint="eastAsia"/>
          <w:color w:val="auto"/>
          <w:lang w:val="en-US" w:eastAsia="zh-CN"/>
        </w:rPr>
        <w:t>运价特征</w:t>
      </w:r>
    </w:p>
    <w:p>
      <w:pPr>
        <w:rPr>
          <w:rFonts w:hint="default"/>
          <w:b/>
          <w:bCs/>
          <w:color w:val="auto"/>
          <w:lang w:val="en-US" w:eastAsia="zh-CN"/>
        </w:rPr>
      </w:pPr>
      <w:r>
        <w:rPr>
          <w:rFonts w:hint="default"/>
          <w:b/>
          <w:bCs/>
          <w:color w:val="auto"/>
          <w:lang w:val="en-US" w:eastAsia="zh-CN"/>
        </w:rPr>
        <w:t>1.公路整车运价</w:t>
      </w:r>
    </w:p>
    <w:p>
      <w:pPr>
        <w:rPr>
          <w:rFonts w:hint="default"/>
          <w:color w:val="auto"/>
          <w:lang w:val="en-US" w:eastAsia="zh-CN"/>
        </w:rPr>
      </w:pPr>
      <w:r>
        <w:rPr>
          <w:rFonts w:hint="eastAsia"/>
          <w:color w:val="auto"/>
          <w:lang w:val="en-US" w:eastAsia="zh-CN"/>
        </w:rPr>
        <w:t>根</w:t>
      </w:r>
      <w:r>
        <w:rPr>
          <w:rFonts w:hint="eastAsia"/>
          <w:color w:val="auto"/>
          <w:spacing w:val="-6"/>
          <w:lang w:val="en-US" w:eastAsia="zh-CN"/>
        </w:rPr>
        <w:t>据调研</w:t>
      </w:r>
      <w:r>
        <w:rPr>
          <w:rFonts w:hint="default"/>
          <w:color w:val="auto"/>
          <w:spacing w:val="-6"/>
          <w:lang w:val="en-US" w:eastAsia="zh-CN"/>
        </w:rPr>
        <w:t>，乐</w:t>
      </w:r>
      <w:r>
        <w:rPr>
          <w:rFonts w:hint="default"/>
          <w:color w:val="auto"/>
          <w:spacing w:val="6"/>
          <w:sz w:val="32"/>
          <w:lang w:val="en-US" w:eastAsia="zh-CN"/>
        </w:rPr>
        <w:t>山到成都、重庆以9.6米高栏车为例，乐山↔成都整车运价约600</w:t>
      </w:r>
      <w:r>
        <w:rPr>
          <w:rFonts w:hint="eastAsia"/>
          <w:color w:val="auto"/>
          <w:spacing w:val="6"/>
          <w:sz w:val="32"/>
          <w:lang w:val="en-US" w:eastAsia="zh-CN"/>
        </w:rPr>
        <w:t>元—</w:t>
      </w:r>
      <w:r>
        <w:rPr>
          <w:rFonts w:hint="default"/>
          <w:color w:val="auto"/>
          <w:spacing w:val="6"/>
          <w:sz w:val="32"/>
          <w:lang w:val="en-US" w:eastAsia="zh-CN"/>
        </w:rPr>
        <w:t>750元/车，乐山↔重庆整车运价约1200</w:t>
      </w:r>
      <w:r>
        <w:rPr>
          <w:rFonts w:hint="eastAsia"/>
          <w:color w:val="auto"/>
          <w:spacing w:val="6"/>
          <w:sz w:val="32"/>
          <w:lang w:val="en-US" w:eastAsia="zh-CN"/>
        </w:rPr>
        <w:t>元—</w:t>
      </w:r>
      <w:r>
        <w:rPr>
          <w:rFonts w:hint="default"/>
          <w:color w:val="auto"/>
          <w:spacing w:val="6"/>
          <w:sz w:val="32"/>
          <w:lang w:val="en-US" w:eastAsia="zh-CN"/>
        </w:rPr>
        <w:t>1400元/车；北京、上海、深圳以17.5米挂车为例，乐山↔北京整车运价约86</w:t>
      </w:r>
      <w:r>
        <w:rPr>
          <w:rFonts w:hint="default"/>
          <w:color w:val="auto"/>
          <w:lang w:val="en-US" w:eastAsia="zh-CN"/>
        </w:rPr>
        <w:t>00</w:t>
      </w:r>
      <w:r>
        <w:rPr>
          <w:rFonts w:hint="eastAsia"/>
          <w:color w:val="auto"/>
          <w:lang w:val="en-US" w:eastAsia="zh-CN"/>
        </w:rPr>
        <w:t>元—</w:t>
      </w:r>
      <w:r>
        <w:rPr>
          <w:rFonts w:hint="default"/>
          <w:color w:val="auto"/>
          <w:lang w:val="en-US" w:eastAsia="zh-CN"/>
        </w:rPr>
        <w:t>9800元/车，乐山↔上海整车运价约8900</w:t>
      </w:r>
      <w:r>
        <w:rPr>
          <w:rFonts w:hint="eastAsia"/>
          <w:color w:val="auto"/>
          <w:lang w:val="en-US" w:eastAsia="zh-CN"/>
        </w:rPr>
        <w:t>元—</w:t>
      </w:r>
      <w:r>
        <w:rPr>
          <w:rFonts w:hint="default"/>
          <w:color w:val="auto"/>
          <w:lang w:val="en-US" w:eastAsia="zh-CN"/>
        </w:rPr>
        <w:t>10500元/车，乐山↔深圳整车运价约10000</w:t>
      </w:r>
      <w:r>
        <w:rPr>
          <w:rFonts w:hint="eastAsia"/>
          <w:color w:val="auto"/>
          <w:lang w:val="en-US" w:eastAsia="zh-CN"/>
        </w:rPr>
        <w:t>元—</w:t>
      </w:r>
      <w:r>
        <w:rPr>
          <w:rFonts w:hint="default"/>
          <w:color w:val="auto"/>
          <w:lang w:val="en-US" w:eastAsia="zh-CN"/>
        </w:rPr>
        <w:t>11000元/车。</w:t>
      </w:r>
    </w:p>
    <w:p>
      <w:pPr>
        <w:rPr>
          <w:rFonts w:hint="default"/>
          <w:b/>
          <w:bCs/>
          <w:color w:val="auto"/>
          <w:lang w:val="en-US" w:eastAsia="zh-CN"/>
        </w:rPr>
      </w:pPr>
      <w:r>
        <w:rPr>
          <w:rFonts w:hint="default"/>
          <w:b/>
          <w:bCs/>
          <w:color w:val="auto"/>
          <w:lang w:val="en-US" w:eastAsia="zh-CN"/>
        </w:rPr>
        <w:t>2.公路零担运价</w:t>
      </w:r>
    </w:p>
    <w:p>
      <w:pPr>
        <w:rPr>
          <w:rFonts w:hint="default"/>
          <w:color w:val="auto"/>
          <w:lang w:val="en-US" w:eastAsia="zh-CN"/>
        </w:rPr>
      </w:pPr>
      <w:r>
        <w:rPr>
          <w:rFonts w:hint="default"/>
          <w:color w:val="auto"/>
          <w:lang w:val="en-US" w:eastAsia="zh-CN"/>
        </w:rPr>
        <w:t>乐山↔成都零担运价约0.41</w:t>
      </w:r>
      <w:r>
        <w:rPr>
          <w:rFonts w:hint="eastAsia"/>
          <w:color w:val="auto"/>
          <w:lang w:val="en-US" w:eastAsia="zh-CN"/>
        </w:rPr>
        <w:t>元—</w:t>
      </w:r>
      <w:r>
        <w:rPr>
          <w:rFonts w:hint="default"/>
          <w:color w:val="auto"/>
          <w:lang w:val="en-US" w:eastAsia="zh-CN"/>
        </w:rPr>
        <w:t>0.49元/吨公里，乐山↔重庆零担运价约0.41</w:t>
      </w:r>
      <w:r>
        <w:rPr>
          <w:rFonts w:hint="eastAsia"/>
          <w:color w:val="auto"/>
          <w:lang w:val="en-US" w:eastAsia="zh-CN"/>
        </w:rPr>
        <w:t>元—</w:t>
      </w:r>
      <w:r>
        <w:rPr>
          <w:rFonts w:hint="default"/>
          <w:color w:val="auto"/>
          <w:lang w:val="en-US" w:eastAsia="zh-CN"/>
        </w:rPr>
        <w:t>0.46元/吨公里；乐山↔北京零担运价约0.21</w:t>
      </w:r>
      <w:r>
        <w:rPr>
          <w:rFonts w:hint="eastAsia"/>
          <w:color w:val="auto"/>
          <w:lang w:val="en-US" w:eastAsia="zh-CN"/>
        </w:rPr>
        <w:t>元—</w:t>
      </w:r>
      <w:r>
        <w:rPr>
          <w:rFonts w:hint="default"/>
          <w:color w:val="auto"/>
          <w:lang w:val="en-US" w:eastAsia="zh-CN"/>
        </w:rPr>
        <w:t>0.24元/吨公里；乐山↔上海零担运价约0.20</w:t>
      </w:r>
      <w:r>
        <w:rPr>
          <w:rFonts w:hint="eastAsia"/>
          <w:color w:val="auto"/>
          <w:lang w:val="en-US" w:eastAsia="zh-CN"/>
        </w:rPr>
        <w:t>元—</w:t>
      </w:r>
      <w:r>
        <w:rPr>
          <w:rFonts w:hint="default"/>
          <w:color w:val="auto"/>
          <w:lang w:val="en-US" w:eastAsia="zh-CN"/>
        </w:rPr>
        <w:t>0.24元/吨公里；乐山↔深圳零担运价约0.28</w:t>
      </w:r>
      <w:r>
        <w:rPr>
          <w:rFonts w:hint="eastAsia"/>
          <w:color w:val="auto"/>
          <w:lang w:val="en-US" w:eastAsia="zh-CN"/>
        </w:rPr>
        <w:t>元—</w:t>
      </w:r>
      <w:r>
        <w:rPr>
          <w:rFonts w:hint="default"/>
          <w:color w:val="auto"/>
          <w:lang w:val="en-US" w:eastAsia="zh-CN"/>
        </w:rPr>
        <w:t>0.30元/吨公里。</w:t>
      </w:r>
    </w:p>
    <w:p>
      <w:pPr>
        <w:pStyle w:val="7"/>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6</w:t>
      </w:r>
      <w:r>
        <w:rPr>
          <w:color w:val="auto"/>
        </w:rPr>
        <w:fldChar w:fldCharType="end"/>
      </w:r>
      <w:r>
        <w:rPr>
          <w:rFonts w:hint="eastAsia"/>
          <w:color w:val="auto"/>
          <w:lang w:val="en-US" w:eastAsia="zh-CN"/>
        </w:rPr>
        <w:t xml:space="preserve"> 公路运价特征表</w:t>
      </w:r>
    </w:p>
    <w:tbl>
      <w:tblPr>
        <w:tblStyle w:val="20"/>
        <w:tblW w:w="5000" w:type="pct"/>
        <w:tblInd w:w="0" w:type="dxa"/>
        <w:tblLayout w:type="autofit"/>
        <w:tblCellMar>
          <w:top w:w="0" w:type="dxa"/>
          <w:left w:w="0" w:type="dxa"/>
          <w:bottom w:w="0" w:type="dxa"/>
          <w:right w:w="0" w:type="dxa"/>
        </w:tblCellMar>
      </w:tblPr>
      <w:tblGrid>
        <w:gridCol w:w="1491"/>
        <w:gridCol w:w="733"/>
        <w:gridCol w:w="1491"/>
        <w:gridCol w:w="1575"/>
        <w:gridCol w:w="2375"/>
        <w:gridCol w:w="2376"/>
      </w:tblGrid>
      <w:tr>
        <w:tblPrEx>
          <w:tblCellMar>
            <w:top w:w="0" w:type="dxa"/>
            <w:left w:w="0" w:type="dxa"/>
            <w:bottom w:w="0" w:type="dxa"/>
            <w:right w:w="0" w:type="dxa"/>
          </w:tblCellMar>
        </w:tblPrEx>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val="en-US" w:eastAsia="zh-CN" w:bidi="ar"/>
              </w:rPr>
            </w:pPr>
            <w:r>
              <w:rPr>
                <w:rFonts w:hint="eastAsia" w:ascii="黑体" w:hAnsi="黑体" w:eastAsia="黑体" w:cs="黑体"/>
                <w:b w:val="0"/>
                <w:bCs w:val="0"/>
                <w:color w:val="auto"/>
                <w:kern w:val="0"/>
                <w:sz w:val="24"/>
                <w:szCs w:val="24"/>
                <w:u w:val="none"/>
                <w:lang w:val="en-US" w:eastAsia="zh-CN" w:bidi="ar"/>
              </w:rPr>
              <w:t>运输方向</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val="en-US" w:eastAsia="zh-CN" w:bidi="ar"/>
              </w:rPr>
            </w:pPr>
            <w:r>
              <w:rPr>
                <w:rFonts w:hint="eastAsia" w:ascii="黑体" w:hAnsi="黑体" w:eastAsia="黑体" w:cs="黑体"/>
                <w:b w:val="0"/>
                <w:bCs w:val="0"/>
                <w:color w:val="auto"/>
                <w:kern w:val="0"/>
                <w:sz w:val="24"/>
                <w:szCs w:val="24"/>
                <w:u w:val="none"/>
                <w:lang w:val="en-US" w:eastAsia="zh-CN" w:bidi="ar"/>
              </w:rPr>
              <w:t>车型</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val="en-US" w:eastAsia="zh-CN" w:bidi="ar"/>
              </w:rPr>
            </w:pPr>
            <w:r>
              <w:rPr>
                <w:rFonts w:hint="eastAsia" w:ascii="黑体" w:hAnsi="黑体" w:eastAsia="黑体" w:cs="黑体"/>
                <w:b w:val="0"/>
                <w:bCs w:val="0"/>
                <w:color w:val="auto"/>
                <w:kern w:val="0"/>
                <w:sz w:val="24"/>
                <w:szCs w:val="24"/>
                <w:u w:val="none"/>
                <w:lang w:val="en-US" w:eastAsia="zh-CN" w:bidi="ar"/>
              </w:rPr>
              <w:t>载重（吨）</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val="en-US" w:eastAsia="zh-CN" w:bidi="ar"/>
              </w:rPr>
            </w:pPr>
            <w:r>
              <w:rPr>
                <w:rFonts w:hint="eastAsia" w:ascii="黑体" w:hAnsi="黑体" w:eastAsia="黑体" w:cs="黑体"/>
                <w:b w:val="0"/>
                <w:bCs w:val="0"/>
                <w:color w:val="auto"/>
                <w:kern w:val="0"/>
                <w:sz w:val="24"/>
                <w:szCs w:val="24"/>
                <w:u w:val="none"/>
                <w:lang w:val="en-US" w:eastAsia="zh-CN" w:bidi="ar"/>
              </w:rPr>
              <w:t>运价（元）</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val="en-US" w:eastAsia="zh-CN" w:bidi="ar"/>
              </w:rPr>
            </w:pPr>
            <w:r>
              <w:rPr>
                <w:rFonts w:hint="eastAsia" w:ascii="黑体" w:hAnsi="黑体" w:eastAsia="黑体" w:cs="黑体"/>
                <w:b w:val="0"/>
                <w:bCs w:val="0"/>
                <w:color w:val="auto"/>
                <w:kern w:val="0"/>
                <w:sz w:val="24"/>
                <w:szCs w:val="24"/>
                <w:u w:val="none"/>
                <w:lang w:val="en-US" w:eastAsia="zh-CN" w:bidi="ar"/>
              </w:rPr>
              <w:t>整车（元/吨公里）</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val="en-US" w:eastAsia="zh-CN" w:bidi="ar"/>
              </w:rPr>
            </w:pPr>
            <w:r>
              <w:rPr>
                <w:rFonts w:hint="eastAsia" w:ascii="黑体" w:hAnsi="黑体" w:eastAsia="黑体" w:cs="黑体"/>
                <w:b w:val="0"/>
                <w:bCs w:val="0"/>
                <w:color w:val="auto"/>
                <w:kern w:val="0"/>
                <w:sz w:val="24"/>
                <w:szCs w:val="24"/>
                <w:u w:val="none"/>
                <w:lang w:val="en-US" w:eastAsia="zh-CN" w:bidi="ar"/>
              </w:rPr>
              <w:t>零担（元/吨公里）</w:t>
            </w:r>
          </w:p>
        </w:tc>
      </w:tr>
      <w:tr>
        <w:tblPrEx>
          <w:tblCellMar>
            <w:top w:w="0" w:type="dxa"/>
            <w:left w:w="0" w:type="dxa"/>
            <w:bottom w:w="0" w:type="dxa"/>
            <w:right w:w="0" w:type="dxa"/>
          </w:tblCellMar>
        </w:tblPrEx>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乐山↔成都</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9.6</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600-750</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0.32-0.38</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0.41-0.49</w:t>
            </w:r>
          </w:p>
        </w:tc>
      </w:tr>
      <w:tr>
        <w:tblPrEx>
          <w:tblCellMar>
            <w:top w:w="0" w:type="dxa"/>
            <w:left w:w="0" w:type="dxa"/>
            <w:bottom w:w="0" w:type="dxa"/>
            <w:right w:w="0" w:type="dxa"/>
          </w:tblCellMar>
        </w:tblPrEx>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乐山↔重庆</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9.6</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1200-1400</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0.32-0.35</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0.41-0.46</w:t>
            </w:r>
          </w:p>
        </w:tc>
      </w:tr>
      <w:tr>
        <w:tblPrEx>
          <w:tblCellMar>
            <w:top w:w="0" w:type="dxa"/>
            <w:left w:w="0" w:type="dxa"/>
            <w:bottom w:w="0" w:type="dxa"/>
            <w:right w:w="0" w:type="dxa"/>
          </w:tblCellMar>
        </w:tblPrEx>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乐山↔北京</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17.5</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8600-9800</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0.16-0.18</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0.21-0.24</w:t>
            </w:r>
          </w:p>
        </w:tc>
      </w:tr>
      <w:tr>
        <w:tblPrEx>
          <w:tblCellMar>
            <w:top w:w="0" w:type="dxa"/>
            <w:left w:w="0" w:type="dxa"/>
            <w:bottom w:w="0" w:type="dxa"/>
            <w:right w:w="0" w:type="dxa"/>
          </w:tblCellMar>
        </w:tblPrEx>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乐山↔上海</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17.5</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8900-10500</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0.15-0.18</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0.20-0.24</w:t>
            </w:r>
          </w:p>
        </w:tc>
      </w:tr>
      <w:tr>
        <w:tblPrEx>
          <w:tblCellMar>
            <w:top w:w="0" w:type="dxa"/>
            <w:left w:w="0" w:type="dxa"/>
            <w:bottom w:w="0" w:type="dxa"/>
            <w:right w:w="0" w:type="dxa"/>
          </w:tblCellMar>
        </w:tblPrEx>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乐山↔深圳</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17.5</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10000-1</w:t>
            </w:r>
            <w:r>
              <w:rPr>
                <w:rFonts w:hint="eastAsia" w:cs="Times New Roman"/>
                <w:color w:val="auto"/>
                <w:kern w:val="0"/>
                <w:sz w:val="24"/>
                <w:szCs w:val="24"/>
                <w:u w:val="none"/>
                <w:lang w:val="en-US" w:eastAsia="zh-CN" w:bidi="ar"/>
              </w:rPr>
              <w:t>1</w:t>
            </w:r>
            <w:r>
              <w:rPr>
                <w:rFonts w:hint="eastAsia" w:ascii="Times New Roman" w:hAnsi="Times New Roman" w:eastAsia="仿宋_GB2312" w:cs="Times New Roman"/>
                <w:color w:val="auto"/>
                <w:kern w:val="0"/>
                <w:sz w:val="24"/>
                <w:szCs w:val="24"/>
                <w:u w:val="none"/>
                <w:lang w:val="en-US" w:eastAsia="zh-CN" w:bidi="ar"/>
              </w:rPr>
              <w:t>000</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0.22-0.23</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pPr>
              <w:keepNext w:val="0"/>
              <w:keepLines w:val="0"/>
              <w:widowControl/>
              <w:suppressLineNumbers w:val="0"/>
              <w:spacing w:line="400" w:lineRule="exact"/>
              <w:ind w:firstLine="0" w:firstLineChars="0"/>
              <w:jc w:val="center"/>
              <w:textAlignment w:val="center"/>
              <w:rPr>
                <w:rFonts w:hint="eastAsia" w:ascii="Times New Roman" w:hAnsi="Times New Roman" w:eastAsia="仿宋_GB2312" w:cs="Times New Roman"/>
                <w:color w:val="auto"/>
                <w:kern w:val="0"/>
                <w:sz w:val="24"/>
                <w:szCs w:val="24"/>
                <w:u w:val="none"/>
                <w:lang w:val="en-US" w:eastAsia="zh-CN" w:bidi="ar"/>
              </w:rPr>
            </w:pPr>
            <w:r>
              <w:rPr>
                <w:rFonts w:hint="eastAsia" w:ascii="Times New Roman" w:hAnsi="Times New Roman" w:eastAsia="仿宋_GB2312" w:cs="Times New Roman"/>
                <w:color w:val="auto"/>
                <w:kern w:val="0"/>
                <w:sz w:val="24"/>
                <w:szCs w:val="24"/>
                <w:u w:val="none"/>
                <w:lang w:val="en-US" w:eastAsia="zh-CN" w:bidi="ar"/>
              </w:rPr>
              <w:t>0.28-0.30</w:t>
            </w:r>
          </w:p>
        </w:tc>
      </w:tr>
    </w:tbl>
    <w:p>
      <w:pPr>
        <w:pStyle w:val="4"/>
        <w:bidi w:val="0"/>
        <w:rPr>
          <w:rFonts w:hint="default" w:ascii="Times New Roman" w:hAnsi="Times New Roman" w:cs="Times New Roman"/>
          <w:color w:val="auto"/>
          <w:lang w:val="en-US" w:eastAsia="zh-CN"/>
        </w:rPr>
      </w:pPr>
      <w:bookmarkStart w:id="82" w:name="_Toc30739"/>
      <w:r>
        <w:rPr>
          <w:rFonts w:hint="eastAsia" w:cs="Times New Roman"/>
          <w:color w:val="auto"/>
          <w:lang w:val="en-US" w:eastAsia="zh-CN"/>
        </w:rPr>
        <w:t>铁路货运现状分析</w:t>
      </w:r>
      <w:bookmarkEnd w:id="82"/>
    </w:p>
    <w:p>
      <w:pPr>
        <w:pStyle w:val="5"/>
        <w:rPr>
          <w:rFonts w:hint="default"/>
          <w:color w:val="auto"/>
          <w:lang w:val="en-US" w:eastAsia="zh-CN"/>
        </w:rPr>
      </w:pPr>
      <w:r>
        <w:rPr>
          <w:rFonts w:hint="eastAsia"/>
          <w:color w:val="auto"/>
          <w:lang w:val="en-US" w:eastAsia="zh-CN"/>
        </w:rPr>
        <w:t>运量及到发特征</w:t>
      </w:r>
    </w:p>
    <w:p>
      <w:pPr>
        <w:rPr>
          <w:rFonts w:hint="default"/>
          <w:color w:val="auto"/>
          <w:lang w:val="en-US" w:eastAsia="zh-CN"/>
        </w:rPr>
      </w:pPr>
      <w:r>
        <w:rPr>
          <w:rFonts w:hint="default"/>
          <w:color w:val="auto"/>
          <w:lang w:val="en-US" w:eastAsia="zh-CN"/>
        </w:rPr>
        <w:t>乐山市铁路货运主要集中在沙湾、燕岗、燕岗南、夹江、九里、峨边站办理，</w:t>
      </w:r>
      <w:r>
        <w:rPr>
          <w:rFonts w:hint="eastAsia"/>
          <w:color w:val="auto"/>
          <w:lang w:val="en-US" w:eastAsia="zh-CN"/>
        </w:rPr>
        <w:t>货物发送目的地</w:t>
      </w:r>
      <w:r>
        <w:rPr>
          <w:rFonts w:hint="default"/>
          <w:color w:val="auto"/>
          <w:lang w:val="en-US" w:eastAsia="zh-CN"/>
        </w:rPr>
        <w:t>以</w:t>
      </w:r>
      <w:r>
        <w:rPr>
          <w:rFonts w:hint="eastAsia"/>
          <w:color w:val="auto"/>
          <w:lang w:val="en-US" w:eastAsia="zh-CN"/>
        </w:rPr>
        <w:t>省内城市为主，</w:t>
      </w:r>
      <w:r>
        <w:rPr>
          <w:rFonts w:hint="default"/>
          <w:color w:val="auto"/>
          <w:lang w:val="en-US" w:eastAsia="zh-CN"/>
        </w:rPr>
        <w:t>占比超50%</w:t>
      </w:r>
      <w:r>
        <w:rPr>
          <w:rFonts w:hint="eastAsia"/>
          <w:color w:val="auto"/>
          <w:lang w:val="en-US" w:eastAsia="zh-CN"/>
        </w:rPr>
        <w:t>，省外以重庆、贵州、云南等西南地区和新疆、青海等西北地区为主。</w:t>
      </w:r>
      <w:r>
        <w:rPr>
          <w:rFonts w:hint="default"/>
          <w:color w:val="auto"/>
          <w:lang w:val="en-US" w:eastAsia="zh-CN"/>
        </w:rPr>
        <w:t>货物</w:t>
      </w:r>
      <w:r>
        <w:rPr>
          <w:rFonts w:hint="eastAsia"/>
          <w:color w:val="auto"/>
          <w:lang w:val="en-US" w:eastAsia="zh-CN"/>
        </w:rPr>
        <w:t>来源地以新疆等</w:t>
      </w:r>
      <w:r>
        <w:rPr>
          <w:rFonts w:hint="default"/>
          <w:color w:val="auto"/>
          <w:lang w:val="en-US" w:eastAsia="zh-CN"/>
        </w:rPr>
        <w:t>西北</w:t>
      </w:r>
      <w:r>
        <w:rPr>
          <w:rFonts w:hint="eastAsia"/>
          <w:color w:val="auto"/>
          <w:lang w:val="en-US" w:eastAsia="zh-CN"/>
        </w:rPr>
        <w:t>地区和</w:t>
      </w:r>
      <w:r>
        <w:rPr>
          <w:rFonts w:hint="default"/>
          <w:color w:val="auto"/>
          <w:lang w:val="en-US" w:eastAsia="zh-CN"/>
        </w:rPr>
        <w:t>贵州</w:t>
      </w:r>
      <w:r>
        <w:rPr>
          <w:rFonts w:hint="eastAsia"/>
          <w:color w:val="auto"/>
          <w:lang w:val="en-US" w:eastAsia="zh-CN"/>
        </w:rPr>
        <w:t>等西南地区为主</w:t>
      </w:r>
      <w:r>
        <w:rPr>
          <w:rFonts w:hint="default"/>
          <w:color w:val="auto"/>
          <w:lang w:val="en-US" w:eastAsia="zh-CN"/>
        </w:rPr>
        <w:t>。</w:t>
      </w:r>
    </w:p>
    <w:p>
      <w:pPr>
        <w:pStyle w:val="27"/>
        <w:rPr>
          <w:rFonts w:hint="default"/>
          <w:color w:val="auto"/>
          <w:lang w:val="en-US" w:eastAsia="zh-CN"/>
        </w:rPr>
      </w:pPr>
      <w:r>
        <w:drawing>
          <wp:inline distT="0" distB="0" distL="114300" distR="114300">
            <wp:extent cx="5328920" cy="3136900"/>
            <wp:effectExtent l="4445" t="5080" r="19685" b="20320"/>
            <wp:docPr id="49"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pPr>
        <w:pStyle w:val="7"/>
        <w:rPr>
          <w:rFonts w:hint="eastAsia"/>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6</w:t>
      </w:r>
      <w:r>
        <w:rPr>
          <w:color w:val="auto"/>
        </w:rPr>
        <w:fldChar w:fldCharType="end"/>
      </w:r>
      <w:r>
        <w:rPr>
          <w:rFonts w:hint="eastAsia"/>
          <w:color w:val="auto"/>
          <w:lang w:val="en-US" w:eastAsia="zh-CN"/>
        </w:rPr>
        <w:t xml:space="preserve"> 2024年乐山铁路分站货运量</w:t>
      </w:r>
    </w:p>
    <w:p>
      <w:pPr>
        <w:rPr>
          <w:rFonts w:hint="default"/>
          <w:color w:val="auto"/>
          <w:lang w:val="en-US" w:eastAsia="zh-CN"/>
        </w:rPr>
      </w:pPr>
      <w:r>
        <w:rPr>
          <w:rFonts w:hint="default"/>
          <w:color w:val="auto"/>
          <w:lang w:val="en-US" w:eastAsia="zh-CN"/>
        </w:rPr>
        <w:t>货物品类方面，2024年发送376万吨，以集装箱、化肥、饮食品、钢铁、煤炭、矿建为主；到达</w:t>
      </w:r>
      <w:r>
        <w:rPr>
          <w:rFonts w:hint="eastAsia"/>
          <w:color w:val="auto"/>
          <w:lang w:val="en-US" w:eastAsia="zh-CN"/>
        </w:rPr>
        <w:t>1371</w:t>
      </w:r>
      <w:r>
        <w:rPr>
          <w:rFonts w:hint="default"/>
          <w:color w:val="auto"/>
          <w:lang w:val="en-US" w:eastAsia="zh-CN"/>
        </w:rPr>
        <w:t>万吨，以集装箱、金属矿石、石油、煤炭、焦炭、粮食、化肥为主。</w:t>
      </w:r>
    </w:p>
    <w:p>
      <w:pPr>
        <w:pStyle w:val="7"/>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7</w:t>
      </w:r>
      <w:r>
        <w:rPr>
          <w:color w:val="auto"/>
        </w:rPr>
        <w:fldChar w:fldCharType="end"/>
      </w:r>
      <w:r>
        <w:rPr>
          <w:rFonts w:hint="eastAsia"/>
          <w:color w:val="auto"/>
          <w:lang w:val="en-US" w:eastAsia="zh-CN"/>
        </w:rPr>
        <w:t xml:space="preserve"> 2024年乐山铁路货运主要货物品类</w:t>
      </w:r>
    </w:p>
    <w:tbl>
      <w:tblPr>
        <w:tblStyle w:val="20"/>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2502"/>
        <w:gridCol w:w="1702"/>
        <w:gridCol w:w="1705"/>
        <w:gridCol w:w="1971"/>
        <w:gridCol w:w="197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2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品类</w:t>
            </w:r>
          </w:p>
        </w:tc>
        <w:tc>
          <w:tcPr>
            <w:tcW w:w="17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货运量（万吨）</w:t>
            </w:r>
          </w:p>
        </w:tc>
        <w:tc>
          <w:tcPr>
            <w:tcW w:w="200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占比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2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spacing w:line="400" w:lineRule="exact"/>
              <w:jc w:val="center"/>
              <w:textAlignment w:val="center"/>
              <w:rPr>
                <w:rFonts w:hint="eastAsia" w:ascii="黑体" w:hAnsi="黑体" w:eastAsia="黑体" w:cs="黑体"/>
                <w:b w:val="0"/>
                <w:bCs w:val="0"/>
                <w:color w:val="auto"/>
                <w:kern w:val="0"/>
                <w:sz w:val="24"/>
                <w:szCs w:val="24"/>
                <w:u w:val="none"/>
                <w:lang w:bidi="ar"/>
              </w:rPr>
            </w:pP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发送</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到达</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发送</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到达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煤</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13</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default" w:cs="Times New Roman"/>
                <w:color w:val="auto"/>
                <w:kern w:val="0"/>
                <w:sz w:val="24"/>
                <w:szCs w:val="24"/>
                <w:u w:val="none"/>
                <w:lang w:bidi="ar"/>
              </w:rPr>
            </w:pPr>
            <w:r>
              <w:rPr>
                <w:rFonts w:hint="eastAsia" w:cs="Times New Roman"/>
                <w:color w:val="auto"/>
                <w:kern w:val="0"/>
                <w:sz w:val="24"/>
                <w:szCs w:val="24"/>
                <w:u w:val="none"/>
                <w:lang w:val="en-US" w:eastAsia="zh-CN" w:bidi="ar"/>
              </w:rPr>
              <w:t>140</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3%</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石油</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80</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焦炭</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65</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default" w:cs="Times New Roman"/>
                <w:color w:val="auto"/>
                <w:kern w:val="0"/>
                <w:sz w:val="24"/>
                <w:szCs w:val="24"/>
                <w:u w:val="none"/>
                <w:lang w:bidi="ar"/>
              </w:rPr>
            </w:pPr>
            <w:r>
              <w:rPr>
                <w:rFonts w:hint="eastAsia" w:cs="Times New Roman"/>
                <w:color w:val="auto"/>
                <w:kern w:val="0"/>
                <w:sz w:val="24"/>
                <w:szCs w:val="24"/>
                <w:u w:val="none"/>
                <w:lang w:val="en-US" w:eastAsia="zh-CN" w:bidi="ar"/>
              </w:rPr>
              <w:t>金属矿石</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default"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6</w:t>
            </w:r>
            <w:r>
              <w:rPr>
                <w:rFonts w:hint="eastAsia" w:cs="Times New Roman"/>
                <w:color w:val="auto"/>
                <w:kern w:val="0"/>
                <w:sz w:val="24"/>
                <w:szCs w:val="24"/>
                <w:u w:val="none"/>
                <w:lang w:val="en-US" w:eastAsia="zh-CN" w:bidi="ar"/>
              </w:rPr>
              <w:t>39</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钢铁</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36</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4</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10%</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default"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非</w:t>
            </w:r>
            <w:r>
              <w:rPr>
                <w:rFonts w:hint="eastAsia" w:cs="Times New Roman"/>
                <w:color w:val="auto"/>
                <w:kern w:val="0"/>
                <w:sz w:val="24"/>
                <w:szCs w:val="24"/>
                <w:u w:val="none"/>
                <w:lang w:val="en-US" w:eastAsia="zh-CN" w:bidi="ar"/>
              </w:rPr>
              <w:t>金属矿石</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24</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13</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6%</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磷矿石</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21</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6%</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矿建</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6</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13</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2%</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水泥</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10</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3%</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饮食品</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54</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6</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14%</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粮食</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45</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化工品</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4</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化肥</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31</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26</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8%</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盐</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9</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2%</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其他</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6</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14</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2%</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集装箱</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160</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325</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43%</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合计</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376</w:t>
            </w:r>
          </w:p>
        </w:tc>
        <w:tc>
          <w:tcPr>
            <w:tcW w:w="8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default"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13</w:t>
            </w:r>
            <w:r>
              <w:rPr>
                <w:rFonts w:hint="eastAsia" w:cs="Times New Roman"/>
                <w:color w:val="auto"/>
                <w:kern w:val="0"/>
                <w:sz w:val="24"/>
                <w:szCs w:val="24"/>
                <w:u w:val="none"/>
                <w:lang w:val="en-US" w:eastAsia="zh-CN" w:bidi="ar"/>
              </w:rPr>
              <w:t>71</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100%</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kern w:val="0"/>
                <w:sz w:val="24"/>
                <w:szCs w:val="24"/>
                <w:u w:val="none"/>
                <w:lang w:bidi="ar"/>
              </w:rPr>
            </w:pPr>
            <w:r>
              <w:rPr>
                <w:rFonts w:hint="eastAsia" w:ascii="Times New Roman" w:hAnsi="Times New Roman" w:eastAsia="仿宋_GB2312" w:cs="Times New Roman"/>
                <w:color w:val="auto"/>
                <w:kern w:val="0"/>
                <w:sz w:val="24"/>
                <w:szCs w:val="24"/>
                <w:u w:val="none"/>
                <w:lang w:val="en-US" w:eastAsia="zh-CN" w:bidi="ar"/>
              </w:rPr>
              <w:t>100%</w:t>
            </w:r>
          </w:p>
        </w:tc>
      </w:tr>
    </w:tbl>
    <w:p>
      <w:pPr>
        <w:pStyle w:val="5"/>
        <w:rPr>
          <w:rFonts w:hint="default"/>
          <w:color w:val="auto"/>
          <w:lang w:val="en-US" w:eastAsia="zh-CN"/>
        </w:rPr>
      </w:pPr>
      <w:r>
        <w:rPr>
          <w:rFonts w:hint="eastAsia"/>
          <w:color w:val="auto"/>
          <w:lang w:val="en-US" w:eastAsia="zh-CN"/>
        </w:rPr>
        <w:t>运价特征</w:t>
      </w:r>
    </w:p>
    <w:p>
      <w:pPr>
        <w:rPr>
          <w:rFonts w:hint="default"/>
          <w:color w:val="auto"/>
          <w:lang w:val="en-US" w:eastAsia="zh-CN"/>
        </w:rPr>
      </w:pPr>
      <w:r>
        <w:rPr>
          <w:rFonts w:hint="default"/>
          <w:color w:val="auto"/>
          <w:lang w:val="en-US" w:eastAsia="zh-CN"/>
        </w:rPr>
        <w:t>铁路物流费用主要包括铁路运费、集装箱使用费、装卸费用、接取送达费等。以</w:t>
      </w:r>
      <w:r>
        <w:rPr>
          <w:rFonts w:hint="eastAsia"/>
          <w:color w:val="auto"/>
          <w:lang w:val="en-US" w:eastAsia="zh-CN"/>
        </w:rPr>
        <w:t>20英尺</w:t>
      </w:r>
      <w:r>
        <w:rPr>
          <w:rFonts w:hint="default"/>
          <w:color w:val="auto"/>
          <w:lang w:val="en-US" w:eastAsia="zh-CN"/>
        </w:rPr>
        <w:t>标准集装箱为例，对</w:t>
      </w:r>
      <w:r>
        <w:rPr>
          <w:rFonts w:hint="eastAsia"/>
          <w:color w:val="auto"/>
          <w:lang w:val="en-US" w:eastAsia="zh-CN"/>
        </w:rPr>
        <w:t>乐山境内</w:t>
      </w:r>
      <w:r>
        <w:rPr>
          <w:rFonts w:hint="default"/>
          <w:color w:val="auto"/>
          <w:lang w:val="en-US" w:eastAsia="zh-CN"/>
        </w:rPr>
        <w:t>粮食、煤炭、钢材等主要物资进行运价测算。</w:t>
      </w:r>
    </w:p>
    <w:p>
      <w:pPr>
        <w:pStyle w:val="7"/>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8</w:t>
      </w:r>
      <w:r>
        <w:rPr>
          <w:color w:val="auto"/>
        </w:rPr>
        <w:fldChar w:fldCharType="end"/>
      </w:r>
      <w:r>
        <w:rPr>
          <w:rFonts w:hint="eastAsia"/>
          <w:color w:val="auto"/>
          <w:lang w:val="en-US" w:eastAsia="zh-CN"/>
        </w:rPr>
        <w:t xml:space="preserve"> 乐山铁路运价特征</w:t>
      </w:r>
    </w:p>
    <w:tbl>
      <w:tblPr>
        <w:tblStyle w:val="2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1655"/>
        <w:gridCol w:w="1097"/>
        <w:gridCol w:w="1028"/>
        <w:gridCol w:w="1213"/>
        <w:gridCol w:w="1136"/>
        <w:gridCol w:w="1065"/>
        <w:gridCol w:w="1053"/>
        <w:gridCol w:w="160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8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运输方向</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办理方式</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载重（吨）</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运费（元）</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运价（元/吨公里）</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装卸费（元）</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集装箱使用费（元）</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接取送达费用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8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黑龙江↔乐山</w:t>
            </w:r>
          </w:p>
        </w:tc>
        <w:tc>
          <w:tcPr>
            <w:tcW w:w="5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20英尺集装箱</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28</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15775.9</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0.1</w:t>
            </w:r>
            <w:r>
              <w:rPr>
                <w:rFonts w:hint="eastAsia" w:cs="Times New Roman"/>
                <w:color w:val="auto"/>
                <w:kern w:val="2"/>
                <w:sz w:val="24"/>
                <w:szCs w:val="24"/>
                <w:u w:val="none"/>
                <w:lang w:val="en-US" w:eastAsia="zh-CN" w:bidi="ar"/>
              </w:rPr>
              <w:t>7</w:t>
            </w:r>
            <w:r>
              <w:rPr>
                <w:rFonts w:hint="eastAsia" w:ascii="Times New Roman" w:hAnsi="Times New Roman" w:eastAsia="仿宋_GB2312" w:cs="Times New Roman"/>
                <w:color w:val="auto"/>
                <w:kern w:val="2"/>
                <w:sz w:val="24"/>
                <w:szCs w:val="24"/>
                <w:u w:val="none"/>
                <w:lang w:val="en-US" w:eastAsia="zh-CN" w:bidi="ar"/>
              </w:rPr>
              <w:t>1</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390</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269</w:t>
            </w: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按照实际运输距离进行费用测算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8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云南↔乐山</w:t>
            </w:r>
          </w:p>
        </w:tc>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textAlignment w:val="center"/>
              <w:rPr>
                <w:rFonts w:hint="default" w:ascii="Times New Roman" w:cs="Times New Roman"/>
                <w:color w:val="auto"/>
                <w:sz w:val="24"/>
                <w:szCs w:val="24"/>
                <w:u w:val="none"/>
              </w:rPr>
            </w:pP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28</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3965.4</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0.1</w:t>
            </w:r>
            <w:r>
              <w:rPr>
                <w:rFonts w:hint="eastAsia" w:cs="Times New Roman"/>
                <w:color w:val="auto"/>
                <w:kern w:val="2"/>
                <w:sz w:val="24"/>
                <w:szCs w:val="24"/>
                <w:u w:val="none"/>
                <w:lang w:val="en-US" w:eastAsia="zh-CN" w:bidi="ar"/>
              </w:rPr>
              <w:t>71</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390</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77</w:t>
            </w: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color w:val="auto"/>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8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陕西↔乐山</w:t>
            </w:r>
          </w:p>
        </w:tc>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textAlignment w:val="center"/>
              <w:rPr>
                <w:rFonts w:hint="default" w:ascii="Times New Roman" w:cs="Times New Roman"/>
                <w:color w:val="auto"/>
                <w:sz w:val="24"/>
                <w:szCs w:val="24"/>
                <w:u w:val="none"/>
              </w:rPr>
            </w:pP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28</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6943.5</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0.1</w:t>
            </w:r>
            <w:r>
              <w:rPr>
                <w:rFonts w:hint="eastAsia" w:cs="Times New Roman"/>
                <w:color w:val="auto"/>
                <w:kern w:val="2"/>
                <w:sz w:val="24"/>
                <w:szCs w:val="24"/>
                <w:u w:val="none"/>
                <w:lang w:val="en-US" w:eastAsia="zh-CN" w:bidi="ar"/>
              </w:rPr>
              <w:t>71</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390</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cs="Times New Roman"/>
                <w:color w:val="auto"/>
                <w:sz w:val="24"/>
                <w:szCs w:val="24"/>
                <w:u w:val="none"/>
              </w:rPr>
            </w:pPr>
            <w:r>
              <w:rPr>
                <w:rFonts w:ascii="Times New Roman" w:hAnsi="Times New Roman" w:eastAsia="仿宋_GB2312" w:cs="Times New Roman"/>
                <w:color w:val="auto"/>
                <w:kern w:val="2"/>
                <w:sz w:val="24"/>
                <w:szCs w:val="24"/>
                <w:u w:val="none"/>
                <w:lang w:val="en-US" w:eastAsia="zh-CN" w:bidi="ar"/>
              </w:rPr>
              <w:t>125</w:t>
            </w: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color w:val="auto"/>
                <w:sz w:val="24"/>
                <w:szCs w:val="24"/>
              </w:rPr>
            </w:pPr>
          </w:p>
        </w:tc>
      </w:tr>
    </w:tbl>
    <w:p>
      <w:pPr>
        <w:pStyle w:val="4"/>
        <w:rPr>
          <w:rFonts w:hint="eastAsia"/>
          <w:color w:val="auto"/>
          <w:lang w:val="en-US" w:eastAsia="zh-CN"/>
        </w:rPr>
      </w:pPr>
      <w:bookmarkStart w:id="83" w:name="_Toc13769"/>
      <w:r>
        <w:rPr>
          <w:rFonts w:hint="eastAsia"/>
          <w:color w:val="auto"/>
          <w:lang w:val="en-US" w:eastAsia="zh-CN"/>
        </w:rPr>
        <w:t>水路货运现状分析</w:t>
      </w:r>
      <w:bookmarkEnd w:id="83"/>
    </w:p>
    <w:p>
      <w:pPr>
        <w:pStyle w:val="5"/>
        <w:rPr>
          <w:rFonts w:hint="eastAsia"/>
          <w:color w:val="auto"/>
          <w:lang w:val="en-US" w:eastAsia="zh-CN"/>
        </w:rPr>
      </w:pPr>
      <w:r>
        <w:rPr>
          <w:rFonts w:hint="eastAsia"/>
          <w:color w:val="auto"/>
          <w:lang w:val="en-US" w:eastAsia="zh-CN"/>
        </w:rPr>
        <w:t>运量及到发特征</w:t>
      </w:r>
    </w:p>
    <w:p>
      <w:pPr>
        <w:rPr>
          <w:rFonts w:hint="eastAsia" w:cs="Times New Roman"/>
          <w:color w:val="auto"/>
          <w:lang w:val="en-US" w:eastAsia="zh-CN"/>
        </w:rPr>
      </w:pPr>
      <w:r>
        <w:rPr>
          <w:rFonts w:hint="eastAsia" w:cs="Times New Roman"/>
          <w:color w:val="auto"/>
          <w:lang w:val="en-US" w:eastAsia="zh-CN"/>
        </w:rPr>
        <w:t>乐山港目前水运货物主要分为散货和大件装备两类。</w:t>
      </w:r>
      <w:r>
        <w:rPr>
          <w:rFonts w:hint="default" w:cs="Times New Roman"/>
          <w:color w:val="auto"/>
          <w:lang w:val="en-US" w:eastAsia="zh-CN"/>
        </w:rPr>
        <w:t>2024年乐山港散货物资主要包括元明粉、纯碱、氯化铵、硫酸铵、竹浆等品类，货运主要来源于洪雅、攀枝花以及乐山本地的五通桥、沐川、犍为等</w:t>
      </w:r>
      <w:r>
        <w:rPr>
          <w:rFonts w:hint="eastAsia" w:cs="Times New Roman"/>
          <w:color w:val="auto"/>
          <w:lang w:val="en-US" w:eastAsia="zh-CN"/>
        </w:rPr>
        <w:t>地区</w:t>
      </w:r>
      <w:r>
        <w:rPr>
          <w:rFonts w:hint="default" w:cs="Times New Roman"/>
          <w:color w:val="auto"/>
          <w:lang w:val="en-US" w:eastAsia="zh-CN"/>
        </w:rPr>
        <w:t>，进出港物资货运量</w:t>
      </w:r>
      <w:r>
        <w:rPr>
          <w:rFonts w:hint="eastAsia" w:cs="Times New Roman"/>
          <w:color w:val="auto"/>
          <w:lang w:val="en-US" w:eastAsia="zh-CN"/>
        </w:rPr>
        <w:t>排名前10</w:t>
      </w:r>
      <w:r>
        <w:rPr>
          <w:rFonts w:hint="default" w:cs="Times New Roman"/>
          <w:color w:val="auto"/>
          <w:lang w:val="en-US" w:eastAsia="zh-CN"/>
        </w:rPr>
        <w:t>情况如下</w:t>
      </w:r>
      <w:r>
        <w:rPr>
          <w:rFonts w:hint="eastAsia" w:cs="Times New Roman"/>
          <w:color w:val="auto"/>
          <w:lang w:val="en-US" w:eastAsia="zh-CN"/>
        </w:rPr>
        <w:t>表。</w:t>
      </w:r>
    </w:p>
    <w:p>
      <w:pPr>
        <w:pStyle w:val="7"/>
        <w:keepNext/>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9</w:t>
      </w:r>
      <w:r>
        <w:rPr>
          <w:color w:val="auto"/>
        </w:rPr>
        <w:fldChar w:fldCharType="end"/>
      </w:r>
      <w:r>
        <w:rPr>
          <w:rFonts w:hint="eastAsia"/>
          <w:color w:val="auto"/>
          <w:lang w:val="en-US" w:eastAsia="zh-CN"/>
        </w:rPr>
        <w:t xml:space="preserve"> 2024年乐山港散货进出港物资货运量</w:t>
      </w:r>
    </w:p>
    <w:tbl>
      <w:tblPr>
        <w:tblStyle w:val="2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886"/>
        <w:gridCol w:w="2138"/>
        <w:gridCol w:w="2555"/>
        <w:gridCol w:w="1721"/>
        <w:gridCol w:w="255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货物分类</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合计（万吨）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发出地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keepLines w:val="0"/>
              <w:widowControl w:val="0"/>
              <w:suppressLineNumbers w:val="0"/>
              <w:spacing w:line="400" w:lineRule="exact"/>
              <w:ind w:firstLine="0" w:firstLineChars="0"/>
              <w:jc w:val="center"/>
              <w:textAlignment w:val="center"/>
              <w:rPr>
                <w:rFonts w:hint="eastAsia" w:ascii="黑体" w:hAnsi="黑体" w:eastAsia="黑体" w:cs="黑体"/>
                <w:b w:val="0"/>
                <w:bCs w:val="0"/>
                <w:color w:val="auto"/>
                <w:kern w:val="0"/>
                <w:sz w:val="24"/>
                <w:szCs w:val="24"/>
                <w:u w:val="none"/>
                <w:lang w:bidi="ar"/>
              </w:rPr>
            </w:pPr>
            <w:r>
              <w:rPr>
                <w:rFonts w:hint="eastAsia" w:ascii="黑体" w:hAnsi="黑体" w:eastAsia="黑体" w:cs="黑体"/>
                <w:b w:val="0"/>
                <w:bCs w:val="0"/>
                <w:color w:val="auto"/>
                <w:kern w:val="0"/>
                <w:sz w:val="24"/>
                <w:szCs w:val="24"/>
                <w:u w:val="none"/>
                <w:lang w:val="en-US" w:eastAsia="zh-CN" w:bidi="ar"/>
              </w:rPr>
              <w:t>货源地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元明粉</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17.1609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洪雅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纯碱</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14.8366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cs="Times New Roman"/>
                <w:color w:val="auto"/>
                <w:kern w:val="2"/>
                <w:sz w:val="24"/>
                <w:szCs w:val="24"/>
                <w:u w:val="none"/>
                <w:lang w:val="en-US" w:eastAsia="zh-CN" w:bidi="ar"/>
              </w:rPr>
              <w:t>五通桥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氯化铵</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0.5835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cs="Times New Roman"/>
                <w:color w:val="auto"/>
                <w:kern w:val="2"/>
                <w:sz w:val="24"/>
                <w:szCs w:val="24"/>
                <w:u w:val="none"/>
                <w:lang w:val="en-US" w:eastAsia="zh-CN" w:bidi="ar"/>
              </w:rPr>
              <w:t>五通桥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硫酸铵</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3.4541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cs="Times New Roman"/>
                <w:color w:val="auto"/>
                <w:kern w:val="2"/>
                <w:sz w:val="24"/>
                <w:szCs w:val="24"/>
                <w:u w:val="none"/>
                <w:lang w:val="en-US" w:eastAsia="zh-CN" w:bidi="ar"/>
              </w:rPr>
              <w:t>五通桥、</w:t>
            </w:r>
            <w:r>
              <w:rPr>
                <w:rFonts w:hint="eastAsia" w:ascii="Times New Roman" w:hAnsi="Times New Roman" w:eastAsia="仿宋_GB2312" w:cs="Times New Roman"/>
                <w:color w:val="auto"/>
                <w:kern w:val="2"/>
                <w:sz w:val="24"/>
                <w:szCs w:val="24"/>
                <w:u w:val="none"/>
                <w:lang w:val="en-US" w:eastAsia="zh-CN" w:bidi="ar"/>
              </w:rPr>
              <w:t>洪雅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竹浆</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0.9671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沐川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cs="Times New Roman"/>
                <w:color w:val="auto"/>
                <w:kern w:val="2"/>
                <w:sz w:val="24"/>
                <w:szCs w:val="24"/>
                <w:u w:val="none"/>
                <w:lang w:val="en-US" w:eastAsia="zh-CN" w:bidi="ar"/>
              </w:rPr>
              <w:t>继</w:t>
            </w:r>
            <w:r>
              <w:rPr>
                <w:rFonts w:hint="eastAsia" w:ascii="Times New Roman" w:hAnsi="Times New Roman" w:eastAsia="仿宋_GB2312" w:cs="Times New Roman"/>
                <w:color w:val="auto"/>
                <w:kern w:val="2"/>
                <w:sz w:val="24"/>
                <w:szCs w:val="24"/>
                <w:u w:val="none"/>
                <w:lang w:val="en-US" w:eastAsia="zh-CN" w:bidi="ar"/>
              </w:rPr>
              <w:t>航元明粉</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0.1745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眉山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碳酸氢钠</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0.0655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洪雅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钛精矿</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0.7551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攀枝花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草甘膦</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0.7551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五通桥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煤</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0.0041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犍为下渡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400" w:lineRule="exact"/>
              <w:ind w:firstLine="0" w:firstLineChars="0"/>
              <w:jc w:val="center"/>
              <w:textAlignment w:val="center"/>
              <w:rPr>
                <w:rFonts w:hint="eastAsia" w:cs="Times New Roman"/>
                <w:color w:val="auto"/>
                <w:sz w:val="24"/>
                <w:szCs w:val="24"/>
                <w:u w:val="none"/>
                <w:lang w:bidi="ar"/>
              </w:rPr>
            </w:pPr>
            <w:r>
              <w:rPr>
                <w:rFonts w:hint="eastAsia" w:ascii="Times New Roman" w:hAnsi="Times New Roman" w:eastAsia="仿宋_GB2312" w:cs="Times New Roman"/>
                <w:color w:val="auto"/>
                <w:kern w:val="2"/>
                <w:sz w:val="24"/>
                <w:szCs w:val="24"/>
                <w:u w:val="none"/>
                <w:lang w:val="en-US" w:eastAsia="zh-CN" w:bidi="ar"/>
              </w:rPr>
              <w:t>犍为</w:t>
            </w:r>
          </w:p>
        </w:tc>
      </w:tr>
    </w:tbl>
    <w:p>
      <w:pPr>
        <w:keepNext w:val="0"/>
        <w:keepLines w:val="0"/>
        <w:widowControl/>
        <w:suppressLineNumbers w:val="0"/>
        <w:jc w:val="left"/>
        <w:rPr>
          <w:rFonts w:cs="Times New Roman"/>
          <w:color w:val="auto"/>
          <w:lang w:bidi="ar"/>
        </w:rPr>
      </w:pPr>
      <w:r>
        <w:rPr>
          <w:rFonts w:hint="eastAsia" w:cs="Times New Roman"/>
          <w:color w:val="auto"/>
          <w:kern w:val="2"/>
          <w:sz w:val="32"/>
          <w:szCs w:val="22"/>
          <w:lang w:val="en-US" w:eastAsia="zh-CN" w:bidi="ar"/>
        </w:rPr>
        <w:t>乐山</w:t>
      </w:r>
      <w:r>
        <w:rPr>
          <w:rFonts w:ascii="Times New Roman" w:hAnsi="Times New Roman" w:eastAsia="仿宋_GB2312" w:cs="Times New Roman"/>
          <w:color w:val="auto"/>
          <w:kern w:val="2"/>
          <w:sz w:val="32"/>
          <w:szCs w:val="22"/>
          <w:lang w:val="en-US" w:eastAsia="zh-CN" w:bidi="ar"/>
        </w:rPr>
        <w:t>大件码头货源主要来自德阳、成都、自贡等城市，</w:t>
      </w:r>
      <w:r>
        <w:rPr>
          <w:rFonts w:hint="eastAsia" w:cs="Times New Roman"/>
          <w:color w:val="auto"/>
          <w:kern w:val="2"/>
          <w:sz w:val="32"/>
          <w:szCs w:val="22"/>
          <w:lang w:val="en-US" w:eastAsia="zh-CN" w:bidi="ar"/>
        </w:rPr>
        <w:t>2024年</w:t>
      </w:r>
      <w:r>
        <w:rPr>
          <w:rFonts w:ascii="Times New Roman" w:hAnsi="Times New Roman" w:eastAsia="仿宋_GB2312" w:cs="Times New Roman"/>
          <w:color w:val="auto"/>
          <w:kern w:val="2"/>
          <w:sz w:val="32"/>
          <w:szCs w:val="22"/>
          <w:lang w:val="en-US" w:eastAsia="zh-CN" w:bidi="ar"/>
        </w:rPr>
        <w:t>完成2.38万吨</w:t>
      </w:r>
      <w:r>
        <w:rPr>
          <w:rFonts w:hint="eastAsia" w:cs="Times New Roman"/>
          <w:color w:val="auto"/>
          <w:kern w:val="2"/>
          <w:sz w:val="32"/>
          <w:szCs w:val="22"/>
          <w:lang w:val="en-US" w:eastAsia="zh-CN" w:bidi="ar"/>
        </w:rPr>
        <w:t>，</w:t>
      </w:r>
      <w:r>
        <w:rPr>
          <w:rFonts w:ascii="Times New Roman" w:hAnsi="Times New Roman" w:eastAsia="仿宋_GB2312" w:cs="Times New Roman"/>
          <w:color w:val="auto"/>
          <w:kern w:val="2"/>
          <w:sz w:val="32"/>
          <w:szCs w:val="22"/>
          <w:lang w:val="en-US" w:eastAsia="zh-CN" w:bidi="ar"/>
        </w:rPr>
        <w:t>同比增长16.31%。</w:t>
      </w:r>
      <w:r>
        <w:rPr>
          <w:rFonts w:hint="eastAsia" w:cs="Times New Roman"/>
          <w:color w:val="auto"/>
          <w:kern w:val="2"/>
          <w:sz w:val="32"/>
          <w:szCs w:val="22"/>
          <w:lang w:val="en-US" w:eastAsia="zh-CN" w:bidi="ar"/>
        </w:rPr>
        <w:t>近年大件装备运输明细如下表所示。</w:t>
      </w:r>
    </w:p>
    <w:p>
      <w:pPr>
        <w:pStyle w:val="7"/>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10</w:t>
      </w:r>
      <w:r>
        <w:rPr>
          <w:color w:val="auto"/>
        </w:rPr>
        <w:fldChar w:fldCharType="end"/>
      </w:r>
      <w:r>
        <w:rPr>
          <w:rFonts w:hint="eastAsia"/>
          <w:color w:val="auto"/>
          <w:lang w:val="en-US" w:eastAsia="zh-CN"/>
        </w:rPr>
        <w:t xml:space="preserve"> 乐山港大件装备近五年运输明细表</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29"/>
        <w:gridCol w:w="885"/>
        <w:gridCol w:w="672"/>
        <w:gridCol w:w="768"/>
        <w:gridCol w:w="809"/>
        <w:gridCol w:w="724"/>
        <w:gridCol w:w="760"/>
        <w:gridCol w:w="836"/>
        <w:gridCol w:w="742"/>
        <w:gridCol w:w="798"/>
        <w:gridCol w:w="791"/>
        <w:gridCol w:w="613"/>
        <w:gridCol w:w="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467" w:type="pct"/>
            <w:vMerge w:val="restar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时间</w:t>
            </w:r>
          </w:p>
        </w:tc>
        <w:tc>
          <w:tcPr>
            <w:tcW w:w="3518" w:type="pct"/>
            <w:gridSpan w:val="9"/>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大件吊装量（万吨）</w:t>
            </w:r>
          </w:p>
        </w:tc>
        <w:tc>
          <w:tcPr>
            <w:tcW w:w="1013" w:type="pct"/>
            <w:gridSpan w:val="3"/>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设备情况（占比）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4" w:hRule="atLeast"/>
        </w:trPr>
        <w:tc>
          <w:tcPr>
            <w:tcW w:w="467" w:type="pct"/>
            <w:vMerge w:val="continue"/>
            <w:shd w:val="clear" w:color="auto" w:fill="auto"/>
            <w:tcMar>
              <w:top w:w="0" w:type="dxa"/>
              <w:left w:w="57" w:type="dxa"/>
              <w:bottom w:w="0" w:type="dxa"/>
              <w:right w:w="57" w:type="dxa"/>
            </w:tcMar>
            <w:vAlign w:val="center"/>
          </w:tcPr>
          <w:p>
            <w:pPr>
              <w:keepNext w:val="0"/>
              <w:spacing w:line="400" w:lineRule="exact"/>
              <w:jc w:val="center"/>
              <w:textAlignment w:val="center"/>
              <w:rPr>
                <w:rFonts w:hint="eastAsia" w:ascii="黑体" w:hAnsi="黑体" w:eastAsia="黑体" w:cs="黑体"/>
                <w:b w:val="0"/>
                <w:bCs w:val="0"/>
                <w:i w:val="0"/>
                <w:iCs w:val="0"/>
                <w:color w:val="auto"/>
                <w:kern w:val="0"/>
                <w:sz w:val="24"/>
                <w:szCs w:val="24"/>
                <w:u w:val="none"/>
                <w:lang w:bidi="ar"/>
              </w:rPr>
            </w:pPr>
          </w:p>
        </w:tc>
        <w:tc>
          <w:tcPr>
            <w:tcW w:w="445" w:type="pct"/>
            <w:vMerge w:val="restar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ascii="黑体" w:hAnsi="黑体" w:eastAsia="黑体" w:cs="黑体"/>
                <w:b w:val="0"/>
                <w:bCs w:val="0"/>
                <w:color w:val="auto"/>
                <w:kern w:val="0"/>
                <w:sz w:val="24"/>
                <w:szCs w:val="24"/>
                <w:lang w:val="en-US" w:eastAsia="zh-CN" w:bidi="ar"/>
              </w:rPr>
              <w:t>吊装总吨数</w:t>
            </w:r>
          </w:p>
        </w:tc>
        <w:tc>
          <w:tcPr>
            <w:tcW w:w="724" w:type="pct"/>
            <w:gridSpan w:val="2"/>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东方电气</w:t>
            </w:r>
          </w:p>
        </w:tc>
        <w:tc>
          <w:tcPr>
            <w:tcW w:w="771" w:type="pct"/>
            <w:gridSpan w:val="2"/>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中国二重</w:t>
            </w:r>
          </w:p>
        </w:tc>
        <w:tc>
          <w:tcPr>
            <w:tcW w:w="802" w:type="pct"/>
            <w:gridSpan w:val="2"/>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四川科新</w:t>
            </w:r>
          </w:p>
        </w:tc>
        <w:tc>
          <w:tcPr>
            <w:tcW w:w="774" w:type="pct"/>
            <w:gridSpan w:val="2"/>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其他</w:t>
            </w:r>
          </w:p>
        </w:tc>
        <w:tc>
          <w:tcPr>
            <w:tcW w:w="397" w:type="pct"/>
            <w:vMerge w:val="restar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电力设备</w:t>
            </w:r>
          </w:p>
        </w:tc>
        <w:tc>
          <w:tcPr>
            <w:tcW w:w="308" w:type="pct"/>
            <w:vMerge w:val="restar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化工设备</w:t>
            </w:r>
          </w:p>
        </w:tc>
        <w:tc>
          <w:tcPr>
            <w:tcW w:w="307" w:type="pct"/>
            <w:vMerge w:val="restar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163" w:hRule="atLeast"/>
        </w:trPr>
        <w:tc>
          <w:tcPr>
            <w:tcW w:w="467" w:type="pct"/>
            <w:vMerge w:val="continue"/>
            <w:shd w:val="clear" w:color="auto" w:fill="auto"/>
            <w:tcMar>
              <w:top w:w="0" w:type="dxa"/>
              <w:left w:w="57" w:type="dxa"/>
              <w:bottom w:w="0" w:type="dxa"/>
              <w:right w:w="57" w:type="dxa"/>
            </w:tcMar>
            <w:vAlign w:val="center"/>
          </w:tcPr>
          <w:p>
            <w:pPr>
              <w:keepNext w:val="0"/>
              <w:spacing w:line="400" w:lineRule="exact"/>
              <w:jc w:val="center"/>
              <w:textAlignment w:val="center"/>
              <w:rPr>
                <w:rFonts w:hint="eastAsia" w:ascii="黑体" w:hAnsi="黑体" w:eastAsia="黑体" w:cs="黑体"/>
                <w:b w:val="0"/>
                <w:bCs w:val="0"/>
                <w:i w:val="0"/>
                <w:iCs w:val="0"/>
                <w:color w:val="auto"/>
                <w:kern w:val="0"/>
                <w:sz w:val="24"/>
                <w:szCs w:val="24"/>
                <w:u w:val="none"/>
                <w:lang w:bidi="ar"/>
              </w:rPr>
            </w:pPr>
          </w:p>
        </w:tc>
        <w:tc>
          <w:tcPr>
            <w:tcW w:w="445" w:type="pct"/>
            <w:vMerge w:val="continue"/>
            <w:shd w:val="clear" w:color="auto" w:fill="auto"/>
            <w:tcMar>
              <w:top w:w="0" w:type="dxa"/>
              <w:left w:w="57" w:type="dxa"/>
              <w:bottom w:w="0" w:type="dxa"/>
              <w:right w:w="57" w:type="dxa"/>
            </w:tcMar>
            <w:vAlign w:val="center"/>
          </w:tcPr>
          <w:p>
            <w:pPr>
              <w:keepNext w:val="0"/>
              <w:spacing w:line="400" w:lineRule="exact"/>
              <w:jc w:val="center"/>
              <w:textAlignment w:val="center"/>
              <w:rPr>
                <w:rFonts w:hint="eastAsia" w:ascii="黑体" w:hAnsi="黑体" w:eastAsia="黑体" w:cs="黑体"/>
                <w:b w:val="0"/>
                <w:bCs w:val="0"/>
                <w:i w:val="0"/>
                <w:iCs w:val="0"/>
                <w:color w:val="auto"/>
                <w:kern w:val="0"/>
                <w:sz w:val="24"/>
                <w:szCs w:val="24"/>
                <w:u w:val="none"/>
                <w:lang w:bidi="ar"/>
              </w:rPr>
            </w:pPr>
          </w:p>
        </w:tc>
        <w:tc>
          <w:tcPr>
            <w:tcW w:w="33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数量</w:t>
            </w:r>
          </w:p>
        </w:tc>
        <w:tc>
          <w:tcPr>
            <w:tcW w:w="386"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占比</w:t>
            </w:r>
          </w:p>
        </w:tc>
        <w:tc>
          <w:tcPr>
            <w:tcW w:w="4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数量</w:t>
            </w:r>
          </w:p>
        </w:tc>
        <w:tc>
          <w:tcPr>
            <w:tcW w:w="364"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占比</w:t>
            </w:r>
          </w:p>
        </w:tc>
        <w:tc>
          <w:tcPr>
            <w:tcW w:w="382"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数量</w:t>
            </w:r>
          </w:p>
        </w:tc>
        <w:tc>
          <w:tcPr>
            <w:tcW w:w="420"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占比</w:t>
            </w:r>
          </w:p>
        </w:tc>
        <w:tc>
          <w:tcPr>
            <w:tcW w:w="373"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数量</w:t>
            </w:r>
          </w:p>
        </w:tc>
        <w:tc>
          <w:tcPr>
            <w:tcW w:w="401"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占比</w:t>
            </w:r>
          </w:p>
        </w:tc>
        <w:tc>
          <w:tcPr>
            <w:tcW w:w="397" w:type="pct"/>
            <w:vMerge w:val="continue"/>
            <w:shd w:val="clear" w:color="auto" w:fill="auto"/>
            <w:tcMar>
              <w:top w:w="0" w:type="dxa"/>
              <w:left w:w="57" w:type="dxa"/>
              <w:bottom w:w="0" w:type="dxa"/>
              <w:right w:w="57" w:type="dxa"/>
            </w:tcMar>
            <w:vAlign w:val="center"/>
          </w:tcPr>
          <w:p>
            <w:pPr>
              <w:keepNext w:val="0"/>
              <w:spacing w:line="400" w:lineRule="exact"/>
              <w:jc w:val="center"/>
              <w:textAlignment w:val="center"/>
              <w:rPr>
                <w:rFonts w:hint="eastAsia" w:ascii="黑体" w:hAnsi="黑体" w:eastAsia="黑体" w:cs="黑体"/>
                <w:b w:val="0"/>
                <w:bCs w:val="0"/>
                <w:i w:val="0"/>
                <w:iCs w:val="0"/>
                <w:color w:val="auto"/>
                <w:kern w:val="0"/>
                <w:sz w:val="24"/>
                <w:szCs w:val="24"/>
                <w:u w:val="none"/>
                <w:lang w:bidi="ar"/>
              </w:rPr>
            </w:pPr>
          </w:p>
        </w:tc>
        <w:tc>
          <w:tcPr>
            <w:tcW w:w="308" w:type="pct"/>
            <w:vMerge w:val="continue"/>
            <w:shd w:val="clear" w:color="auto" w:fill="auto"/>
            <w:tcMar>
              <w:top w:w="0" w:type="dxa"/>
              <w:left w:w="57" w:type="dxa"/>
              <w:bottom w:w="0" w:type="dxa"/>
              <w:right w:w="57" w:type="dxa"/>
            </w:tcMar>
            <w:vAlign w:val="center"/>
          </w:tcPr>
          <w:p>
            <w:pPr>
              <w:keepNext w:val="0"/>
              <w:spacing w:line="400" w:lineRule="exact"/>
              <w:jc w:val="center"/>
              <w:textAlignment w:val="center"/>
              <w:rPr>
                <w:rFonts w:hint="eastAsia" w:ascii="黑体" w:hAnsi="黑体" w:eastAsia="黑体" w:cs="黑体"/>
                <w:b w:val="0"/>
                <w:bCs w:val="0"/>
                <w:i w:val="0"/>
                <w:iCs w:val="0"/>
                <w:color w:val="auto"/>
                <w:kern w:val="0"/>
                <w:sz w:val="24"/>
                <w:szCs w:val="24"/>
                <w:u w:val="none"/>
                <w:lang w:bidi="ar"/>
              </w:rPr>
            </w:pPr>
          </w:p>
        </w:tc>
        <w:tc>
          <w:tcPr>
            <w:tcW w:w="307" w:type="pct"/>
            <w:vMerge w:val="continue"/>
            <w:shd w:val="clear" w:color="auto" w:fill="auto"/>
            <w:tcMar>
              <w:top w:w="0" w:type="dxa"/>
              <w:left w:w="57" w:type="dxa"/>
              <w:bottom w:w="0" w:type="dxa"/>
              <w:right w:w="57" w:type="dxa"/>
            </w:tcMar>
            <w:vAlign w:val="center"/>
          </w:tcPr>
          <w:p>
            <w:pPr>
              <w:keepNext w:val="0"/>
              <w:spacing w:line="400" w:lineRule="exact"/>
              <w:jc w:val="center"/>
              <w:textAlignment w:val="center"/>
              <w:rPr>
                <w:rFonts w:hint="eastAsia" w:ascii="黑体" w:hAnsi="黑体" w:eastAsia="黑体" w:cs="黑体"/>
                <w:b w:val="0"/>
                <w:bCs w:val="0"/>
                <w:i w:val="0"/>
                <w:iCs w:val="0"/>
                <w:color w:val="auto"/>
                <w:kern w:val="0"/>
                <w:sz w:val="24"/>
                <w:szCs w:val="24"/>
                <w:u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3" w:hRule="atLeast"/>
        </w:trPr>
        <w:tc>
          <w:tcPr>
            <w:tcW w:w="46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color w:val="auto"/>
                <w:kern w:val="0"/>
                <w:sz w:val="24"/>
                <w:szCs w:val="24"/>
                <w:lang w:val="en-US" w:eastAsia="zh-CN" w:bidi="ar"/>
              </w:rPr>
              <w:t>2020</w:t>
            </w:r>
            <w:r>
              <w:rPr>
                <w:rFonts w:ascii="黑体" w:hAnsi="黑体" w:eastAsia="黑体" w:cs="黑体"/>
                <w:b w:val="0"/>
                <w:bCs w:val="0"/>
                <w:color w:val="auto"/>
                <w:kern w:val="0"/>
                <w:sz w:val="24"/>
                <w:szCs w:val="24"/>
                <w:lang w:val="en-US" w:eastAsia="zh-CN" w:bidi="ar"/>
              </w:rPr>
              <w:t>年</w:t>
            </w:r>
          </w:p>
        </w:tc>
        <w:tc>
          <w:tcPr>
            <w:tcW w:w="445"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1.12</w:t>
            </w:r>
          </w:p>
        </w:tc>
        <w:tc>
          <w:tcPr>
            <w:tcW w:w="33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0.68</w:t>
            </w:r>
          </w:p>
        </w:tc>
        <w:tc>
          <w:tcPr>
            <w:tcW w:w="386"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60.7%</w:t>
            </w:r>
          </w:p>
        </w:tc>
        <w:tc>
          <w:tcPr>
            <w:tcW w:w="4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0.03</w:t>
            </w:r>
          </w:p>
        </w:tc>
        <w:tc>
          <w:tcPr>
            <w:tcW w:w="364"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2.7%</w:t>
            </w:r>
          </w:p>
        </w:tc>
        <w:tc>
          <w:tcPr>
            <w:tcW w:w="382"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0.13</w:t>
            </w:r>
          </w:p>
        </w:tc>
        <w:tc>
          <w:tcPr>
            <w:tcW w:w="420"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11.6%</w:t>
            </w:r>
          </w:p>
        </w:tc>
        <w:tc>
          <w:tcPr>
            <w:tcW w:w="373"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0.28</w:t>
            </w:r>
          </w:p>
        </w:tc>
        <w:tc>
          <w:tcPr>
            <w:tcW w:w="401"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25.0%</w:t>
            </w:r>
          </w:p>
        </w:tc>
        <w:tc>
          <w:tcPr>
            <w:tcW w:w="39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60%</w:t>
            </w:r>
          </w:p>
        </w:tc>
        <w:tc>
          <w:tcPr>
            <w:tcW w:w="30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19%</w:t>
            </w:r>
          </w:p>
        </w:tc>
        <w:tc>
          <w:tcPr>
            <w:tcW w:w="3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46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color w:val="auto"/>
                <w:kern w:val="0"/>
                <w:sz w:val="24"/>
                <w:szCs w:val="24"/>
                <w:lang w:val="en-US" w:eastAsia="zh-CN" w:bidi="ar"/>
              </w:rPr>
              <w:t>2021</w:t>
            </w:r>
            <w:r>
              <w:rPr>
                <w:rFonts w:ascii="黑体" w:hAnsi="黑体" w:eastAsia="黑体" w:cs="黑体"/>
                <w:b w:val="0"/>
                <w:bCs w:val="0"/>
                <w:color w:val="auto"/>
                <w:kern w:val="0"/>
                <w:sz w:val="24"/>
                <w:szCs w:val="24"/>
                <w:lang w:val="en-US" w:eastAsia="zh-CN" w:bidi="ar"/>
              </w:rPr>
              <w:t>年</w:t>
            </w:r>
          </w:p>
        </w:tc>
        <w:tc>
          <w:tcPr>
            <w:tcW w:w="445"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1.25</w:t>
            </w:r>
          </w:p>
        </w:tc>
        <w:tc>
          <w:tcPr>
            <w:tcW w:w="33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0.83</w:t>
            </w:r>
          </w:p>
        </w:tc>
        <w:tc>
          <w:tcPr>
            <w:tcW w:w="386"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66.4%</w:t>
            </w:r>
          </w:p>
        </w:tc>
        <w:tc>
          <w:tcPr>
            <w:tcW w:w="4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0.14</w:t>
            </w:r>
          </w:p>
        </w:tc>
        <w:tc>
          <w:tcPr>
            <w:tcW w:w="364"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11.2%</w:t>
            </w:r>
          </w:p>
        </w:tc>
        <w:tc>
          <w:tcPr>
            <w:tcW w:w="382"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0.22</w:t>
            </w:r>
          </w:p>
        </w:tc>
        <w:tc>
          <w:tcPr>
            <w:tcW w:w="420"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17.6%</w:t>
            </w:r>
          </w:p>
        </w:tc>
        <w:tc>
          <w:tcPr>
            <w:tcW w:w="373"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0.06</w:t>
            </w:r>
          </w:p>
        </w:tc>
        <w:tc>
          <w:tcPr>
            <w:tcW w:w="401"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4.8%</w:t>
            </w:r>
          </w:p>
        </w:tc>
        <w:tc>
          <w:tcPr>
            <w:tcW w:w="39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66%</w:t>
            </w:r>
          </w:p>
        </w:tc>
        <w:tc>
          <w:tcPr>
            <w:tcW w:w="30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17%</w:t>
            </w:r>
          </w:p>
        </w:tc>
        <w:tc>
          <w:tcPr>
            <w:tcW w:w="3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46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color w:val="auto"/>
                <w:kern w:val="0"/>
                <w:sz w:val="24"/>
                <w:szCs w:val="24"/>
                <w:lang w:val="en-US" w:eastAsia="zh-CN" w:bidi="ar"/>
              </w:rPr>
              <w:t>2022</w:t>
            </w:r>
            <w:r>
              <w:rPr>
                <w:rFonts w:ascii="黑体" w:hAnsi="黑体" w:eastAsia="黑体" w:cs="黑体"/>
                <w:b w:val="0"/>
                <w:bCs w:val="0"/>
                <w:color w:val="auto"/>
                <w:kern w:val="0"/>
                <w:sz w:val="24"/>
                <w:szCs w:val="24"/>
                <w:lang w:val="en-US" w:eastAsia="zh-CN" w:bidi="ar"/>
              </w:rPr>
              <w:t>年</w:t>
            </w:r>
          </w:p>
        </w:tc>
        <w:tc>
          <w:tcPr>
            <w:tcW w:w="445"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1.86</w:t>
            </w:r>
          </w:p>
        </w:tc>
        <w:tc>
          <w:tcPr>
            <w:tcW w:w="33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0.99</w:t>
            </w:r>
          </w:p>
        </w:tc>
        <w:tc>
          <w:tcPr>
            <w:tcW w:w="386"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53.2%</w:t>
            </w:r>
          </w:p>
        </w:tc>
        <w:tc>
          <w:tcPr>
            <w:tcW w:w="4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0.55</w:t>
            </w:r>
          </w:p>
        </w:tc>
        <w:tc>
          <w:tcPr>
            <w:tcW w:w="364"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29.6%</w:t>
            </w:r>
          </w:p>
        </w:tc>
        <w:tc>
          <w:tcPr>
            <w:tcW w:w="382"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0.19</w:t>
            </w:r>
          </w:p>
        </w:tc>
        <w:tc>
          <w:tcPr>
            <w:tcW w:w="420"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10.2%</w:t>
            </w:r>
          </w:p>
        </w:tc>
        <w:tc>
          <w:tcPr>
            <w:tcW w:w="373"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0.13</w:t>
            </w:r>
          </w:p>
        </w:tc>
        <w:tc>
          <w:tcPr>
            <w:tcW w:w="401"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7.0%</w:t>
            </w:r>
          </w:p>
        </w:tc>
        <w:tc>
          <w:tcPr>
            <w:tcW w:w="39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60%</w:t>
            </w:r>
          </w:p>
        </w:tc>
        <w:tc>
          <w:tcPr>
            <w:tcW w:w="30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20%</w:t>
            </w:r>
          </w:p>
        </w:tc>
        <w:tc>
          <w:tcPr>
            <w:tcW w:w="3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46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color w:val="auto"/>
                <w:kern w:val="0"/>
                <w:sz w:val="24"/>
                <w:szCs w:val="24"/>
                <w:lang w:val="en-US" w:eastAsia="zh-CN" w:bidi="ar"/>
              </w:rPr>
              <w:t>2023</w:t>
            </w:r>
            <w:r>
              <w:rPr>
                <w:rFonts w:ascii="黑体" w:hAnsi="黑体" w:eastAsia="黑体" w:cs="黑体"/>
                <w:b w:val="0"/>
                <w:bCs w:val="0"/>
                <w:color w:val="auto"/>
                <w:kern w:val="0"/>
                <w:sz w:val="24"/>
                <w:szCs w:val="24"/>
                <w:lang w:val="en-US" w:eastAsia="zh-CN" w:bidi="ar"/>
              </w:rPr>
              <w:t>年</w:t>
            </w:r>
          </w:p>
        </w:tc>
        <w:tc>
          <w:tcPr>
            <w:tcW w:w="445"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2.05</w:t>
            </w:r>
          </w:p>
        </w:tc>
        <w:tc>
          <w:tcPr>
            <w:tcW w:w="33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1.38</w:t>
            </w:r>
          </w:p>
        </w:tc>
        <w:tc>
          <w:tcPr>
            <w:tcW w:w="386"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67.4%</w:t>
            </w:r>
          </w:p>
        </w:tc>
        <w:tc>
          <w:tcPr>
            <w:tcW w:w="4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0.16</w:t>
            </w:r>
          </w:p>
        </w:tc>
        <w:tc>
          <w:tcPr>
            <w:tcW w:w="364"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7.8%</w:t>
            </w:r>
          </w:p>
        </w:tc>
        <w:tc>
          <w:tcPr>
            <w:tcW w:w="382"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0.33</w:t>
            </w:r>
          </w:p>
        </w:tc>
        <w:tc>
          <w:tcPr>
            <w:tcW w:w="420"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16.1%</w:t>
            </w:r>
          </w:p>
        </w:tc>
        <w:tc>
          <w:tcPr>
            <w:tcW w:w="373"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0.18</w:t>
            </w:r>
          </w:p>
        </w:tc>
        <w:tc>
          <w:tcPr>
            <w:tcW w:w="401"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8.8%</w:t>
            </w:r>
          </w:p>
        </w:tc>
        <w:tc>
          <w:tcPr>
            <w:tcW w:w="39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67%</w:t>
            </w:r>
          </w:p>
        </w:tc>
        <w:tc>
          <w:tcPr>
            <w:tcW w:w="30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16%</w:t>
            </w:r>
          </w:p>
        </w:tc>
        <w:tc>
          <w:tcPr>
            <w:tcW w:w="3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6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color w:val="auto"/>
                <w:kern w:val="0"/>
                <w:sz w:val="24"/>
                <w:szCs w:val="24"/>
                <w:lang w:val="en-US" w:eastAsia="zh-CN" w:bidi="ar"/>
              </w:rPr>
              <w:t>2024</w:t>
            </w:r>
            <w:r>
              <w:rPr>
                <w:rFonts w:ascii="黑体" w:hAnsi="黑体" w:eastAsia="黑体" w:cs="黑体"/>
                <w:b w:val="0"/>
                <w:bCs w:val="0"/>
                <w:color w:val="auto"/>
                <w:kern w:val="0"/>
                <w:sz w:val="24"/>
                <w:szCs w:val="24"/>
                <w:lang w:val="en-US" w:eastAsia="zh-CN" w:bidi="ar"/>
              </w:rPr>
              <w:t>年</w:t>
            </w:r>
          </w:p>
        </w:tc>
        <w:tc>
          <w:tcPr>
            <w:tcW w:w="445"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b w:val="0"/>
                <w:bCs w:val="0"/>
                <w:i w:val="0"/>
                <w:iCs w:val="0"/>
                <w:color w:val="auto"/>
                <w:kern w:val="0"/>
                <w:sz w:val="24"/>
                <w:szCs w:val="24"/>
                <w:u w:val="none"/>
                <w:lang w:bidi="ar"/>
              </w:rPr>
            </w:pPr>
            <w:r>
              <w:rPr>
                <w:rFonts w:hint="eastAsia" w:ascii="黑体" w:hAnsi="黑体" w:eastAsia="黑体" w:cs="黑体"/>
                <w:b w:val="0"/>
                <w:bCs w:val="0"/>
                <w:i w:val="0"/>
                <w:iCs w:val="0"/>
                <w:color w:val="auto"/>
                <w:kern w:val="0"/>
                <w:sz w:val="24"/>
                <w:szCs w:val="24"/>
                <w:u w:val="none"/>
                <w:lang w:val="en-US" w:eastAsia="zh-CN" w:bidi="ar"/>
              </w:rPr>
              <w:t>2.38</w:t>
            </w:r>
          </w:p>
        </w:tc>
        <w:tc>
          <w:tcPr>
            <w:tcW w:w="33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1.57</w:t>
            </w:r>
          </w:p>
        </w:tc>
        <w:tc>
          <w:tcPr>
            <w:tcW w:w="386"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66.5%</w:t>
            </w:r>
          </w:p>
        </w:tc>
        <w:tc>
          <w:tcPr>
            <w:tcW w:w="4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0.39</w:t>
            </w:r>
          </w:p>
        </w:tc>
        <w:tc>
          <w:tcPr>
            <w:tcW w:w="364"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16.5%</w:t>
            </w:r>
          </w:p>
        </w:tc>
        <w:tc>
          <w:tcPr>
            <w:tcW w:w="382"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0.10</w:t>
            </w:r>
          </w:p>
        </w:tc>
        <w:tc>
          <w:tcPr>
            <w:tcW w:w="420"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4.2%</w:t>
            </w:r>
          </w:p>
        </w:tc>
        <w:tc>
          <w:tcPr>
            <w:tcW w:w="373"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0.32</w:t>
            </w:r>
          </w:p>
        </w:tc>
        <w:tc>
          <w:tcPr>
            <w:tcW w:w="401"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12.8%</w:t>
            </w:r>
          </w:p>
        </w:tc>
        <w:tc>
          <w:tcPr>
            <w:tcW w:w="39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65%</w:t>
            </w:r>
          </w:p>
        </w:tc>
        <w:tc>
          <w:tcPr>
            <w:tcW w:w="308"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15%</w:t>
            </w:r>
          </w:p>
        </w:tc>
        <w:tc>
          <w:tcPr>
            <w:tcW w:w="307" w:type="pct"/>
            <w:shd w:val="clear" w:color="auto" w:fill="auto"/>
            <w:tcMar>
              <w:top w:w="0" w:type="dxa"/>
              <w:left w:w="57" w:type="dxa"/>
              <w:bottom w:w="0" w:type="dxa"/>
              <w:right w:w="57" w:type="dxa"/>
            </w:tcMar>
            <w:vAlign w:val="center"/>
          </w:tcPr>
          <w:p>
            <w:pPr>
              <w:keepNext w:val="0"/>
              <w:keepLines w:val="0"/>
              <w:widowControl w:val="0"/>
              <w:suppressLineNumbers w:val="0"/>
              <w:spacing w:line="400" w:lineRule="exact"/>
              <w:ind w:firstLine="0" w:firstLineChars="0"/>
              <w:jc w:val="center"/>
              <w:textAlignment w:val="center"/>
              <w:rPr>
                <w:rFonts w:hint="eastAsia" w:ascii="黑体" w:hAnsi="黑体" w:eastAsia="黑体" w:cs="黑体"/>
                <w:i w:val="0"/>
                <w:iCs w:val="0"/>
                <w:color w:val="auto"/>
                <w:kern w:val="0"/>
                <w:sz w:val="24"/>
                <w:szCs w:val="24"/>
                <w:u w:val="none"/>
                <w:lang w:bidi="ar"/>
              </w:rPr>
            </w:pPr>
            <w:r>
              <w:rPr>
                <w:rFonts w:hint="eastAsia" w:ascii="黑体" w:hAnsi="黑体" w:eastAsia="黑体" w:cs="黑体"/>
                <w:i w:val="0"/>
                <w:iCs w:val="0"/>
                <w:color w:val="auto"/>
                <w:kern w:val="0"/>
                <w:sz w:val="24"/>
                <w:szCs w:val="24"/>
                <w:u w:val="none"/>
                <w:lang w:val="en-US" w:eastAsia="zh-CN" w:bidi="ar"/>
              </w:rPr>
              <w:t>20%</w:t>
            </w:r>
          </w:p>
        </w:tc>
      </w:tr>
    </w:tbl>
    <w:p>
      <w:pPr>
        <w:pStyle w:val="5"/>
        <w:rPr>
          <w:rFonts w:hint="default"/>
          <w:color w:val="auto"/>
          <w:lang w:val="en-US" w:eastAsia="zh-CN"/>
        </w:rPr>
      </w:pPr>
      <w:r>
        <w:rPr>
          <w:rFonts w:hint="eastAsia"/>
          <w:color w:val="auto"/>
          <w:lang w:val="en-US" w:eastAsia="zh-CN"/>
        </w:rPr>
        <w:t>运价特征</w:t>
      </w:r>
    </w:p>
    <w:p>
      <w:pPr>
        <w:keepNext w:val="0"/>
        <w:keepLines w:val="0"/>
        <w:widowControl/>
        <w:suppressLineNumbers w:val="0"/>
        <w:jc w:val="left"/>
        <w:rPr>
          <w:rFonts w:hint="eastAsia" w:eastAsia="仿宋_GB2312" w:cstheme="minorBidi"/>
          <w:color w:val="auto"/>
          <w:kern w:val="2"/>
          <w:sz w:val="32"/>
          <w:szCs w:val="22"/>
          <w:lang w:val="en-US" w:eastAsia="zh-CN" w:bidi="ar"/>
        </w:rPr>
      </w:pPr>
      <w:r>
        <w:rPr>
          <w:rFonts w:ascii="Times New Roman" w:hAnsi="Times New Roman" w:eastAsia="仿宋_GB2312" w:cstheme="minorBidi"/>
          <w:color w:val="auto"/>
          <w:kern w:val="2"/>
          <w:sz w:val="32"/>
          <w:szCs w:val="22"/>
          <w:lang w:val="en-US" w:eastAsia="zh-CN" w:bidi="ar"/>
        </w:rPr>
        <w:t>乐山水运以大件、散货运输为主</w:t>
      </w:r>
      <w:r>
        <w:rPr>
          <w:rFonts w:hint="eastAsia" w:cstheme="minorBidi"/>
          <w:color w:val="auto"/>
          <w:kern w:val="2"/>
          <w:sz w:val="32"/>
          <w:szCs w:val="22"/>
          <w:lang w:val="en-US" w:eastAsia="zh-CN" w:bidi="ar"/>
        </w:rPr>
        <w:t>。</w:t>
      </w:r>
      <w:r>
        <w:rPr>
          <w:rFonts w:ascii="Times New Roman" w:hAnsi="Times New Roman" w:eastAsia="仿宋_GB2312" w:cstheme="minorBidi"/>
          <w:color w:val="auto"/>
          <w:kern w:val="2"/>
          <w:sz w:val="32"/>
          <w:szCs w:val="22"/>
          <w:lang w:val="en-US" w:eastAsia="zh-CN" w:bidi="ar"/>
        </w:rPr>
        <w:t>大件设备</w:t>
      </w:r>
      <w:r>
        <w:rPr>
          <w:rFonts w:hint="eastAsia" w:cstheme="minorBidi"/>
          <w:color w:val="auto"/>
          <w:kern w:val="2"/>
          <w:sz w:val="32"/>
          <w:szCs w:val="22"/>
          <w:lang w:val="en-US" w:eastAsia="zh-CN" w:bidi="ar"/>
        </w:rPr>
        <w:t>运价与设备大小</w:t>
      </w:r>
      <w:r>
        <w:rPr>
          <w:rFonts w:ascii="Times New Roman" w:hAnsi="Times New Roman" w:eastAsia="仿宋_GB2312" w:cstheme="minorBidi"/>
          <w:color w:val="auto"/>
          <w:kern w:val="2"/>
          <w:sz w:val="32"/>
          <w:szCs w:val="22"/>
          <w:lang w:val="en-US" w:eastAsia="zh-CN" w:bidi="ar"/>
        </w:rPr>
        <w:t>、</w:t>
      </w:r>
      <w:r>
        <w:rPr>
          <w:rFonts w:hint="eastAsia" w:cstheme="minorBidi"/>
          <w:color w:val="auto"/>
          <w:kern w:val="2"/>
          <w:sz w:val="32"/>
          <w:szCs w:val="22"/>
          <w:lang w:val="en-US" w:eastAsia="zh-CN" w:bidi="ar"/>
        </w:rPr>
        <w:t>运输</w:t>
      </w:r>
      <w:r>
        <w:rPr>
          <w:rFonts w:ascii="Times New Roman" w:hAnsi="Times New Roman" w:eastAsia="仿宋_GB2312" w:cstheme="minorBidi"/>
          <w:color w:val="auto"/>
          <w:kern w:val="2"/>
          <w:sz w:val="32"/>
          <w:szCs w:val="22"/>
          <w:lang w:val="en-US" w:eastAsia="zh-CN" w:bidi="ar"/>
        </w:rPr>
        <w:t>距离</w:t>
      </w:r>
      <w:r>
        <w:rPr>
          <w:rFonts w:hint="eastAsia" w:cstheme="minorBidi"/>
          <w:color w:val="auto"/>
          <w:kern w:val="2"/>
          <w:sz w:val="32"/>
          <w:szCs w:val="22"/>
          <w:lang w:val="en-US" w:eastAsia="zh-CN" w:bidi="ar"/>
        </w:rPr>
        <w:t>等高度相关。以</w:t>
      </w:r>
      <w:r>
        <w:rPr>
          <w:rFonts w:hint="eastAsia" w:ascii="仿宋_GB2312" w:eastAsia="仿宋_GB2312" w:hAnsiTheme="minorEastAsia"/>
          <w:color w:val="auto"/>
          <w:sz w:val="32"/>
          <w:szCs w:val="32"/>
        </w:rPr>
        <w:t>100</w:t>
      </w:r>
      <w:r>
        <w:rPr>
          <w:rFonts w:hint="eastAsia" w:ascii="仿宋_GB2312" w:hAnsiTheme="minorEastAsia"/>
          <w:color w:val="auto"/>
          <w:sz w:val="32"/>
          <w:szCs w:val="32"/>
          <w:lang w:eastAsia="zh-CN"/>
        </w:rPr>
        <w:t>吨—</w:t>
      </w:r>
      <w:r>
        <w:rPr>
          <w:rFonts w:hint="eastAsia" w:ascii="仿宋_GB2312" w:eastAsia="仿宋_GB2312" w:hAnsiTheme="minorEastAsia"/>
          <w:color w:val="auto"/>
          <w:sz w:val="32"/>
          <w:szCs w:val="32"/>
        </w:rPr>
        <w:t>150吨大件</w:t>
      </w:r>
      <w:r>
        <w:rPr>
          <w:rFonts w:hint="eastAsia" w:ascii="仿宋_GB2312" w:hAnsiTheme="minorEastAsia"/>
          <w:color w:val="auto"/>
          <w:sz w:val="32"/>
          <w:szCs w:val="32"/>
          <w:lang w:val="en-US" w:eastAsia="zh-CN"/>
        </w:rPr>
        <w:t>装备为例</w:t>
      </w:r>
      <w:r>
        <w:rPr>
          <w:rFonts w:hint="eastAsia" w:ascii="仿宋_GB2312" w:hAnsiTheme="minorEastAsia"/>
          <w:color w:val="auto"/>
          <w:sz w:val="32"/>
          <w:szCs w:val="32"/>
          <w:lang w:eastAsia="zh-CN"/>
        </w:rPr>
        <w:t>，</w:t>
      </w:r>
      <w:r>
        <w:rPr>
          <w:rFonts w:hint="eastAsia" w:ascii="仿宋_GB2312" w:eastAsia="仿宋_GB2312" w:hAnsiTheme="minorEastAsia"/>
          <w:color w:val="auto"/>
          <w:sz w:val="32"/>
          <w:szCs w:val="32"/>
        </w:rPr>
        <w:t>大件</w:t>
      </w:r>
      <w:r>
        <w:rPr>
          <w:rFonts w:hint="eastAsia" w:ascii="仿宋_GB2312" w:hAnsiTheme="minorEastAsia"/>
          <w:color w:val="auto"/>
          <w:sz w:val="32"/>
          <w:szCs w:val="32"/>
          <w:lang w:val="en-US" w:eastAsia="zh-CN"/>
        </w:rPr>
        <w:t>装备从</w:t>
      </w:r>
      <w:r>
        <w:rPr>
          <w:rFonts w:hint="eastAsia" w:ascii="仿宋_GB2312" w:eastAsia="仿宋_GB2312" w:hAnsiTheme="minorEastAsia"/>
          <w:color w:val="auto"/>
          <w:sz w:val="32"/>
          <w:szCs w:val="32"/>
        </w:rPr>
        <w:t>德阳</w:t>
      </w:r>
      <w:r>
        <w:rPr>
          <w:rFonts w:hint="eastAsia" w:ascii="仿宋_GB2312" w:hAnsiTheme="minorEastAsia"/>
          <w:color w:val="auto"/>
          <w:sz w:val="32"/>
          <w:szCs w:val="32"/>
          <w:lang w:val="en-US" w:eastAsia="zh-CN"/>
        </w:rPr>
        <w:t>经公路</w:t>
      </w:r>
      <w:r>
        <w:rPr>
          <w:rFonts w:hint="eastAsia" w:ascii="仿宋_GB2312" w:eastAsia="仿宋_GB2312" w:hAnsiTheme="minorEastAsia"/>
          <w:color w:val="auto"/>
          <w:sz w:val="32"/>
          <w:szCs w:val="32"/>
        </w:rPr>
        <w:t>运输至乐山大件码头</w:t>
      </w:r>
      <w:r>
        <w:rPr>
          <w:rFonts w:hint="eastAsia" w:ascii="仿宋_GB2312" w:hAnsiTheme="minorEastAsia"/>
          <w:color w:val="auto"/>
          <w:sz w:val="32"/>
          <w:szCs w:val="32"/>
          <w:lang w:val="en-US" w:eastAsia="zh-CN"/>
        </w:rPr>
        <w:t>约</w:t>
      </w:r>
      <w:r>
        <w:rPr>
          <w:rFonts w:hint="eastAsia" w:ascii="仿宋_GB2312" w:eastAsia="仿宋_GB2312" w:hAnsiTheme="minorEastAsia"/>
          <w:color w:val="auto"/>
          <w:sz w:val="32"/>
          <w:szCs w:val="32"/>
        </w:rPr>
        <w:t>2</w:t>
      </w:r>
      <w:r>
        <w:rPr>
          <w:rFonts w:hint="eastAsia" w:ascii="仿宋_GB2312" w:hAnsiTheme="minorEastAsia"/>
          <w:color w:val="auto"/>
          <w:sz w:val="32"/>
          <w:szCs w:val="32"/>
          <w:lang w:val="en-US" w:eastAsia="zh-CN"/>
        </w:rPr>
        <w:t>7</w:t>
      </w:r>
      <w:r>
        <w:rPr>
          <w:rFonts w:hint="eastAsia" w:ascii="仿宋_GB2312" w:eastAsia="仿宋_GB2312" w:hAnsiTheme="minorEastAsia"/>
          <w:color w:val="auto"/>
          <w:sz w:val="32"/>
          <w:szCs w:val="32"/>
        </w:rPr>
        <w:t>0公</w:t>
      </w:r>
      <w:r>
        <w:rPr>
          <w:rFonts w:hint="eastAsia" w:ascii="仿宋_GB2312" w:hAnsiTheme="minorEastAsia"/>
          <w:color w:val="auto"/>
          <w:sz w:val="32"/>
          <w:szCs w:val="32"/>
          <w:lang w:val="en-US" w:eastAsia="zh-CN"/>
        </w:rPr>
        <w:t>里</w:t>
      </w:r>
      <w:r>
        <w:rPr>
          <w:rFonts w:hint="eastAsia" w:ascii="仿宋_GB2312" w:eastAsia="仿宋_GB2312" w:hAnsiTheme="minorEastAsia"/>
          <w:color w:val="auto"/>
          <w:sz w:val="32"/>
          <w:szCs w:val="32"/>
        </w:rPr>
        <w:t>，运费</w:t>
      </w:r>
      <w:r>
        <w:rPr>
          <w:rFonts w:hint="eastAsia" w:ascii="仿宋_GB2312" w:hAnsiTheme="minorEastAsia"/>
          <w:color w:val="auto"/>
          <w:sz w:val="32"/>
          <w:szCs w:val="32"/>
          <w:lang w:val="en-US" w:eastAsia="zh-CN"/>
        </w:rPr>
        <w:t>为</w:t>
      </w:r>
      <w:r>
        <w:rPr>
          <w:rFonts w:hint="eastAsia" w:ascii="仿宋_GB2312" w:eastAsia="仿宋_GB2312" w:hAnsiTheme="minorEastAsia"/>
          <w:color w:val="auto"/>
          <w:sz w:val="32"/>
          <w:szCs w:val="32"/>
        </w:rPr>
        <w:t>5</w:t>
      </w:r>
      <w:r>
        <w:rPr>
          <w:rFonts w:hint="eastAsia" w:ascii="仿宋_GB2312" w:hAnsiTheme="minorEastAsia"/>
          <w:color w:val="auto"/>
          <w:sz w:val="32"/>
          <w:szCs w:val="32"/>
          <w:lang w:eastAsia="zh-CN"/>
        </w:rPr>
        <w:t>万元</w:t>
      </w:r>
      <w:r>
        <w:rPr>
          <w:rFonts w:hint="eastAsia" w:ascii="仿宋_GB2312" w:eastAsia="仿宋_GB2312" w:hAnsiTheme="minorEastAsia"/>
          <w:color w:val="auto"/>
          <w:sz w:val="32"/>
          <w:szCs w:val="32"/>
        </w:rPr>
        <w:t>，运价</w:t>
      </w:r>
      <w:r>
        <w:rPr>
          <w:rFonts w:hint="eastAsia" w:ascii="仿宋_GB2312" w:hAnsiTheme="minorEastAsia"/>
          <w:color w:val="auto"/>
          <w:sz w:val="32"/>
          <w:szCs w:val="32"/>
          <w:lang w:val="en-US" w:eastAsia="zh-CN"/>
        </w:rPr>
        <w:t>185</w:t>
      </w:r>
      <w:r>
        <w:rPr>
          <w:rFonts w:hint="eastAsia" w:ascii="仿宋_GB2312" w:eastAsia="仿宋_GB2312" w:hAnsiTheme="minorEastAsia"/>
          <w:color w:val="auto"/>
          <w:sz w:val="32"/>
          <w:szCs w:val="32"/>
        </w:rPr>
        <w:t>元／件公里</w:t>
      </w:r>
      <w:r>
        <w:rPr>
          <w:rFonts w:hint="eastAsia" w:ascii="仿宋_GB2312" w:hAnsiTheme="minorEastAsia"/>
          <w:color w:val="auto"/>
          <w:sz w:val="32"/>
          <w:szCs w:val="32"/>
          <w:lang w:eastAsia="zh-CN"/>
        </w:rPr>
        <w:t>；</w:t>
      </w:r>
      <w:r>
        <w:rPr>
          <w:rFonts w:hint="eastAsia" w:ascii="仿宋_GB2312" w:hAnsiTheme="minorEastAsia"/>
          <w:color w:val="auto"/>
          <w:spacing w:val="6"/>
          <w:sz w:val="32"/>
          <w:szCs w:val="32"/>
          <w:lang w:val="en-US" w:eastAsia="zh-CN"/>
        </w:rPr>
        <w:t>大件装备从乐山下水后</w:t>
      </w:r>
      <w:r>
        <w:rPr>
          <w:rFonts w:hint="eastAsia" w:ascii="仿宋_GB2312" w:eastAsia="仿宋_GB2312" w:hAnsiTheme="minorEastAsia"/>
          <w:color w:val="auto"/>
          <w:spacing w:val="6"/>
          <w:sz w:val="32"/>
          <w:szCs w:val="32"/>
        </w:rPr>
        <w:t>专船运输</w:t>
      </w:r>
      <w:r>
        <w:rPr>
          <w:rFonts w:hint="eastAsia" w:ascii="仿宋_GB2312" w:hAnsiTheme="minorEastAsia"/>
          <w:color w:val="auto"/>
          <w:spacing w:val="6"/>
          <w:sz w:val="32"/>
          <w:szCs w:val="32"/>
          <w:lang w:val="en-US" w:eastAsia="zh-CN"/>
        </w:rPr>
        <w:t>直达江苏、上海等沿海地区（</w:t>
      </w:r>
      <w:r>
        <w:rPr>
          <w:rFonts w:hint="eastAsia" w:ascii="仿宋_GB2312" w:eastAsia="仿宋_GB2312" w:hAnsiTheme="minorEastAsia"/>
          <w:color w:val="auto"/>
          <w:spacing w:val="6"/>
          <w:sz w:val="32"/>
          <w:szCs w:val="32"/>
        </w:rPr>
        <w:t>小型大件有的在宜宾转大船拼装其他散货</w:t>
      </w:r>
      <w:r>
        <w:rPr>
          <w:rFonts w:hint="eastAsia" w:ascii="仿宋_GB2312" w:hAnsiTheme="minorEastAsia"/>
          <w:color w:val="auto"/>
          <w:spacing w:val="6"/>
          <w:sz w:val="32"/>
          <w:szCs w:val="32"/>
          <w:lang w:val="en-US" w:eastAsia="zh-CN"/>
        </w:rPr>
        <w:t>），</w:t>
      </w:r>
      <w:r>
        <w:rPr>
          <w:rFonts w:hint="eastAsia" w:ascii="仿宋_GB2312" w:eastAsia="仿宋_GB2312" w:hAnsiTheme="minorEastAsia"/>
          <w:color w:val="auto"/>
          <w:spacing w:val="6"/>
          <w:sz w:val="32"/>
          <w:szCs w:val="32"/>
        </w:rPr>
        <w:t>专船可配货的一般全程运价在</w:t>
      </w:r>
      <w:r>
        <w:rPr>
          <w:rFonts w:hint="eastAsia" w:ascii="仿宋_GB2312" w:hAnsiTheme="minorEastAsia"/>
          <w:color w:val="auto"/>
          <w:spacing w:val="6"/>
          <w:sz w:val="32"/>
          <w:szCs w:val="32"/>
          <w:lang w:eastAsia="zh-CN"/>
        </w:rPr>
        <w:t>14万元—15万</w:t>
      </w:r>
      <w:r>
        <w:rPr>
          <w:rFonts w:hint="eastAsia" w:ascii="仿宋_GB2312" w:eastAsia="仿宋_GB2312" w:hAnsiTheme="minorEastAsia"/>
          <w:color w:val="auto"/>
          <w:spacing w:val="6"/>
          <w:sz w:val="32"/>
          <w:szCs w:val="32"/>
        </w:rPr>
        <w:t>元，专船不能配货的（核电设备）全程运价在</w:t>
      </w:r>
      <w:r>
        <w:rPr>
          <w:rFonts w:hint="eastAsia" w:ascii="仿宋_GB2312" w:hAnsiTheme="minorEastAsia"/>
          <w:color w:val="auto"/>
          <w:spacing w:val="6"/>
          <w:sz w:val="32"/>
          <w:szCs w:val="32"/>
          <w:lang w:eastAsia="zh-CN"/>
        </w:rPr>
        <w:t>17万</w:t>
      </w:r>
      <w:r>
        <w:rPr>
          <w:rFonts w:hint="eastAsia" w:ascii="仿宋_GB2312" w:hAnsiTheme="minorEastAsia"/>
          <w:color w:val="auto"/>
          <w:sz w:val="32"/>
          <w:szCs w:val="32"/>
          <w:lang w:eastAsia="zh-CN"/>
        </w:rPr>
        <w:t>元—18万</w:t>
      </w:r>
      <w:r>
        <w:rPr>
          <w:rFonts w:hint="eastAsia" w:ascii="仿宋_GB2312" w:eastAsia="仿宋_GB2312" w:hAnsiTheme="minorEastAsia"/>
          <w:color w:val="auto"/>
          <w:sz w:val="32"/>
          <w:szCs w:val="32"/>
        </w:rPr>
        <w:t>元（大件异形、长尺寸除外）</w:t>
      </w:r>
      <w:r>
        <w:rPr>
          <w:rFonts w:hint="eastAsia" w:ascii="仿宋_GB2312" w:hAnsiTheme="minorEastAsia"/>
          <w:color w:val="auto"/>
          <w:sz w:val="32"/>
          <w:szCs w:val="32"/>
          <w:lang w:eastAsia="zh-CN"/>
        </w:rPr>
        <w:t>，</w:t>
      </w:r>
      <w:r>
        <w:rPr>
          <w:rFonts w:hint="eastAsia" w:ascii="仿宋_GB2312" w:eastAsia="仿宋_GB2312" w:hAnsiTheme="minorEastAsia"/>
          <w:color w:val="auto"/>
          <w:sz w:val="32"/>
          <w:szCs w:val="32"/>
        </w:rPr>
        <w:t>水路大件运输水路运距约2600</w:t>
      </w:r>
      <w:r>
        <w:rPr>
          <w:rFonts w:hint="eastAsia" w:ascii="仿宋_GB2312" w:hAnsiTheme="minorEastAsia"/>
          <w:color w:val="auto"/>
          <w:sz w:val="32"/>
          <w:szCs w:val="32"/>
          <w:lang w:eastAsia="zh-CN"/>
        </w:rPr>
        <w:t>公里—</w:t>
      </w:r>
      <w:r>
        <w:rPr>
          <w:rFonts w:hint="eastAsia" w:ascii="仿宋_GB2312" w:eastAsia="仿宋_GB2312" w:hAnsiTheme="minorEastAsia"/>
          <w:color w:val="auto"/>
          <w:sz w:val="32"/>
          <w:szCs w:val="32"/>
        </w:rPr>
        <w:t>3000公里，运价</w:t>
      </w:r>
      <w:r>
        <w:rPr>
          <w:rFonts w:hint="eastAsia" w:ascii="仿宋_GB2312" w:hAnsiTheme="minorEastAsia"/>
          <w:color w:val="auto"/>
          <w:sz w:val="32"/>
          <w:szCs w:val="32"/>
          <w:lang w:val="en-US" w:eastAsia="zh-CN"/>
        </w:rPr>
        <w:t>为</w:t>
      </w:r>
      <w:r>
        <w:rPr>
          <w:rFonts w:hint="eastAsia" w:ascii="仿宋_GB2312" w:eastAsia="仿宋_GB2312" w:hAnsiTheme="minorEastAsia"/>
          <w:color w:val="auto"/>
          <w:sz w:val="32"/>
          <w:szCs w:val="32"/>
        </w:rPr>
        <w:t>54</w:t>
      </w:r>
      <w:r>
        <w:rPr>
          <w:rFonts w:hint="eastAsia" w:ascii="仿宋_GB2312" w:hAnsiTheme="minorEastAsia"/>
          <w:color w:val="auto"/>
          <w:sz w:val="32"/>
          <w:szCs w:val="32"/>
          <w:lang w:eastAsia="zh-CN"/>
        </w:rPr>
        <w:t>元—</w:t>
      </w:r>
      <w:r>
        <w:rPr>
          <w:rFonts w:hint="eastAsia" w:ascii="仿宋_GB2312" w:eastAsia="仿宋_GB2312" w:hAnsiTheme="minorEastAsia"/>
          <w:color w:val="auto"/>
          <w:sz w:val="32"/>
          <w:szCs w:val="32"/>
        </w:rPr>
        <w:t>69元／件公里</w:t>
      </w:r>
      <w:r>
        <w:rPr>
          <w:rFonts w:hint="eastAsia" w:ascii="仿宋_GB2312" w:hAnsiTheme="minorEastAsia"/>
          <w:color w:val="auto"/>
          <w:sz w:val="32"/>
          <w:szCs w:val="32"/>
          <w:lang w:eastAsia="zh-CN"/>
        </w:rPr>
        <w:t>，</w:t>
      </w:r>
      <w:r>
        <w:rPr>
          <w:rFonts w:hint="eastAsia" w:ascii="仿宋_GB2312" w:eastAsia="仿宋_GB2312" w:hAnsiTheme="minorEastAsia"/>
          <w:color w:val="auto"/>
          <w:sz w:val="32"/>
          <w:szCs w:val="32"/>
        </w:rPr>
        <w:t>大件</w:t>
      </w:r>
      <w:r>
        <w:rPr>
          <w:rFonts w:hint="eastAsia" w:ascii="仿宋_GB2312" w:hAnsiTheme="minorEastAsia"/>
          <w:color w:val="auto"/>
          <w:sz w:val="32"/>
          <w:szCs w:val="32"/>
          <w:lang w:val="en-US" w:eastAsia="zh-CN"/>
        </w:rPr>
        <w:t>公路</w:t>
      </w:r>
      <w:r>
        <w:rPr>
          <w:rFonts w:hint="eastAsia" w:ascii="仿宋_GB2312" w:eastAsia="仿宋_GB2312" w:hAnsiTheme="minorEastAsia"/>
          <w:color w:val="auto"/>
          <w:sz w:val="32"/>
          <w:szCs w:val="32"/>
        </w:rPr>
        <w:t>运价是水路运价的2.</w:t>
      </w:r>
      <w:r>
        <w:rPr>
          <w:rFonts w:hint="eastAsia" w:ascii="仿宋_GB2312" w:hAnsiTheme="minorEastAsia"/>
          <w:color w:val="auto"/>
          <w:sz w:val="32"/>
          <w:szCs w:val="32"/>
          <w:lang w:val="en-US" w:eastAsia="zh-CN"/>
        </w:rPr>
        <w:t>7</w:t>
      </w:r>
      <w:r>
        <w:rPr>
          <w:rFonts w:hint="eastAsia" w:ascii="仿宋_GB2312" w:hAnsiTheme="minorEastAsia"/>
          <w:color w:val="auto"/>
          <w:sz w:val="32"/>
          <w:szCs w:val="32"/>
          <w:lang w:eastAsia="zh-CN"/>
        </w:rPr>
        <w:t>—</w:t>
      </w:r>
      <w:r>
        <w:rPr>
          <w:rFonts w:hint="eastAsia" w:ascii="仿宋_GB2312" w:eastAsia="仿宋_GB2312" w:hAnsiTheme="minorEastAsia"/>
          <w:color w:val="auto"/>
          <w:sz w:val="32"/>
          <w:szCs w:val="32"/>
        </w:rPr>
        <w:t>3.</w:t>
      </w:r>
      <w:r>
        <w:rPr>
          <w:rFonts w:hint="eastAsia" w:ascii="仿宋_GB2312" w:hAnsiTheme="minorEastAsia"/>
          <w:color w:val="auto"/>
          <w:sz w:val="32"/>
          <w:szCs w:val="32"/>
          <w:lang w:val="en-US" w:eastAsia="zh-CN"/>
        </w:rPr>
        <w:t>4</w:t>
      </w:r>
      <w:r>
        <w:rPr>
          <w:rFonts w:hint="eastAsia" w:ascii="仿宋_GB2312" w:eastAsia="仿宋_GB2312" w:hAnsiTheme="minorEastAsia"/>
          <w:color w:val="auto"/>
          <w:sz w:val="32"/>
          <w:szCs w:val="32"/>
        </w:rPr>
        <w:t>倍</w:t>
      </w:r>
      <w:r>
        <w:rPr>
          <w:rFonts w:hint="eastAsia" w:ascii="仿宋_GB2312" w:hAnsiTheme="minorEastAsia"/>
          <w:color w:val="auto"/>
          <w:sz w:val="32"/>
          <w:szCs w:val="32"/>
          <w:lang w:eastAsia="zh-CN"/>
        </w:rPr>
        <w:t>。</w:t>
      </w:r>
    </w:p>
    <w:p>
      <w:pPr>
        <w:keepNext w:val="0"/>
        <w:keepLines w:val="0"/>
        <w:widowControl/>
        <w:suppressLineNumbers w:val="0"/>
        <w:jc w:val="left"/>
        <w:rPr>
          <w:rFonts w:hint="default" w:eastAsia="仿宋_GB2312"/>
          <w:color w:val="auto"/>
          <w:lang w:val="en-US" w:eastAsia="zh-CN"/>
        </w:rPr>
      </w:pPr>
      <w:r>
        <w:rPr>
          <w:rFonts w:ascii="Times New Roman" w:hAnsi="Times New Roman" w:eastAsia="仿宋_GB2312" w:cstheme="minorBidi"/>
          <w:color w:val="auto"/>
          <w:kern w:val="2"/>
          <w:sz w:val="32"/>
          <w:szCs w:val="22"/>
          <w:lang w:val="en-US" w:eastAsia="zh-CN" w:bidi="ar"/>
        </w:rPr>
        <w:t>乐山散货运输主要在宜宾进行集散，选取</w:t>
      </w:r>
      <w:r>
        <w:rPr>
          <w:rFonts w:hint="eastAsia" w:ascii="Times New Roman" w:hAnsi="Times New Roman" w:eastAsia="仿宋_GB2312" w:cstheme="minorBidi"/>
          <w:color w:val="auto"/>
          <w:kern w:val="2"/>
          <w:sz w:val="32"/>
          <w:szCs w:val="22"/>
          <w:lang w:val="en-US" w:eastAsia="zh-CN" w:bidi="ar"/>
        </w:rPr>
        <w:t>岷江（</w:t>
      </w:r>
      <w:r>
        <w:rPr>
          <w:rFonts w:ascii="Times New Roman" w:hAnsi="Times New Roman" w:eastAsia="仿宋_GB2312" w:cstheme="minorBidi"/>
          <w:color w:val="auto"/>
          <w:kern w:val="2"/>
          <w:sz w:val="32"/>
          <w:szCs w:val="22"/>
          <w:lang w:val="en-US" w:eastAsia="zh-CN" w:bidi="ar"/>
        </w:rPr>
        <w:t>乐山—宜宾</w:t>
      </w:r>
      <w:r>
        <w:rPr>
          <w:rFonts w:hint="eastAsia" w:ascii="Times New Roman" w:hAnsi="Times New Roman" w:eastAsia="仿宋_GB2312" w:cstheme="minorBidi"/>
          <w:color w:val="auto"/>
          <w:kern w:val="2"/>
          <w:sz w:val="32"/>
          <w:szCs w:val="22"/>
          <w:lang w:val="en-US" w:eastAsia="zh-CN" w:bidi="ar"/>
        </w:rPr>
        <w:t>段）</w:t>
      </w:r>
      <w:r>
        <w:rPr>
          <w:rFonts w:ascii="Times New Roman" w:hAnsi="Times New Roman" w:eastAsia="仿宋_GB2312" w:cstheme="minorBidi"/>
          <w:color w:val="auto"/>
          <w:kern w:val="2"/>
          <w:sz w:val="32"/>
          <w:szCs w:val="22"/>
          <w:lang w:val="en-US" w:eastAsia="zh-CN" w:bidi="ar"/>
        </w:rPr>
        <w:t>散货运价进行测</w:t>
      </w:r>
      <w:r>
        <w:rPr>
          <w:rFonts w:hint="eastAsia" w:ascii="Times New Roman" w:hAnsi="Times New Roman" w:eastAsia="仿宋_GB2312" w:cstheme="minorBidi"/>
          <w:color w:val="auto"/>
          <w:kern w:val="2"/>
          <w:sz w:val="32"/>
          <w:szCs w:val="22"/>
          <w:lang w:val="en-US" w:eastAsia="zh-CN" w:bidi="ar"/>
        </w:rPr>
        <w:t>算，全程120公里，运价约为0.18</w:t>
      </w:r>
      <w:r>
        <w:rPr>
          <w:rFonts w:hint="eastAsia" w:cstheme="minorBidi"/>
          <w:color w:val="auto"/>
          <w:kern w:val="2"/>
          <w:sz w:val="32"/>
          <w:szCs w:val="22"/>
          <w:lang w:val="en-US" w:eastAsia="zh-CN" w:bidi="ar"/>
        </w:rPr>
        <w:t>元—</w:t>
      </w:r>
      <w:r>
        <w:rPr>
          <w:rFonts w:hint="eastAsia" w:ascii="Times New Roman" w:hAnsi="Times New Roman" w:eastAsia="仿宋_GB2312" w:cstheme="minorBidi"/>
          <w:color w:val="auto"/>
          <w:kern w:val="2"/>
          <w:sz w:val="32"/>
          <w:szCs w:val="22"/>
          <w:lang w:val="en-US" w:eastAsia="zh-CN" w:bidi="ar"/>
        </w:rPr>
        <w:t>0.22元/吨公里。对比来看，长江段水运运价为0.03</w:t>
      </w:r>
      <w:r>
        <w:rPr>
          <w:rFonts w:hint="eastAsia" w:cstheme="minorBidi"/>
          <w:color w:val="auto"/>
          <w:kern w:val="2"/>
          <w:sz w:val="32"/>
          <w:szCs w:val="22"/>
          <w:lang w:val="en-US" w:eastAsia="zh-CN" w:bidi="ar"/>
        </w:rPr>
        <w:t>元—</w:t>
      </w:r>
      <w:r>
        <w:rPr>
          <w:rFonts w:hint="eastAsia" w:ascii="Times New Roman" w:hAnsi="Times New Roman" w:eastAsia="仿宋_GB2312" w:cstheme="minorBidi"/>
          <w:color w:val="auto"/>
          <w:kern w:val="2"/>
          <w:sz w:val="32"/>
          <w:szCs w:val="22"/>
          <w:lang w:val="en-US" w:eastAsia="zh-CN" w:bidi="ar"/>
        </w:rPr>
        <w:t>0.05元/吨公里，</w:t>
      </w:r>
      <w:r>
        <w:rPr>
          <w:rFonts w:hint="eastAsia" w:ascii="Times New Roman" w:hAnsi="Times New Roman" w:eastAsia="仿宋_GB2312" w:cstheme="minorBidi"/>
          <w:color w:val="auto"/>
          <w:spacing w:val="-6"/>
          <w:kern w:val="2"/>
          <w:sz w:val="32"/>
          <w:szCs w:val="22"/>
          <w:lang w:val="en-US" w:eastAsia="zh-CN" w:bidi="ar"/>
        </w:rPr>
        <w:t>岷江段水运由于航道等级不高、通航设施不完善，其价格要显著</w:t>
      </w:r>
      <w:r>
        <w:rPr>
          <w:rFonts w:hint="eastAsia" w:cstheme="minorBidi"/>
          <w:color w:val="auto"/>
          <w:spacing w:val="-6"/>
          <w:kern w:val="2"/>
          <w:sz w:val="32"/>
          <w:szCs w:val="22"/>
          <w:lang w:val="en-US" w:eastAsia="zh-CN" w:bidi="ar"/>
        </w:rPr>
        <w:t>高于</w:t>
      </w:r>
      <w:r>
        <w:rPr>
          <w:rFonts w:hint="eastAsia" w:ascii="Times New Roman" w:hAnsi="Times New Roman" w:eastAsia="仿宋_GB2312" w:cstheme="minorBidi"/>
          <w:color w:val="auto"/>
          <w:spacing w:val="-6"/>
          <w:kern w:val="2"/>
          <w:sz w:val="32"/>
          <w:szCs w:val="22"/>
          <w:lang w:val="en-US" w:eastAsia="zh-CN" w:bidi="ar"/>
        </w:rPr>
        <w:t>长江水运价格，对比铁路运价也不具备优势，岷江水运规模化、低成本优</w:t>
      </w:r>
      <w:r>
        <w:rPr>
          <w:rFonts w:hint="eastAsia" w:ascii="仿宋_GB2312" w:hAnsiTheme="minorEastAsia"/>
          <w:color w:val="auto"/>
          <w:spacing w:val="-6"/>
          <w:sz w:val="32"/>
          <w:szCs w:val="32"/>
          <w:lang w:val="en-US" w:eastAsia="zh-CN"/>
        </w:rPr>
        <w:t>势尚未充分发挥。</w:t>
      </w:r>
    </w:p>
    <w:p>
      <w:pPr>
        <w:pStyle w:val="4"/>
        <w:bidi w:val="0"/>
        <w:rPr>
          <w:rFonts w:hint="default" w:ascii="Times New Roman" w:hAnsi="Times New Roman" w:cs="Times New Roman"/>
          <w:color w:val="auto"/>
          <w:lang w:val="en-US" w:eastAsia="zh-CN"/>
        </w:rPr>
      </w:pPr>
      <w:bookmarkStart w:id="84" w:name="_Toc11051"/>
      <w:r>
        <w:rPr>
          <w:rFonts w:hint="default" w:ascii="Times New Roman" w:hAnsi="Times New Roman" w:cs="Times New Roman"/>
          <w:color w:val="auto"/>
          <w:lang w:val="en-US" w:eastAsia="zh-CN"/>
        </w:rPr>
        <w:t>重点产业</w:t>
      </w:r>
      <w:r>
        <w:rPr>
          <w:rFonts w:hint="eastAsia" w:ascii="Times New Roman" w:hAnsi="Times New Roman" w:cs="Times New Roman"/>
          <w:color w:val="auto"/>
          <w:lang w:val="en-US" w:eastAsia="zh-CN"/>
        </w:rPr>
        <w:t>物流需求</w:t>
      </w:r>
      <w:r>
        <w:rPr>
          <w:rFonts w:hint="default" w:ascii="Times New Roman" w:hAnsi="Times New Roman" w:cs="Times New Roman"/>
          <w:color w:val="auto"/>
          <w:lang w:val="en-US" w:eastAsia="zh-CN"/>
        </w:rPr>
        <w:t>现状</w:t>
      </w:r>
      <w:bookmarkEnd w:id="79"/>
      <w:bookmarkEnd w:id="84"/>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总体概况</w:t>
      </w:r>
    </w:p>
    <w:p>
      <w:pPr>
        <w:rPr>
          <w:rFonts w:hint="default" w:ascii="Times New Roman" w:hAnsi="Times New Roman" w:cs="Times New Roman"/>
          <w:color w:val="auto"/>
          <w:sz w:val="32"/>
          <w:szCs w:val="32"/>
          <w:lang w:val="en-US" w:eastAsia="zh-CN"/>
        </w:rPr>
      </w:pPr>
      <w:r>
        <w:rPr>
          <w:rFonts w:hint="default" w:ascii="Times New Roman" w:hAnsi="Times New Roman" w:cs="Times New Roman"/>
          <w:color w:val="auto"/>
          <w:lang w:val="en-US" w:eastAsia="zh-CN"/>
        </w:rPr>
        <w:t>近年来，乐山锚定“</w:t>
      </w:r>
      <w:r>
        <w:rPr>
          <w:rFonts w:hint="eastAsia" w:cs="Times New Roman"/>
          <w:color w:val="auto"/>
          <w:lang w:val="en-US" w:eastAsia="zh-CN"/>
        </w:rPr>
        <w:t>工业强市、文旅兴市</w:t>
      </w:r>
      <w:r>
        <w:rPr>
          <w:rFonts w:hint="default" w:ascii="Times New Roman" w:hAnsi="Times New Roman" w:cs="Times New Roman"/>
          <w:color w:val="auto"/>
          <w:lang w:val="en-US" w:eastAsia="zh-CN"/>
        </w:rPr>
        <w:t>”战略定位，以新型工业化为核心引擎，聚焦先进制造业提质倍增主线，构建晶硅光伏、绿色化工、核技术应用、新型建材和食品饮料五大产业集群，</w:t>
      </w:r>
      <w:r>
        <w:rPr>
          <w:rFonts w:hint="default" w:ascii="Times New Roman" w:hAnsi="Times New Roman" w:cs="Times New Roman"/>
          <w:color w:val="auto"/>
          <w:sz w:val="32"/>
          <w:szCs w:val="32"/>
          <w:lang w:val="en-US" w:eastAsia="zh-CN"/>
        </w:rPr>
        <w:t>打造了以实体经济为支撑的现代化产业体系。</w:t>
      </w:r>
      <w:r>
        <w:rPr>
          <w:rFonts w:hint="eastAsia" w:ascii="Times New Roman" w:hAnsi="Times New Roman" w:cs="Times New Roman"/>
          <w:color w:val="auto"/>
          <w:sz w:val="32"/>
          <w:szCs w:val="32"/>
          <w:lang w:val="en-US" w:eastAsia="zh-CN"/>
        </w:rPr>
        <w:t>本规划</w:t>
      </w:r>
      <w:r>
        <w:rPr>
          <w:rFonts w:hint="default" w:ascii="Times New Roman" w:hAnsi="Times New Roman" w:cs="Times New Roman"/>
          <w:color w:val="auto"/>
          <w:sz w:val="32"/>
          <w:szCs w:val="32"/>
          <w:lang w:val="en-US" w:eastAsia="zh-CN"/>
        </w:rPr>
        <w:t>结合</w:t>
      </w:r>
      <w:r>
        <w:rPr>
          <w:rFonts w:hint="eastAsia" w:cs="Times New Roman"/>
          <w:color w:val="auto"/>
          <w:sz w:val="32"/>
          <w:szCs w:val="32"/>
          <w:lang w:val="en-US" w:eastAsia="zh-CN"/>
        </w:rPr>
        <w:t>乐山</w:t>
      </w:r>
      <w:r>
        <w:rPr>
          <w:rFonts w:hint="default" w:ascii="Times New Roman" w:hAnsi="Times New Roman" w:cs="Times New Roman"/>
          <w:color w:val="auto"/>
          <w:lang w:val="en-US" w:eastAsia="zh-CN"/>
        </w:rPr>
        <w:t>202</w:t>
      </w:r>
      <w:r>
        <w:rPr>
          <w:rFonts w:hint="eastAsia" w:cs="Times New Roman"/>
          <w:color w:val="auto"/>
          <w:lang w:val="en-US" w:eastAsia="zh-CN"/>
        </w:rPr>
        <w:t>4</w:t>
      </w:r>
      <w:r>
        <w:rPr>
          <w:rFonts w:hint="default" w:ascii="Times New Roman" w:hAnsi="Times New Roman" w:cs="Times New Roman"/>
          <w:color w:val="auto"/>
          <w:lang w:val="en-US" w:eastAsia="zh-CN"/>
        </w:rPr>
        <w:t>年规模以上工业企业主要产品产量</w:t>
      </w:r>
      <w:r>
        <w:rPr>
          <w:rFonts w:hint="default" w:ascii="Times New Roman" w:hAnsi="Times New Roman" w:cs="Times New Roman"/>
          <w:color w:val="auto"/>
          <w:sz w:val="32"/>
          <w:szCs w:val="32"/>
          <w:lang w:val="en-US" w:eastAsia="zh-CN"/>
        </w:rPr>
        <w:t>，梳理形成全市主要产业产品情况，在此基础上遴选</w:t>
      </w:r>
      <w:r>
        <w:rPr>
          <w:rFonts w:hint="eastAsia" w:cs="Times New Roman"/>
          <w:color w:val="auto"/>
          <w:sz w:val="32"/>
          <w:szCs w:val="32"/>
          <w:lang w:val="en-US" w:eastAsia="zh-CN"/>
        </w:rPr>
        <w:t>出40余家</w:t>
      </w:r>
      <w:r>
        <w:rPr>
          <w:rFonts w:hint="default" w:ascii="Times New Roman" w:hAnsi="Times New Roman" w:cs="Times New Roman"/>
          <w:color w:val="auto"/>
          <w:sz w:val="32"/>
          <w:szCs w:val="32"/>
          <w:lang w:val="en-US" w:eastAsia="zh-CN"/>
        </w:rPr>
        <w:t>重点</w:t>
      </w:r>
      <w:r>
        <w:rPr>
          <w:rFonts w:hint="eastAsia" w:cs="Times New Roman"/>
          <w:color w:val="auto"/>
          <w:sz w:val="32"/>
          <w:szCs w:val="32"/>
          <w:lang w:val="en-US" w:eastAsia="zh-CN"/>
        </w:rPr>
        <w:t>一二产生产</w:t>
      </w:r>
      <w:r>
        <w:rPr>
          <w:rFonts w:hint="default" w:ascii="Times New Roman" w:hAnsi="Times New Roman" w:cs="Times New Roman"/>
          <w:color w:val="auto"/>
          <w:sz w:val="32"/>
          <w:szCs w:val="32"/>
          <w:lang w:val="en-US" w:eastAsia="zh-CN"/>
        </w:rPr>
        <w:t>企业进行</w:t>
      </w:r>
      <w:r>
        <w:rPr>
          <w:rFonts w:hint="eastAsia" w:ascii="Times New Roman" w:hAnsi="Times New Roman" w:cs="Times New Roman"/>
          <w:color w:val="auto"/>
          <w:sz w:val="32"/>
          <w:szCs w:val="32"/>
          <w:lang w:val="en-US" w:eastAsia="zh-CN"/>
        </w:rPr>
        <w:t>物流需求</w:t>
      </w:r>
      <w:r>
        <w:rPr>
          <w:rFonts w:hint="default" w:ascii="Times New Roman" w:hAnsi="Times New Roman" w:cs="Times New Roman"/>
          <w:color w:val="auto"/>
          <w:sz w:val="32"/>
          <w:szCs w:val="32"/>
          <w:lang w:val="en-US" w:eastAsia="zh-CN"/>
        </w:rPr>
        <w:t>专题调研。</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11</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202</w:t>
      </w:r>
      <w:r>
        <w:rPr>
          <w:rFonts w:hint="eastAsia" w:cs="Times New Roman"/>
          <w:color w:val="auto"/>
          <w:lang w:val="en-US" w:eastAsia="zh-CN"/>
        </w:rPr>
        <w:t>4</w:t>
      </w:r>
      <w:r>
        <w:rPr>
          <w:rFonts w:hint="default" w:ascii="Times New Roman" w:hAnsi="Times New Roman" w:cs="Times New Roman"/>
          <w:color w:val="auto"/>
          <w:lang w:val="en-US" w:eastAsia="zh-CN"/>
        </w:rPr>
        <w:t>年规模以上工业企业主要产品产量</w:t>
      </w:r>
    </w:p>
    <w:tbl>
      <w:tblPr>
        <w:tblStyle w:val="20"/>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441"/>
        <w:gridCol w:w="3482"/>
        <w:gridCol w:w="21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blHeader/>
        </w:trPr>
        <w:tc>
          <w:tcPr>
            <w:tcW w:w="2212" w:type="pc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产品名称</w:t>
            </w:r>
          </w:p>
        </w:tc>
        <w:tc>
          <w:tcPr>
            <w:tcW w:w="173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2024年产量</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磷矿石</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val="0"/>
              <w:kinsoku/>
              <w:wordWrap/>
              <w:overflowPunct/>
              <w:topLinePunct w:val="0"/>
              <w:autoSpaceDE/>
              <w:autoSpaceDN/>
              <w:bidi w:val="0"/>
              <w:adjustRightInd/>
              <w:snapToGrid/>
              <w:rPr>
                <w:rFonts w:hint="default"/>
                <w:color w:val="auto"/>
                <w:sz w:val="24"/>
                <w:szCs w:val="24"/>
              </w:rPr>
            </w:pPr>
            <w:r>
              <w:rPr>
                <w:rFonts w:hint="default"/>
                <w:color w:val="auto"/>
                <w:sz w:val="24"/>
                <w:szCs w:val="24"/>
                <w:lang w:val="en-US" w:eastAsia="zh-CN"/>
              </w:rPr>
              <w:t>8459909</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原盐</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2208861</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饲料</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792556</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鲜冷藏冻肉</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18301</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饮料</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2061691</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精制茶</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19578</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布</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37350</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万米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人造板</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990237</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立方米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机制纸及纸板</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625938</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纯碱</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1203327</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农用氮、磷、钾化学肥料总计</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379844</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聚氯乙烯树脂</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76380</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单晶硅</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153836</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多晶硅</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338540</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水泥</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1854</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万吨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瓷质砖</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10161</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万平方米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陶质砖</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19657</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万平方米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钢材</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3415534</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铁合金</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203160</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单一稀土金属</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7739</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光缆</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14224218</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芯千米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212"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半导体分立器件</w:t>
            </w:r>
          </w:p>
        </w:tc>
        <w:tc>
          <w:tcPr>
            <w:tcW w:w="34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color w:val="auto"/>
                <w:sz w:val="24"/>
                <w:szCs w:val="24"/>
              </w:rPr>
            </w:pPr>
            <w:r>
              <w:rPr>
                <w:rFonts w:hint="default"/>
                <w:color w:val="auto"/>
                <w:sz w:val="24"/>
                <w:szCs w:val="24"/>
                <w:lang w:val="en-US" w:eastAsia="zh-CN"/>
              </w:rPr>
              <w:t>8490920</w:t>
            </w:r>
          </w:p>
        </w:tc>
        <w:tc>
          <w:tcPr>
            <w:tcW w:w="105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center"/>
              <w:rPr>
                <w:rFonts w:hint="default" w:ascii="Times New Roman" w:hAnsi="Times New Roman" w:eastAsia="仿宋_GB2312" w:cs="Times New Roman"/>
                <w:b w:val="0"/>
                <w:i w:val="0"/>
                <w:iCs w:val="0"/>
                <w:color w:val="auto"/>
                <w:sz w:val="24"/>
                <w:szCs w:val="24"/>
                <w:u w:val="none"/>
              </w:rPr>
            </w:pPr>
            <w:r>
              <w:rPr>
                <w:rFonts w:hint="default" w:ascii="Times New Roman" w:hAnsi="Times New Roman" w:eastAsia="仿宋_GB2312" w:cs="Times New Roman"/>
                <w:b w:val="0"/>
                <w:i w:val="0"/>
                <w:iCs w:val="0"/>
                <w:color w:val="auto"/>
                <w:kern w:val="0"/>
                <w:sz w:val="24"/>
                <w:szCs w:val="24"/>
                <w:u w:val="none"/>
                <w:lang w:val="en-US" w:eastAsia="zh-CN" w:bidi="ar"/>
              </w:rPr>
              <w:t>万只</w:t>
            </w:r>
          </w:p>
        </w:tc>
      </w:tr>
    </w:tbl>
    <w:p>
      <w:pPr>
        <w:pStyle w:val="27"/>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int="default"/>
          <w:color w:val="auto"/>
          <w:lang w:val="en-US" w:eastAsia="zh-CN"/>
        </w:rPr>
      </w:pPr>
      <w:r>
        <w:rPr>
          <w:rFonts w:hint="default"/>
          <w:color w:val="auto"/>
          <w:lang w:val="en-US" w:eastAsia="zh-CN"/>
        </w:rPr>
        <w:drawing>
          <wp:inline distT="0" distB="0" distL="114300" distR="114300">
            <wp:extent cx="6230620" cy="5617210"/>
            <wp:effectExtent l="0" t="0" r="17780" b="2540"/>
            <wp:docPr id="61" name="图片 61" descr="99445e9bc5ffcc0c80cc870ac2664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99445e9bc5ffcc0c80cc870ac26649c8"/>
                    <pic:cNvPicPr>
                      <a:picLocks noChangeAspect="1"/>
                    </pic:cNvPicPr>
                  </pic:nvPicPr>
                  <pic:blipFill>
                    <a:blip r:embed="rId40"/>
                    <a:stretch>
                      <a:fillRect/>
                    </a:stretch>
                  </pic:blipFill>
                  <pic:spPr>
                    <a:xfrm>
                      <a:off x="0" y="0"/>
                      <a:ext cx="6230620" cy="5617210"/>
                    </a:xfrm>
                    <a:prstGeom prst="rect">
                      <a:avLst/>
                    </a:prstGeom>
                  </pic:spPr>
                </pic:pic>
              </a:graphicData>
            </a:graphic>
          </wp:inline>
        </w:drawing>
      </w:r>
    </w:p>
    <w:p>
      <w:pPr>
        <w:pStyle w:val="7"/>
        <w:bidi w:val="0"/>
        <w:rPr>
          <w:rFonts w:hint="default" w:eastAsia="宋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7</w:t>
      </w:r>
      <w:r>
        <w:rPr>
          <w:color w:val="auto"/>
        </w:rPr>
        <w:fldChar w:fldCharType="end"/>
      </w:r>
      <w:r>
        <w:rPr>
          <w:rFonts w:hint="eastAsia"/>
          <w:color w:val="auto"/>
          <w:lang w:val="en-US" w:eastAsia="zh-CN"/>
        </w:rPr>
        <w:t xml:space="preserve"> 重点调研企业分布图</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重点企业调研情况</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eastAsia" w:ascii="Times New Roman" w:hAnsi="Times New Roman" w:cs="Times New Roman"/>
          <w:b/>
          <w:bCs/>
          <w:color w:val="auto"/>
          <w:lang w:val="en-US" w:eastAsia="zh-CN"/>
        </w:rPr>
        <w:t>1</w:t>
      </w:r>
      <w:r>
        <w:rPr>
          <w:rFonts w:hint="default" w:ascii="Times New Roman" w:hAnsi="Times New Roman" w:cs="Times New Roman"/>
          <w:b/>
          <w:bCs/>
          <w:color w:val="auto"/>
          <w:lang w:val="en-US" w:eastAsia="zh-CN"/>
        </w:rPr>
        <w:t>.</w:t>
      </w:r>
      <w:r>
        <w:rPr>
          <w:rFonts w:hint="default" w:ascii="Times New Roman" w:hAnsi="Times New Roman" w:cs="Times New Roman"/>
          <w:b/>
          <w:bCs/>
          <w:color w:val="auto"/>
        </w:rPr>
        <w:t>晶硅光伏产业</w:t>
      </w:r>
    </w:p>
    <w:p>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先后调研了四川永祥新能源有限公司</w:t>
      </w:r>
      <w:r>
        <w:rPr>
          <w:rFonts w:hint="eastAsia" w:cs="Times New Roman"/>
          <w:color w:val="auto"/>
          <w:lang w:eastAsia="zh-CN"/>
        </w:rPr>
        <w:t>（以下简称永祥新能源）</w:t>
      </w:r>
      <w:r>
        <w:rPr>
          <w:rFonts w:hint="eastAsia" w:ascii="Times New Roman" w:hAnsi="Times New Roman" w:cs="Times New Roman"/>
          <w:color w:val="auto"/>
          <w:lang w:eastAsia="zh-CN"/>
        </w:rPr>
        <w:t>、</w:t>
      </w:r>
      <w:r>
        <w:rPr>
          <w:rFonts w:hint="default" w:ascii="Times New Roman" w:hAnsi="Times New Roman" w:cs="Times New Roman"/>
          <w:color w:val="auto"/>
        </w:rPr>
        <w:t>四川永祥能源科技有限公司</w:t>
      </w:r>
      <w:r>
        <w:rPr>
          <w:rFonts w:hint="eastAsia" w:ascii="Times New Roman" w:hAnsi="Times New Roman" w:cs="Times New Roman"/>
          <w:color w:val="auto"/>
          <w:lang w:eastAsia="zh-CN"/>
        </w:rPr>
        <w:t>、</w:t>
      </w:r>
      <w:r>
        <w:rPr>
          <w:rFonts w:hint="default" w:ascii="Times New Roman" w:hAnsi="Times New Roman" w:cs="Times New Roman"/>
          <w:color w:val="auto"/>
        </w:rPr>
        <w:t>四川永祥光伏科技有限公司等，相关企业原材料与产成品的总货运量为</w:t>
      </w:r>
      <w:r>
        <w:rPr>
          <w:rFonts w:hint="eastAsia" w:ascii="Times New Roman" w:hAnsi="Times New Roman" w:cs="Times New Roman"/>
          <w:color w:val="auto"/>
          <w:lang w:val="en-US" w:eastAsia="zh-CN"/>
        </w:rPr>
        <w:t>111</w:t>
      </w:r>
      <w:r>
        <w:rPr>
          <w:rFonts w:hint="default" w:ascii="Times New Roman" w:hAnsi="Times New Roman" w:cs="Times New Roman"/>
          <w:color w:val="auto"/>
        </w:rPr>
        <w:t>万吨，其中原材料</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硅料、煤炭等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66</w:t>
      </w:r>
      <w:r>
        <w:rPr>
          <w:rFonts w:hint="default" w:ascii="Times New Roman" w:hAnsi="Times New Roman" w:cs="Times New Roman"/>
          <w:color w:val="auto"/>
        </w:rPr>
        <w:t>万吨，产成品</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工业硅、多晶硅等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45</w:t>
      </w:r>
      <w:r>
        <w:rPr>
          <w:rFonts w:hint="default" w:ascii="Times New Roman" w:hAnsi="Times New Roman" w:cs="Times New Roman"/>
          <w:color w:val="auto"/>
        </w:rPr>
        <w:t>万吨。原材料主要来自乐山，通过公路运输</w:t>
      </w:r>
      <w:r>
        <w:rPr>
          <w:rFonts w:hint="eastAsia" w:ascii="Times New Roman" w:hAnsi="Times New Roman" w:cs="Times New Roman"/>
          <w:color w:val="auto"/>
          <w:lang w:eastAsia="zh-CN"/>
        </w:rPr>
        <w:t>；</w:t>
      </w:r>
      <w:r>
        <w:rPr>
          <w:rFonts w:hint="default" w:ascii="Times New Roman" w:hAnsi="Times New Roman" w:cs="Times New Roman"/>
          <w:color w:val="auto"/>
        </w:rPr>
        <w:t>产</w:t>
      </w:r>
      <w:r>
        <w:rPr>
          <w:rFonts w:hint="eastAsia" w:ascii="Times New Roman" w:hAnsi="Times New Roman" w:cs="Times New Roman"/>
          <w:color w:val="auto"/>
          <w:lang w:val="en-US" w:eastAsia="zh-CN"/>
        </w:rPr>
        <w:t>成</w:t>
      </w:r>
      <w:r>
        <w:rPr>
          <w:rFonts w:hint="default" w:ascii="Times New Roman" w:hAnsi="Times New Roman" w:cs="Times New Roman"/>
          <w:color w:val="auto"/>
        </w:rPr>
        <w:t>品运至</w:t>
      </w:r>
      <w:r>
        <w:rPr>
          <w:rFonts w:hint="eastAsia" w:ascii="Times New Roman" w:hAnsi="Times New Roman" w:cs="Times New Roman"/>
          <w:color w:val="auto"/>
          <w:lang w:val="en-US" w:eastAsia="zh-CN"/>
        </w:rPr>
        <w:t>青海、宁夏、新疆</w:t>
      </w:r>
      <w:r>
        <w:rPr>
          <w:rFonts w:hint="eastAsia" w:cs="Times New Roman"/>
          <w:color w:val="auto"/>
          <w:lang w:val="en-US" w:eastAsia="zh-CN"/>
        </w:rPr>
        <w:t>等地</w:t>
      </w:r>
      <w:r>
        <w:rPr>
          <w:rFonts w:hint="default" w:ascii="Times New Roman" w:hAnsi="Times New Roman" w:cs="Times New Roman"/>
          <w:color w:val="auto"/>
        </w:rPr>
        <w:t>，主要通过</w:t>
      </w:r>
      <w:r>
        <w:rPr>
          <w:rFonts w:hint="eastAsia" w:cs="Times New Roman"/>
          <w:color w:val="auto"/>
          <w:lang w:val="en-US" w:eastAsia="zh-CN"/>
        </w:rPr>
        <w:t>公</w:t>
      </w:r>
      <w:r>
        <w:rPr>
          <w:rFonts w:hint="eastAsia" w:ascii="Times New Roman" w:hAnsi="Times New Roman" w:cs="Times New Roman"/>
          <w:color w:val="auto"/>
          <w:lang w:val="en-US" w:eastAsia="zh-CN"/>
        </w:rPr>
        <w:t>路</w:t>
      </w:r>
      <w:r>
        <w:rPr>
          <w:rFonts w:hint="default" w:ascii="Times New Roman" w:hAnsi="Times New Roman" w:cs="Times New Roman"/>
          <w:color w:val="auto"/>
        </w:rPr>
        <w:t>运输。</w:t>
      </w:r>
    </w:p>
    <w:p>
      <w:pPr>
        <w:bidi w:val="0"/>
        <w:rPr>
          <w:rFonts w:hint="default" w:ascii="Times New Roman" w:hAnsi="Times New Roman" w:cs="Times New Roman"/>
          <w:b/>
          <w:bCs/>
          <w:color w:val="auto"/>
        </w:rPr>
      </w:pPr>
      <w:r>
        <w:rPr>
          <w:rFonts w:hint="eastAsia" w:ascii="Times New Roman" w:hAnsi="Times New Roman" w:cs="Times New Roman"/>
          <w:b/>
          <w:bCs/>
          <w:color w:val="auto"/>
          <w:lang w:val="en-US" w:eastAsia="zh-CN"/>
        </w:rPr>
        <w:t>2</w:t>
      </w:r>
      <w:r>
        <w:rPr>
          <w:rFonts w:hint="default" w:ascii="Times New Roman" w:hAnsi="Times New Roman" w:cs="Times New Roman"/>
          <w:b/>
          <w:bCs/>
          <w:color w:val="auto"/>
          <w:lang w:val="en-US" w:eastAsia="zh-CN"/>
        </w:rPr>
        <w:t>.</w:t>
      </w:r>
      <w:r>
        <w:rPr>
          <w:rFonts w:hint="default" w:ascii="Times New Roman" w:hAnsi="Times New Roman" w:cs="Times New Roman"/>
          <w:b/>
          <w:bCs/>
          <w:color w:val="auto"/>
        </w:rPr>
        <w:t>绿色化工产业</w:t>
      </w:r>
    </w:p>
    <w:p>
      <w:pPr>
        <w:bidi w:val="0"/>
        <w:rPr>
          <w:rFonts w:hint="default" w:ascii="Times New Roman" w:hAnsi="Times New Roman" w:cs="Times New Roman"/>
          <w:color w:val="auto"/>
        </w:rPr>
      </w:pPr>
      <w:r>
        <w:rPr>
          <w:rFonts w:hint="default" w:ascii="Times New Roman" w:hAnsi="Times New Roman" w:cs="Times New Roman"/>
          <w:color w:val="auto"/>
        </w:rPr>
        <w:t>先后调研了福华通达化学股份公司</w:t>
      </w:r>
      <w:r>
        <w:rPr>
          <w:rFonts w:hint="eastAsia" w:cs="Times New Roman"/>
          <w:color w:val="auto"/>
          <w:lang w:eastAsia="zh-CN"/>
        </w:rPr>
        <w:t>（以下简称福华通达化学）</w:t>
      </w:r>
      <w:r>
        <w:rPr>
          <w:rFonts w:hint="eastAsia" w:ascii="Times New Roman" w:hAnsi="Times New Roman" w:cs="Times New Roman"/>
          <w:color w:val="auto"/>
          <w:lang w:eastAsia="zh-CN"/>
        </w:rPr>
        <w:t>、</w:t>
      </w:r>
      <w:r>
        <w:rPr>
          <w:rFonts w:hint="default" w:ascii="Times New Roman" w:hAnsi="Times New Roman" w:cs="Times New Roman"/>
          <w:color w:val="auto"/>
        </w:rPr>
        <w:t>四川和邦生物科技股份有限公司</w:t>
      </w:r>
      <w:r>
        <w:rPr>
          <w:rFonts w:hint="eastAsia" w:cs="Times New Roman"/>
          <w:color w:val="auto"/>
          <w:lang w:eastAsia="zh-CN"/>
        </w:rPr>
        <w:t>（以下简称和邦生物）</w:t>
      </w:r>
      <w:r>
        <w:rPr>
          <w:rFonts w:hint="eastAsia" w:ascii="Times New Roman" w:hAnsi="Times New Roman" w:cs="Times New Roman"/>
          <w:color w:val="auto"/>
          <w:lang w:eastAsia="zh-CN"/>
        </w:rPr>
        <w:t>、</w:t>
      </w:r>
      <w:r>
        <w:rPr>
          <w:rFonts w:hint="default" w:ascii="Times New Roman" w:hAnsi="Times New Roman" w:cs="Times New Roman"/>
          <w:color w:val="auto"/>
        </w:rPr>
        <w:t>乐山和邦农业科技有限公司等，相关企业原材料与产成品的总货运量为</w:t>
      </w:r>
      <w:r>
        <w:rPr>
          <w:rFonts w:hint="eastAsia" w:ascii="Times New Roman" w:hAnsi="Times New Roman" w:cs="Times New Roman"/>
          <w:color w:val="auto"/>
          <w:lang w:val="en-US" w:eastAsia="zh-CN"/>
        </w:rPr>
        <w:t>53</w:t>
      </w:r>
      <w:r>
        <w:rPr>
          <w:rFonts w:hint="eastAsia" w:cs="Times New Roman"/>
          <w:color w:val="auto"/>
          <w:lang w:val="en-US" w:eastAsia="zh-CN"/>
        </w:rPr>
        <w:t>4</w:t>
      </w:r>
      <w:r>
        <w:rPr>
          <w:rFonts w:hint="default" w:ascii="Times New Roman" w:hAnsi="Times New Roman" w:cs="Times New Roman"/>
          <w:color w:val="auto"/>
        </w:rPr>
        <w:t>万吨，其中原材料</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甲醇、煤炭等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245</w:t>
      </w:r>
      <w:r>
        <w:rPr>
          <w:rFonts w:hint="default" w:ascii="Times New Roman" w:hAnsi="Times New Roman" w:cs="Times New Roman"/>
          <w:color w:val="auto"/>
        </w:rPr>
        <w:t>万吨，产成品</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烧碱、纯碱</w:t>
      </w:r>
      <w:r>
        <w:rPr>
          <w:rFonts w:hint="eastAsia" w:cs="Times New Roman"/>
          <w:color w:val="auto"/>
          <w:lang w:val="en-US" w:eastAsia="zh-CN"/>
        </w:rPr>
        <w:t>、草甘膦</w:t>
      </w:r>
      <w:r>
        <w:rPr>
          <w:rFonts w:hint="eastAsia" w:ascii="Times New Roman" w:hAnsi="Times New Roman" w:cs="Times New Roman"/>
          <w:color w:val="auto"/>
          <w:lang w:val="en-US" w:eastAsia="zh-CN"/>
        </w:rPr>
        <w:t>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289</w:t>
      </w:r>
      <w:r>
        <w:rPr>
          <w:rFonts w:hint="default" w:ascii="Times New Roman" w:hAnsi="Times New Roman" w:cs="Times New Roman"/>
          <w:color w:val="auto"/>
        </w:rPr>
        <w:t>万吨。原材料</w:t>
      </w:r>
      <w:r>
        <w:rPr>
          <w:rFonts w:hint="eastAsia" w:ascii="Times New Roman" w:hAnsi="Times New Roman" w:cs="Times New Roman"/>
          <w:color w:val="auto"/>
          <w:lang w:val="en-US" w:eastAsia="zh-CN"/>
        </w:rPr>
        <w:t>来自乐山、陕西</w:t>
      </w:r>
      <w:r>
        <w:rPr>
          <w:rFonts w:hint="eastAsia" w:cs="Times New Roman"/>
          <w:color w:val="auto"/>
          <w:lang w:val="en-US" w:eastAsia="zh-CN"/>
        </w:rPr>
        <w:t>等地</w:t>
      </w:r>
      <w:r>
        <w:rPr>
          <w:rFonts w:hint="eastAsia" w:ascii="Times New Roman" w:hAnsi="Times New Roman" w:cs="Times New Roman"/>
          <w:color w:val="auto"/>
          <w:lang w:val="en-US" w:eastAsia="zh-CN"/>
        </w:rPr>
        <w:t>，主要通过公路、铁路运输</w:t>
      </w:r>
      <w:r>
        <w:rPr>
          <w:rFonts w:hint="eastAsia" w:ascii="Times New Roman" w:hAnsi="Times New Roman" w:cs="Times New Roman"/>
          <w:color w:val="auto"/>
          <w:lang w:eastAsia="zh-CN"/>
        </w:rPr>
        <w:t>；</w:t>
      </w:r>
      <w:r>
        <w:rPr>
          <w:rFonts w:hint="default" w:ascii="Times New Roman" w:hAnsi="Times New Roman" w:cs="Times New Roman"/>
          <w:color w:val="auto"/>
        </w:rPr>
        <w:t>产</w:t>
      </w:r>
      <w:r>
        <w:rPr>
          <w:rFonts w:hint="eastAsia" w:ascii="Times New Roman" w:hAnsi="Times New Roman" w:cs="Times New Roman"/>
          <w:color w:val="auto"/>
          <w:lang w:val="en-US" w:eastAsia="zh-CN"/>
        </w:rPr>
        <w:t>成</w:t>
      </w:r>
      <w:r>
        <w:rPr>
          <w:rFonts w:hint="default" w:ascii="Times New Roman" w:hAnsi="Times New Roman" w:cs="Times New Roman"/>
          <w:color w:val="auto"/>
        </w:rPr>
        <w:t>品运至</w:t>
      </w:r>
      <w:r>
        <w:rPr>
          <w:rFonts w:hint="eastAsia" w:ascii="Times New Roman" w:hAnsi="Times New Roman" w:cs="Times New Roman"/>
          <w:color w:val="auto"/>
          <w:lang w:val="en-US" w:eastAsia="zh-CN"/>
        </w:rPr>
        <w:t>重庆、贵州</w:t>
      </w:r>
      <w:r>
        <w:rPr>
          <w:rFonts w:hint="eastAsia" w:cs="Times New Roman"/>
          <w:color w:val="auto"/>
          <w:lang w:val="en-US" w:eastAsia="zh-CN"/>
        </w:rPr>
        <w:t>等地</w:t>
      </w:r>
      <w:r>
        <w:rPr>
          <w:rFonts w:hint="default" w:ascii="Times New Roman" w:hAnsi="Times New Roman" w:cs="Times New Roman"/>
          <w:color w:val="auto"/>
        </w:rPr>
        <w:t>，主要通过公路运输</w:t>
      </w:r>
      <w:r>
        <w:rPr>
          <w:rFonts w:hint="eastAsia" w:cs="Times New Roman"/>
          <w:color w:val="auto"/>
          <w:lang w:eastAsia="zh-CN"/>
        </w:rPr>
        <w:t>，</w:t>
      </w:r>
      <w:r>
        <w:rPr>
          <w:rFonts w:hint="eastAsia" w:cs="Times New Roman"/>
          <w:color w:val="auto"/>
          <w:lang w:val="en-US" w:eastAsia="zh-CN"/>
        </w:rPr>
        <w:t>部分普通化工品通过水路运输</w:t>
      </w:r>
      <w:r>
        <w:rPr>
          <w:rFonts w:hint="default" w:ascii="Times New Roman" w:hAnsi="Times New Roman" w:cs="Times New Roman"/>
          <w:color w:val="auto"/>
        </w:rPr>
        <w:t>。</w:t>
      </w:r>
    </w:p>
    <w:p>
      <w:pPr>
        <w:bidi w:val="0"/>
        <w:rPr>
          <w:rFonts w:hint="default" w:ascii="Times New Roman" w:hAnsi="Times New Roman" w:cs="Times New Roman"/>
          <w:b/>
          <w:bCs/>
          <w:color w:val="auto"/>
        </w:rPr>
      </w:pPr>
      <w:r>
        <w:rPr>
          <w:rFonts w:hint="eastAsia" w:cs="Times New Roman"/>
          <w:b/>
          <w:bCs/>
          <w:color w:val="auto"/>
          <w:lang w:val="en-US" w:eastAsia="zh-CN"/>
        </w:rPr>
        <w:t>3</w:t>
      </w:r>
      <w:r>
        <w:rPr>
          <w:rFonts w:hint="default" w:ascii="Times New Roman" w:hAnsi="Times New Roman" w:cs="Times New Roman"/>
          <w:b/>
          <w:bCs/>
          <w:color w:val="auto"/>
          <w:lang w:val="en-US" w:eastAsia="zh-CN"/>
        </w:rPr>
        <w:t>.</w:t>
      </w:r>
      <w:r>
        <w:rPr>
          <w:rFonts w:hint="default" w:ascii="Times New Roman" w:hAnsi="Times New Roman" w:cs="Times New Roman"/>
          <w:b/>
          <w:bCs/>
          <w:color w:val="auto"/>
        </w:rPr>
        <w:t>新型建材产业</w:t>
      </w:r>
    </w:p>
    <w:p>
      <w:pPr>
        <w:bidi w:val="0"/>
        <w:rPr>
          <w:rFonts w:hint="eastAsia" w:ascii="Times New Roman" w:hAnsi="Times New Roman" w:cs="Times New Roman"/>
          <w:color w:val="auto"/>
          <w:lang w:val="en-US" w:eastAsia="zh-CN"/>
        </w:rPr>
      </w:pPr>
      <w:r>
        <w:rPr>
          <w:rFonts w:hint="default" w:ascii="Times New Roman" w:hAnsi="Times New Roman" w:cs="Times New Roman"/>
          <w:color w:val="auto"/>
        </w:rPr>
        <w:t>先后调研了四川峨胜水泥集团股份有限公司、四川恒大矿业有限公司、四川省犍为宝马水泥有限责任公司等，相关企业原材料与产成品的总货运量为</w:t>
      </w:r>
      <w:r>
        <w:rPr>
          <w:rFonts w:hint="eastAsia" w:ascii="Times New Roman" w:hAnsi="Times New Roman" w:cs="Times New Roman"/>
          <w:color w:val="auto"/>
          <w:lang w:val="en-US" w:eastAsia="zh-CN"/>
        </w:rPr>
        <w:t>1903</w:t>
      </w:r>
      <w:r>
        <w:rPr>
          <w:rFonts w:hint="default" w:ascii="Times New Roman" w:hAnsi="Times New Roman" w:cs="Times New Roman"/>
          <w:color w:val="auto"/>
        </w:rPr>
        <w:t>万吨，其中原材料</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煤炭、石灰石等</w:t>
      </w:r>
      <w:r>
        <w:rPr>
          <w:rFonts w:hint="eastAsia" w:ascii="Times New Roman" w:hAnsi="Times New Roman" w:cs="Times New Roman"/>
          <w:color w:val="auto"/>
          <w:lang w:eastAsia="zh-CN"/>
        </w:rPr>
        <w:t>）</w:t>
      </w:r>
      <w:r>
        <w:rPr>
          <w:rFonts w:hint="eastAsia" w:cs="Times New Roman"/>
          <w:color w:val="auto"/>
          <w:lang w:val="en-US" w:eastAsia="zh-CN"/>
        </w:rPr>
        <w:t>653</w:t>
      </w:r>
      <w:r>
        <w:rPr>
          <w:rFonts w:hint="default" w:ascii="Times New Roman" w:hAnsi="Times New Roman" w:cs="Times New Roman"/>
          <w:color w:val="auto"/>
        </w:rPr>
        <w:t>万吨，产成品</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水泥、瓷砖等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1250</w:t>
      </w:r>
      <w:r>
        <w:rPr>
          <w:rFonts w:hint="default" w:ascii="Times New Roman" w:hAnsi="Times New Roman" w:cs="Times New Roman"/>
          <w:color w:val="auto"/>
        </w:rPr>
        <w:t>万吨。原材料来自</w:t>
      </w:r>
      <w:r>
        <w:rPr>
          <w:rFonts w:hint="eastAsia" w:ascii="Times New Roman" w:hAnsi="Times New Roman" w:cs="Times New Roman"/>
          <w:color w:val="auto"/>
          <w:lang w:val="en-US" w:eastAsia="zh-CN"/>
        </w:rPr>
        <w:t>乐山本地</w:t>
      </w:r>
      <w:r>
        <w:rPr>
          <w:rFonts w:hint="eastAsia" w:cs="Times New Roman"/>
          <w:color w:val="auto"/>
          <w:lang w:val="en-US" w:eastAsia="zh-CN"/>
        </w:rPr>
        <w:t>以及</w:t>
      </w:r>
      <w:r>
        <w:rPr>
          <w:rFonts w:hint="eastAsia" w:ascii="Times New Roman" w:hAnsi="Times New Roman" w:cs="Times New Roman"/>
          <w:color w:val="auto"/>
          <w:lang w:val="en-US" w:eastAsia="zh-CN"/>
        </w:rPr>
        <w:t>陕西、云南</w:t>
      </w:r>
      <w:r>
        <w:rPr>
          <w:rFonts w:hint="eastAsia" w:cs="Times New Roman"/>
          <w:color w:val="auto"/>
          <w:lang w:val="en-US" w:eastAsia="zh-CN"/>
        </w:rPr>
        <w:t>等地</w:t>
      </w:r>
      <w:r>
        <w:rPr>
          <w:rFonts w:hint="eastAsia" w:ascii="Times New Roman" w:hAnsi="Times New Roman" w:cs="Times New Roman"/>
          <w:color w:val="auto"/>
          <w:lang w:val="en-US" w:eastAsia="zh-CN"/>
        </w:rPr>
        <w:t>，主要通过公路、铁路运输；产成品运至成都、乐山、眉山</w:t>
      </w:r>
      <w:r>
        <w:rPr>
          <w:rFonts w:hint="eastAsia" w:cs="Times New Roman"/>
          <w:color w:val="auto"/>
          <w:lang w:val="en-US" w:eastAsia="zh-CN"/>
        </w:rPr>
        <w:t>等地</w:t>
      </w:r>
      <w:r>
        <w:rPr>
          <w:rFonts w:hint="eastAsia" w:ascii="Times New Roman" w:hAnsi="Times New Roman" w:cs="Times New Roman"/>
          <w:color w:val="auto"/>
          <w:lang w:val="en-US" w:eastAsia="zh-CN"/>
        </w:rPr>
        <w:t>，主要通过公路运输。</w:t>
      </w:r>
    </w:p>
    <w:p>
      <w:pPr>
        <w:bidi w:val="0"/>
        <w:rPr>
          <w:rFonts w:hint="default" w:ascii="Times New Roman" w:hAnsi="Times New Roman" w:cs="Times New Roman"/>
          <w:color w:val="auto"/>
          <w:lang w:val="en-US" w:eastAsia="zh-CN"/>
        </w:rPr>
      </w:pPr>
      <w:r>
        <w:rPr>
          <w:rFonts w:hint="eastAsia" w:cs="Times New Roman"/>
          <w:color w:val="auto"/>
          <w:lang w:val="en-US" w:eastAsia="zh-CN"/>
        </w:rPr>
        <w:t>此外，还</w:t>
      </w:r>
      <w:r>
        <w:rPr>
          <w:rFonts w:hint="default" w:ascii="Times New Roman" w:hAnsi="Times New Roman" w:cs="Times New Roman"/>
          <w:color w:val="auto"/>
          <w:lang w:val="en-US" w:eastAsia="zh-CN"/>
        </w:rPr>
        <w:t>调研了四川德胜集团钒钛有限公司</w:t>
      </w:r>
      <w:r>
        <w:rPr>
          <w:rFonts w:hint="eastAsia" w:cs="Times New Roman"/>
          <w:color w:val="auto"/>
          <w:lang w:val="en-US" w:eastAsia="zh-CN"/>
        </w:rPr>
        <w:t>（以下简称德胜集团）</w:t>
      </w:r>
      <w:r>
        <w:rPr>
          <w:rFonts w:hint="eastAsia" w:ascii="Times New Roman" w:hAnsi="Times New Roman" w:cs="Times New Roman"/>
          <w:color w:val="auto"/>
          <w:lang w:val="en-US" w:eastAsia="zh-CN"/>
        </w:rPr>
        <w:t>、四川罡宸不锈钢有限责任公司</w:t>
      </w:r>
      <w:r>
        <w:rPr>
          <w:rFonts w:hint="eastAsia" w:cs="Times New Roman"/>
          <w:color w:val="auto"/>
          <w:lang w:val="en-US" w:eastAsia="zh-CN"/>
        </w:rPr>
        <w:t>（以下简称四川</w:t>
      </w:r>
      <w:r>
        <w:rPr>
          <w:rFonts w:hint="eastAsia" w:ascii="Times New Roman" w:hAnsi="Times New Roman" w:cs="Times New Roman"/>
          <w:color w:val="auto"/>
          <w:lang w:val="en-US" w:eastAsia="zh-CN"/>
        </w:rPr>
        <w:t>罡宸</w:t>
      </w:r>
      <w:r>
        <w:rPr>
          <w:rFonts w:hint="eastAsia" w:cs="Times New Roman"/>
          <w:color w:val="auto"/>
          <w:lang w:val="en-US" w:eastAsia="zh-CN"/>
        </w:rPr>
        <w:t>）</w:t>
      </w:r>
      <w:r>
        <w:rPr>
          <w:rFonts w:hint="eastAsia" w:ascii="Times New Roman" w:hAnsi="Times New Roman" w:cs="Times New Roman"/>
          <w:color w:val="auto"/>
          <w:lang w:val="en-US" w:eastAsia="zh-CN"/>
        </w:rPr>
        <w:t>、四川川投峨眉铁合金（集团）有限责任公司等</w:t>
      </w:r>
      <w:r>
        <w:rPr>
          <w:rFonts w:hint="eastAsia" w:cs="Times New Roman"/>
          <w:color w:val="auto"/>
          <w:lang w:val="en-US" w:eastAsia="zh-CN"/>
        </w:rPr>
        <w:t>钢材生产企业</w:t>
      </w:r>
      <w:r>
        <w:rPr>
          <w:rFonts w:hint="default" w:ascii="Times New Roman" w:hAnsi="Times New Roman" w:cs="Times New Roman"/>
          <w:color w:val="auto"/>
          <w:lang w:val="en-US" w:eastAsia="zh-CN"/>
        </w:rPr>
        <w:t>，</w:t>
      </w:r>
      <w:r>
        <w:rPr>
          <w:rFonts w:hint="default" w:ascii="Times New Roman" w:hAnsi="Times New Roman" w:cs="Times New Roman"/>
          <w:color w:val="auto"/>
        </w:rPr>
        <w:t>相关企业原材料与产成品的总货运量为</w:t>
      </w:r>
      <w:r>
        <w:rPr>
          <w:rFonts w:hint="eastAsia" w:ascii="Times New Roman" w:hAnsi="Times New Roman" w:cs="Times New Roman"/>
          <w:color w:val="auto"/>
          <w:lang w:val="en-US" w:eastAsia="zh-CN"/>
        </w:rPr>
        <w:t>970</w:t>
      </w:r>
      <w:r>
        <w:rPr>
          <w:rFonts w:hint="default" w:ascii="Times New Roman" w:hAnsi="Times New Roman" w:cs="Times New Roman"/>
          <w:color w:val="auto"/>
        </w:rPr>
        <w:t>万吨，</w:t>
      </w:r>
      <w:r>
        <w:rPr>
          <w:rFonts w:hint="eastAsia" w:ascii="Times New Roman" w:hAnsi="Times New Roman" w:cs="Times New Roman"/>
          <w:color w:val="auto"/>
          <w:lang w:val="en-US" w:eastAsia="zh-CN"/>
        </w:rPr>
        <w:t>其中</w:t>
      </w:r>
      <w:r>
        <w:rPr>
          <w:rFonts w:hint="default" w:ascii="Times New Roman" w:hAnsi="Times New Roman" w:cs="Times New Roman"/>
          <w:color w:val="auto"/>
        </w:rPr>
        <w:t>原材料</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金属矿、焦炭等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555</w:t>
      </w:r>
      <w:r>
        <w:rPr>
          <w:rFonts w:hint="default" w:ascii="Times New Roman" w:hAnsi="Times New Roman" w:cs="Times New Roman"/>
          <w:color w:val="auto"/>
        </w:rPr>
        <w:t>万吨，产成品</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钢材、铬铁等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415</w:t>
      </w:r>
      <w:r>
        <w:rPr>
          <w:rFonts w:hint="default" w:ascii="Times New Roman" w:hAnsi="Times New Roman" w:cs="Times New Roman"/>
          <w:color w:val="auto"/>
        </w:rPr>
        <w:t>万吨。</w:t>
      </w:r>
      <w:r>
        <w:rPr>
          <w:rFonts w:hint="default" w:ascii="Times New Roman" w:hAnsi="Times New Roman" w:cs="Times New Roman"/>
          <w:color w:val="auto"/>
          <w:lang w:val="en-US" w:eastAsia="zh-CN"/>
        </w:rPr>
        <w:t>原材料来自</w:t>
      </w:r>
      <w:r>
        <w:rPr>
          <w:rFonts w:hint="eastAsia" w:ascii="Times New Roman" w:hAnsi="Times New Roman" w:cs="Times New Roman"/>
          <w:color w:val="auto"/>
          <w:lang w:val="en-US" w:eastAsia="zh-CN"/>
        </w:rPr>
        <w:t>四川攀西、新疆、青海、甘肃</w:t>
      </w:r>
      <w:r>
        <w:rPr>
          <w:rFonts w:hint="eastAsia" w:cs="Times New Roman"/>
          <w:color w:val="auto"/>
          <w:lang w:val="en-US" w:eastAsia="zh-CN"/>
        </w:rPr>
        <w:t>等地，</w:t>
      </w:r>
      <w:r>
        <w:rPr>
          <w:rFonts w:hint="eastAsia" w:ascii="Times New Roman" w:hAnsi="Times New Roman" w:cs="Times New Roman"/>
          <w:color w:val="auto"/>
          <w:lang w:val="en-US" w:eastAsia="zh-CN"/>
        </w:rPr>
        <w:t>部分</w:t>
      </w:r>
      <w:r>
        <w:rPr>
          <w:rFonts w:hint="eastAsia" w:cs="Times New Roman"/>
          <w:color w:val="auto"/>
          <w:lang w:val="en-US" w:eastAsia="zh-CN"/>
        </w:rPr>
        <w:t>通过</w:t>
      </w:r>
      <w:r>
        <w:rPr>
          <w:rFonts w:hint="eastAsia" w:ascii="Times New Roman" w:hAnsi="Times New Roman" w:cs="Times New Roman"/>
          <w:color w:val="auto"/>
          <w:lang w:val="en-US" w:eastAsia="zh-CN"/>
        </w:rPr>
        <w:t>进口</w:t>
      </w:r>
      <w:r>
        <w:rPr>
          <w:rFonts w:hint="eastAsia" w:cs="Times New Roman"/>
          <w:color w:val="auto"/>
          <w:lang w:val="en-US" w:eastAsia="zh-CN"/>
        </w:rPr>
        <w:t>采购</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主要</w:t>
      </w:r>
      <w:r>
        <w:rPr>
          <w:rFonts w:hint="default" w:ascii="Times New Roman" w:hAnsi="Times New Roman" w:cs="Times New Roman"/>
          <w:color w:val="auto"/>
          <w:lang w:val="en-US" w:eastAsia="zh-CN"/>
        </w:rPr>
        <w:t>通过</w:t>
      </w:r>
      <w:r>
        <w:rPr>
          <w:rFonts w:hint="eastAsia" w:ascii="Times New Roman" w:hAnsi="Times New Roman" w:cs="Times New Roman"/>
          <w:color w:val="auto"/>
          <w:lang w:val="en-US" w:eastAsia="zh-CN"/>
        </w:rPr>
        <w:t>公铁、公水联运；</w:t>
      </w:r>
      <w:r>
        <w:rPr>
          <w:rFonts w:hint="default" w:ascii="Times New Roman" w:hAnsi="Times New Roman" w:cs="Times New Roman"/>
          <w:color w:val="auto"/>
          <w:lang w:val="en-US" w:eastAsia="zh-CN"/>
        </w:rPr>
        <w:t>产</w:t>
      </w:r>
      <w:r>
        <w:rPr>
          <w:rFonts w:hint="eastAsia" w:ascii="Times New Roman" w:hAnsi="Times New Roman" w:cs="Times New Roman"/>
          <w:color w:val="auto"/>
          <w:lang w:val="en-US" w:eastAsia="zh-CN"/>
        </w:rPr>
        <w:t>成</w:t>
      </w:r>
      <w:r>
        <w:rPr>
          <w:rFonts w:hint="default" w:ascii="Times New Roman" w:hAnsi="Times New Roman" w:cs="Times New Roman"/>
          <w:color w:val="auto"/>
          <w:lang w:val="en-US" w:eastAsia="zh-CN"/>
        </w:rPr>
        <w:t>品运至</w:t>
      </w:r>
      <w:r>
        <w:rPr>
          <w:rFonts w:hint="eastAsia" w:ascii="Times New Roman" w:hAnsi="Times New Roman" w:cs="Times New Roman"/>
          <w:color w:val="auto"/>
          <w:lang w:val="en-US" w:eastAsia="zh-CN"/>
        </w:rPr>
        <w:t>成都、重庆、攀西等地，</w:t>
      </w:r>
      <w:r>
        <w:rPr>
          <w:rFonts w:hint="default" w:ascii="Times New Roman" w:hAnsi="Times New Roman" w:cs="Times New Roman"/>
          <w:color w:val="auto"/>
          <w:lang w:val="en-US" w:eastAsia="zh-CN"/>
        </w:rPr>
        <w:t>主要通过</w:t>
      </w:r>
      <w:r>
        <w:rPr>
          <w:rFonts w:hint="eastAsia" w:ascii="Times New Roman" w:hAnsi="Times New Roman" w:cs="Times New Roman"/>
          <w:color w:val="auto"/>
          <w:lang w:val="en-US" w:eastAsia="zh-CN"/>
        </w:rPr>
        <w:t>公路运输</w:t>
      </w:r>
      <w:r>
        <w:rPr>
          <w:rFonts w:hint="default" w:ascii="Times New Roman" w:hAnsi="Times New Roman" w:cs="Times New Roman"/>
          <w:color w:val="auto"/>
          <w:lang w:val="en-US" w:eastAsia="zh-CN"/>
        </w:rPr>
        <w:t>。</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eastAsia" w:ascii="Times New Roman" w:hAnsi="Times New Roman" w:cs="Times New Roman"/>
          <w:b/>
          <w:bCs/>
          <w:color w:val="auto"/>
          <w:lang w:val="en-US" w:eastAsia="zh-CN"/>
        </w:rPr>
        <w:t>4</w:t>
      </w:r>
      <w:r>
        <w:rPr>
          <w:rFonts w:hint="default" w:ascii="Times New Roman" w:hAnsi="Times New Roman" w:cs="Times New Roman"/>
          <w:b/>
          <w:bCs/>
          <w:color w:val="auto"/>
          <w:lang w:val="en-US" w:eastAsia="zh-CN"/>
        </w:rPr>
        <w:t>.</w:t>
      </w:r>
      <w:r>
        <w:rPr>
          <w:rFonts w:hint="eastAsia" w:cs="Times New Roman"/>
          <w:b/>
          <w:bCs/>
          <w:color w:val="auto"/>
          <w:lang w:val="en-US" w:eastAsia="zh-CN"/>
        </w:rPr>
        <w:t>食品饮料</w:t>
      </w:r>
    </w:p>
    <w:p>
      <w:pPr>
        <w:bidi w:val="0"/>
        <w:rPr>
          <w:rFonts w:hint="default" w:ascii="Times New Roman" w:hAnsi="Times New Roman" w:cs="Times New Roman"/>
          <w:color w:val="auto"/>
        </w:rPr>
      </w:pPr>
      <w:r>
        <w:rPr>
          <w:rFonts w:hint="eastAsia" w:cs="Times New Roman"/>
          <w:color w:val="auto"/>
          <w:lang w:val="en-US" w:eastAsia="zh-CN"/>
        </w:rPr>
        <w:t>针对</w:t>
      </w:r>
      <w:r>
        <w:rPr>
          <w:rFonts w:hint="default" w:ascii="Times New Roman" w:hAnsi="Times New Roman" w:cs="Times New Roman"/>
          <w:color w:val="auto"/>
        </w:rPr>
        <w:t>瓶装水生产</w:t>
      </w:r>
      <w:r>
        <w:rPr>
          <w:rFonts w:hint="eastAsia" w:cs="Times New Roman"/>
          <w:color w:val="auto"/>
          <w:lang w:eastAsia="zh-CN"/>
        </w:rPr>
        <w:t>，</w:t>
      </w:r>
      <w:r>
        <w:rPr>
          <w:rFonts w:hint="eastAsia" w:cs="Times New Roman"/>
          <w:color w:val="auto"/>
          <w:lang w:val="en-US" w:eastAsia="zh-CN"/>
        </w:rPr>
        <w:t>调研了</w:t>
      </w:r>
      <w:r>
        <w:rPr>
          <w:rFonts w:hint="default" w:ascii="Times New Roman" w:hAnsi="Times New Roman" w:cs="Times New Roman"/>
          <w:color w:val="auto"/>
        </w:rPr>
        <w:t>峨眉山市农夫山泉四川饮品有限公司年产量200万吨，主要销售地区为重庆，年销量133万吨，其次是成都、绵阳。瓶装饮用水属于快销产品，运输半径小</w:t>
      </w:r>
      <w:r>
        <w:rPr>
          <w:rFonts w:hint="eastAsia" w:cs="Times New Roman"/>
          <w:color w:val="auto"/>
          <w:lang w:eastAsia="zh-CN"/>
        </w:rPr>
        <w:t>、</w:t>
      </w:r>
      <w:r>
        <w:rPr>
          <w:rFonts w:hint="default" w:ascii="Times New Roman" w:hAnsi="Times New Roman" w:cs="Times New Roman"/>
          <w:color w:val="auto"/>
        </w:rPr>
        <w:t>时效性要求高，均采用公路运输。</w:t>
      </w:r>
    </w:p>
    <w:p>
      <w:pPr>
        <w:bidi w:val="0"/>
        <w:rPr>
          <w:rFonts w:hint="eastAsia" w:ascii="Times New Roman" w:hAnsi="Times New Roman" w:cs="Times New Roman"/>
          <w:color w:val="auto"/>
          <w:lang w:val="en-US" w:eastAsia="zh-CN"/>
        </w:rPr>
      </w:pPr>
      <w:r>
        <w:rPr>
          <w:rFonts w:hint="eastAsia" w:cs="Times New Roman"/>
          <w:color w:val="auto"/>
          <w:lang w:val="en-US" w:eastAsia="zh-CN"/>
        </w:rPr>
        <w:t>针对</w:t>
      </w:r>
      <w:r>
        <w:rPr>
          <w:rFonts w:hint="default" w:ascii="Times New Roman" w:hAnsi="Times New Roman" w:cs="Times New Roman"/>
          <w:color w:val="auto"/>
        </w:rPr>
        <w:t>农副产品饲料加工</w:t>
      </w:r>
      <w:r>
        <w:rPr>
          <w:rFonts w:hint="eastAsia" w:cs="Times New Roman"/>
          <w:color w:val="auto"/>
          <w:lang w:eastAsia="zh-CN"/>
        </w:rPr>
        <w:t>，</w:t>
      </w:r>
      <w:r>
        <w:rPr>
          <w:rFonts w:hint="eastAsia" w:cs="Times New Roman"/>
          <w:color w:val="auto"/>
          <w:lang w:val="en-US" w:eastAsia="zh-CN"/>
        </w:rPr>
        <w:t>调研了</w:t>
      </w:r>
      <w:r>
        <w:rPr>
          <w:rFonts w:hint="default" w:ascii="Times New Roman" w:hAnsi="Times New Roman" w:cs="Times New Roman"/>
          <w:color w:val="auto"/>
        </w:rPr>
        <w:t>乐山鑫金兰农牧科技有限公司</w:t>
      </w:r>
      <w:r>
        <w:rPr>
          <w:rFonts w:hint="eastAsia" w:cs="Times New Roman"/>
          <w:color w:val="auto"/>
          <w:lang w:val="en-US" w:eastAsia="zh-CN"/>
        </w:rPr>
        <w:t>原材料豆粕主要由四川泸州、新津等地供应，少量从重庆采购，均采用公路运输，</w:t>
      </w:r>
      <w:r>
        <w:rPr>
          <w:rFonts w:hint="eastAsia" w:ascii="Times New Roman" w:hAnsi="Times New Roman" w:cs="Times New Roman"/>
          <w:color w:val="auto"/>
          <w:lang w:val="en-US" w:eastAsia="zh-CN"/>
        </w:rPr>
        <w:t>玉米主要从山西、宁夏、新疆采购，总运量12万吨。产品饲料14万吨，主要销售地区集中在乐山本地，少量向周边市州如眉山等</w:t>
      </w:r>
      <w:r>
        <w:rPr>
          <w:rFonts w:hint="eastAsia" w:cs="Times New Roman"/>
          <w:color w:val="auto"/>
          <w:lang w:val="en-US" w:eastAsia="zh-CN"/>
        </w:rPr>
        <w:t>地</w:t>
      </w:r>
      <w:r>
        <w:rPr>
          <w:rFonts w:hint="eastAsia" w:ascii="Times New Roman" w:hAnsi="Times New Roman" w:cs="Times New Roman"/>
          <w:color w:val="auto"/>
          <w:lang w:val="en-US" w:eastAsia="zh-CN"/>
        </w:rPr>
        <w:t>销售，均采用公路运输。</w:t>
      </w:r>
    </w:p>
    <w:p>
      <w:pPr>
        <w:bidi w:val="0"/>
        <w:rPr>
          <w:rFonts w:hint="eastAsia" w:ascii="Times New Roman" w:hAnsi="Times New Roman"/>
          <w:lang w:val="en-US" w:eastAsia="zh-CN"/>
        </w:rPr>
      </w:pPr>
      <w:r>
        <w:rPr>
          <w:rFonts w:hint="eastAsia" w:ascii="Times New Roman" w:hAnsi="Times New Roman"/>
          <w:lang w:val="en-US" w:eastAsia="zh-CN"/>
        </w:rPr>
        <w:t>针对酒水生产，先后调研了峨眉仙酒业有限公司、叠川（峨眉山）麦芽威士忌有限公司等，整体年运量较小（不足万吨），原材料采购主要来自川内城市，每月一次且主要通过公路运输，销售地以沿海地区为主</w:t>
      </w:r>
      <w:r>
        <w:rPr>
          <w:rFonts w:hint="eastAsia"/>
          <w:lang w:val="en-US" w:eastAsia="zh-CN"/>
        </w:rPr>
        <w:t>，均采用公路运输，少量出口产品经公路运输后转海运。</w:t>
      </w:r>
    </w:p>
    <w:p>
      <w:pPr>
        <w:bidi w:val="0"/>
        <w:rPr>
          <w:rFonts w:hint="eastAsia" w:ascii="Times New Roman" w:hAnsi="Times New Roman" w:eastAsia="仿宋_GB2312"/>
          <w:lang w:val="en-US" w:eastAsia="zh-CN"/>
        </w:rPr>
      </w:pPr>
      <w:r>
        <w:rPr>
          <w:rFonts w:hint="eastAsia" w:ascii="Times New Roman" w:hAnsi="Times New Roman"/>
          <w:lang w:val="en-US" w:eastAsia="zh-CN"/>
        </w:rPr>
        <w:t>针对茶叶加工，先后调研了</w:t>
      </w:r>
      <w:r>
        <w:rPr>
          <w:rFonts w:hint="eastAsia"/>
        </w:rPr>
        <w:t>四川省百岳茶业有限公司</w:t>
      </w:r>
      <w:r>
        <w:rPr>
          <w:rFonts w:hint="eastAsia"/>
          <w:lang w:val="en-US" w:eastAsia="zh-CN"/>
        </w:rPr>
        <w:t>和</w:t>
      </w:r>
      <w:r>
        <w:rPr>
          <w:rFonts w:hint="eastAsia"/>
        </w:rPr>
        <w:t>大西南茶叶市场</w:t>
      </w:r>
      <w:r>
        <w:rPr>
          <w:rFonts w:hint="eastAsia"/>
          <w:lang w:eastAsia="zh-CN"/>
        </w:rPr>
        <w:t>，</w:t>
      </w:r>
      <w:r>
        <w:rPr>
          <w:rFonts w:hint="eastAsia"/>
          <w:lang w:val="en-US" w:eastAsia="zh-CN"/>
        </w:rPr>
        <w:t>企业</w:t>
      </w:r>
      <w:r>
        <w:rPr>
          <w:rFonts w:hint="eastAsia"/>
        </w:rPr>
        <w:t>原材料年均采购茶叶7000吨，</w:t>
      </w:r>
      <w:r>
        <w:rPr>
          <w:rFonts w:hint="eastAsia"/>
          <w:lang w:val="en-US" w:eastAsia="zh-CN"/>
        </w:rPr>
        <w:t>以</w:t>
      </w:r>
      <w:r>
        <w:rPr>
          <w:rFonts w:hint="eastAsia"/>
        </w:rPr>
        <w:t>乐山、宜宾、泸州、雅安、自贡等川内地区</w:t>
      </w:r>
      <w:r>
        <w:rPr>
          <w:rFonts w:hint="eastAsia"/>
          <w:lang w:val="en-US" w:eastAsia="zh-CN"/>
        </w:rPr>
        <w:t>为主，</w:t>
      </w:r>
      <w:r>
        <w:rPr>
          <w:rFonts w:hint="eastAsia"/>
        </w:rPr>
        <w:t>均通过公路运输完成</w:t>
      </w:r>
      <w:r>
        <w:rPr>
          <w:rFonts w:hint="eastAsia"/>
          <w:lang w:eastAsia="zh-CN"/>
        </w:rPr>
        <w:t>，</w:t>
      </w:r>
      <w:r>
        <w:rPr>
          <w:rFonts w:hint="eastAsia"/>
        </w:rPr>
        <w:t>经加工后的茶叶主要通过公路运输销往浙江、湖南、湖北、安徽等省份</w:t>
      </w:r>
      <w:r>
        <w:rPr>
          <w:rFonts w:hint="eastAsia"/>
          <w:lang w:eastAsia="zh-CN"/>
        </w:rPr>
        <w:t>，</w:t>
      </w:r>
      <w:r>
        <w:rPr>
          <w:rFonts w:hint="eastAsia"/>
          <w:lang w:val="en-US" w:eastAsia="zh-CN"/>
        </w:rPr>
        <w:t>部分高端茶叶通过空运完成运输</w:t>
      </w:r>
      <w:r>
        <w:rPr>
          <w:rFonts w:hint="eastAsia"/>
          <w:lang w:eastAsia="zh-CN"/>
        </w:rPr>
        <w:t>。</w:t>
      </w:r>
    </w:p>
    <w:p>
      <w:pPr>
        <w:bidi w:val="0"/>
        <w:rPr>
          <w:rFonts w:hint="default" w:ascii="Times New Roman" w:hAnsi="Times New Roman" w:cs="Times New Roman"/>
          <w:b/>
          <w:bCs/>
          <w:color w:val="auto"/>
        </w:rPr>
      </w:pPr>
      <w:r>
        <w:rPr>
          <w:rFonts w:hint="eastAsia" w:cs="Times New Roman"/>
          <w:b/>
          <w:bCs/>
          <w:color w:val="auto"/>
          <w:lang w:val="en-US" w:eastAsia="zh-CN"/>
        </w:rPr>
        <w:t>5</w:t>
      </w:r>
      <w:r>
        <w:rPr>
          <w:rFonts w:hint="default" w:ascii="Times New Roman" w:hAnsi="Times New Roman" w:cs="Times New Roman"/>
          <w:b/>
          <w:bCs/>
          <w:color w:val="auto"/>
          <w:lang w:val="en-US" w:eastAsia="zh-CN"/>
        </w:rPr>
        <w:t>.</w:t>
      </w:r>
      <w:r>
        <w:rPr>
          <w:rFonts w:hint="default" w:ascii="Times New Roman" w:hAnsi="Times New Roman" w:cs="Times New Roman"/>
          <w:b/>
          <w:bCs/>
          <w:color w:val="auto"/>
        </w:rPr>
        <w:t>矿产开采产业</w:t>
      </w:r>
    </w:p>
    <w:p>
      <w:pPr>
        <w:bidi w:val="0"/>
        <w:rPr>
          <w:rFonts w:hint="default" w:ascii="Times New Roman" w:hAnsi="Times New Roman" w:cs="Times New Roman"/>
          <w:color w:val="auto"/>
        </w:rPr>
      </w:pPr>
      <w:r>
        <w:rPr>
          <w:rFonts w:hint="default" w:ascii="Times New Roman" w:hAnsi="Times New Roman" w:cs="Times New Roman"/>
          <w:color w:val="auto"/>
        </w:rPr>
        <w:t>先后调研了四川马边雨田矿业有限公司</w:t>
      </w:r>
      <w:r>
        <w:rPr>
          <w:rFonts w:hint="eastAsia" w:ascii="Times New Roman" w:hAnsi="Times New Roman" w:cs="Times New Roman"/>
          <w:color w:val="auto"/>
          <w:lang w:eastAsia="zh-CN"/>
        </w:rPr>
        <w:t>、</w:t>
      </w:r>
      <w:r>
        <w:rPr>
          <w:rFonts w:hint="default" w:ascii="Times New Roman" w:hAnsi="Times New Roman" w:cs="Times New Roman"/>
          <w:color w:val="auto"/>
        </w:rPr>
        <w:t>黄泥埂煤矿</w:t>
      </w:r>
      <w:r>
        <w:rPr>
          <w:rFonts w:hint="eastAsia" w:ascii="Times New Roman" w:hAnsi="Times New Roman" w:cs="Times New Roman"/>
          <w:color w:val="auto"/>
          <w:lang w:eastAsia="zh-CN"/>
        </w:rPr>
        <w:t>、</w:t>
      </w:r>
      <w:r>
        <w:rPr>
          <w:rFonts w:hint="default" w:ascii="Times New Roman" w:hAnsi="Times New Roman" w:cs="Times New Roman"/>
          <w:color w:val="auto"/>
        </w:rPr>
        <w:t>犍为塘坝煤业有限公司等，相关企业原材料与产成品的总货运量为</w:t>
      </w:r>
      <w:r>
        <w:rPr>
          <w:rFonts w:hint="eastAsia" w:ascii="Times New Roman" w:hAnsi="Times New Roman" w:cs="Times New Roman"/>
          <w:color w:val="auto"/>
          <w:lang w:val="en-US" w:eastAsia="zh-CN"/>
        </w:rPr>
        <w:t>340</w:t>
      </w:r>
      <w:r>
        <w:rPr>
          <w:rFonts w:hint="default" w:ascii="Times New Roman" w:hAnsi="Times New Roman" w:cs="Times New Roman"/>
          <w:color w:val="auto"/>
        </w:rPr>
        <w:t>万吨，其中原材料</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水泥、砖等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30</w:t>
      </w:r>
      <w:r>
        <w:rPr>
          <w:rFonts w:hint="default" w:ascii="Times New Roman" w:hAnsi="Times New Roman" w:cs="Times New Roman"/>
          <w:color w:val="auto"/>
        </w:rPr>
        <w:t>万吨，产成品</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磷矿、石灰石</w:t>
      </w:r>
      <w:r>
        <w:rPr>
          <w:rFonts w:hint="eastAsia" w:cs="Times New Roman"/>
          <w:color w:val="auto"/>
          <w:lang w:val="en-US" w:eastAsia="zh-CN"/>
        </w:rPr>
        <w:t>、细砂</w:t>
      </w:r>
      <w:r>
        <w:rPr>
          <w:rFonts w:hint="eastAsia" w:ascii="Times New Roman" w:hAnsi="Times New Roman" w:cs="Times New Roman"/>
          <w:color w:val="auto"/>
          <w:lang w:val="en-US" w:eastAsia="zh-CN"/>
        </w:rPr>
        <w:t>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3</w:t>
      </w:r>
      <w:r>
        <w:rPr>
          <w:rFonts w:hint="eastAsia" w:cs="Times New Roman"/>
          <w:color w:val="auto"/>
          <w:lang w:val="en-US" w:eastAsia="zh-CN"/>
        </w:rPr>
        <w:t>45</w:t>
      </w:r>
      <w:r>
        <w:rPr>
          <w:rFonts w:hint="default" w:ascii="Times New Roman" w:hAnsi="Times New Roman" w:cs="Times New Roman"/>
          <w:color w:val="auto"/>
        </w:rPr>
        <w:t>万吨。原材料主要来自乐山，通过公路运输</w:t>
      </w:r>
      <w:r>
        <w:rPr>
          <w:rFonts w:hint="eastAsia" w:ascii="Times New Roman" w:hAnsi="Times New Roman" w:cs="Times New Roman"/>
          <w:color w:val="auto"/>
          <w:lang w:eastAsia="zh-CN"/>
        </w:rPr>
        <w:t>；</w:t>
      </w:r>
      <w:r>
        <w:rPr>
          <w:rFonts w:hint="default" w:ascii="Times New Roman" w:hAnsi="Times New Roman" w:cs="Times New Roman"/>
          <w:color w:val="auto"/>
        </w:rPr>
        <w:t>产</w:t>
      </w:r>
      <w:r>
        <w:rPr>
          <w:rFonts w:hint="eastAsia" w:ascii="Times New Roman" w:hAnsi="Times New Roman" w:cs="Times New Roman"/>
          <w:color w:val="auto"/>
          <w:lang w:val="en-US" w:eastAsia="zh-CN"/>
        </w:rPr>
        <w:t>成</w:t>
      </w:r>
      <w:r>
        <w:rPr>
          <w:rFonts w:hint="default" w:ascii="Times New Roman" w:hAnsi="Times New Roman" w:cs="Times New Roman"/>
          <w:color w:val="auto"/>
        </w:rPr>
        <w:t>品</w:t>
      </w:r>
      <w:r>
        <w:rPr>
          <w:rFonts w:hint="eastAsia" w:cs="Times New Roman"/>
          <w:color w:val="auto"/>
          <w:lang w:val="en-US" w:eastAsia="zh-CN"/>
        </w:rPr>
        <w:t>磷矿</w:t>
      </w:r>
      <w:r>
        <w:rPr>
          <w:rFonts w:hint="default" w:ascii="Times New Roman" w:hAnsi="Times New Roman" w:cs="Times New Roman"/>
          <w:color w:val="auto"/>
        </w:rPr>
        <w:t>主要运至</w:t>
      </w:r>
      <w:r>
        <w:rPr>
          <w:rFonts w:hint="eastAsia" w:ascii="Times New Roman" w:hAnsi="Times New Roman" w:cs="Times New Roman"/>
          <w:color w:val="auto"/>
          <w:lang w:val="en-US" w:eastAsia="zh-CN"/>
        </w:rPr>
        <w:t>湖北</w:t>
      </w:r>
      <w:r>
        <w:rPr>
          <w:rFonts w:hint="default" w:ascii="Times New Roman" w:hAnsi="Times New Roman" w:cs="Times New Roman"/>
          <w:color w:val="auto"/>
        </w:rPr>
        <w:t>，通过</w:t>
      </w:r>
      <w:r>
        <w:rPr>
          <w:rFonts w:hint="eastAsia" w:ascii="Times New Roman" w:hAnsi="Times New Roman" w:cs="Times New Roman"/>
          <w:color w:val="auto"/>
          <w:lang w:val="en-US" w:eastAsia="zh-CN"/>
        </w:rPr>
        <w:t>水路运输</w:t>
      </w:r>
      <w:r>
        <w:rPr>
          <w:rFonts w:hint="eastAsia" w:cs="Times New Roman"/>
          <w:color w:val="auto"/>
          <w:lang w:val="en-US" w:eastAsia="zh-CN"/>
        </w:rPr>
        <w:t>，石灰石、细砂等产品主要销往成都和乐山本地，通过公路运输</w:t>
      </w:r>
      <w:r>
        <w:rPr>
          <w:rFonts w:hint="default" w:ascii="Times New Roman" w:hAnsi="Times New Roman" w:cs="Times New Roman"/>
          <w:color w:val="auto"/>
        </w:rPr>
        <w:t>。</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eastAsia" w:cs="Times New Roman"/>
          <w:b/>
          <w:bCs/>
          <w:color w:val="auto"/>
          <w:lang w:val="en-US" w:eastAsia="zh-CN"/>
        </w:rPr>
        <w:t>6</w:t>
      </w:r>
      <w:r>
        <w:rPr>
          <w:rFonts w:hint="default" w:ascii="Times New Roman" w:hAnsi="Times New Roman" w:cs="Times New Roman"/>
          <w:b/>
          <w:bCs/>
          <w:color w:val="auto"/>
          <w:lang w:val="en-US" w:eastAsia="zh-CN"/>
        </w:rPr>
        <w:t>.</w:t>
      </w:r>
      <w:r>
        <w:rPr>
          <w:rFonts w:hint="default" w:ascii="Times New Roman" w:hAnsi="Times New Roman" w:cs="Times New Roman"/>
          <w:b/>
          <w:bCs/>
          <w:color w:val="auto"/>
        </w:rPr>
        <w:t>光电器件产业</w:t>
      </w:r>
    </w:p>
    <w:p>
      <w:pPr>
        <w:bidi w:val="0"/>
        <w:rPr>
          <w:rFonts w:hint="default" w:ascii="Times New Roman" w:hAnsi="Times New Roman" w:cs="Times New Roman"/>
          <w:color w:val="auto"/>
        </w:rPr>
      </w:pPr>
      <w:r>
        <w:rPr>
          <w:rFonts w:hint="default" w:ascii="Times New Roman" w:hAnsi="Times New Roman" w:cs="Times New Roman"/>
          <w:color w:val="auto"/>
        </w:rPr>
        <w:t>先后调研了乐山无线电股份有限公司</w:t>
      </w:r>
      <w:r>
        <w:rPr>
          <w:rFonts w:hint="eastAsia" w:ascii="Times New Roman" w:hAnsi="Times New Roman" w:cs="Times New Roman"/>
          <w:color w:val="auto"/>
          <w:lang w:eastAsia="zh-CN"/>
        </w:rPr>
        <w:t>、</w:t>
      </w:r>
      <w:r>
        <w:rPr>
          <w:rFonts w:hint="default" w:ascii="Times New Roman" w:hAnsi="Times New Roman" w:cs="Times New Roman"/>
          <w:color w:val="auto"/>
        </w:rPr>
        <w:t>乐山—菲尼克斯半导体有限公司</w:t>
      </w:r>
      <w:r>
        <w:rPr>
          <w:rFonts w:hint="eastAsia" w:ascii="Times New Roman" w:hAnsi="Times New Roman" w:cs="Times New Roman"/>
          <w:color w:val="auto"/>
          <w:lang w:eastAsia="zh-CN"/>
        </w:rPr>
        <w:t>、</w:t>
      </w:r>
      <w:r>
        <w:rPr>
          <w:rFonts w:hint="default" w:ascii="Times New Roman" w:hAnsi="Times New Roman" w:cs="Times New Roman"/>
          <w:color w:val="auto"/>
        </w:rPr>
        <w:t>尚纬股份有限公司等，相关企业原材料与产成品的总货运量为</w:t>
      </w:r>
      <w:r>
        <w:rPr>
          <w:rFonts w:hint="eastAsia" w:ascii="Times New Roman" w:hAnsi="Times New Roman" w:cs="Times New Roman"/>
          <w:color w:val="auto"/>
          <w:lang w:val="en-US" w:eastAsia="zh-CN"/>
        </w:rPr>
        <w:t>7</w:t>
      </w:r>
      <w:r>
        <w:rPr>
          <w:rFonts w:hint="default" w:ascii="Times New Roman" w:hAnsi="Times New Roman" w:cs="Times New Roman"/>
          <w:color w:val="auto"/>
        </w:rPr>
        <w:t>万吨，其中原材料</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铜材、塑料等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w:t>
      </w:r>
      <w:r>
        <w:rPr>
          <w:rFonts w:hint="default" w:ascii="Times New Roman" w:hAnsi="Times New Roman" w:cs="Times New Roman"/>
          <w:color w:val="auto"/>
        </w:rPr>
        <w:t>万吨，产成品</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电线、光缆等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5</w:t>
      </w:r>
      <w:r>
        <w:rPr>
          <w:rFonts w:hint="default" w:ascii="Times New Roman" w:hAnsi="Times New Roman" w:cs="Times New Roman"/>
          <w:color w:val="auto"/>
        </w:rPr>
        <w:t>万吨。原材料主要来自</w:t>
      </w:r>
      <w:r>
        <w:rPr>
          <w:rFonts w:hint="eastAsia" w:ascii="Times New Roman" w:hAnsi="Times New Roman" w:cs="Times New Roman"/>
          <w:color w:val="auto"/>
          <w:lang w:val="en-US" w:eastAsia="zh-CN"/>
        </w:rPr>
        <w:t>省内以及浙江</w:t>
      </w:r>
      <w:r>
        <w:rPr>
          <w:rFonts w:hint="default" w:ascii="Times New Roman" w:hAnsi="Times New Roman" w:cs="Times New Roman"/>
          <w:color w:val="auto"/>
        </w:rPr>
        <w:t>，通过公路运输</w:t>
      </w:r>
      <w:r>
        <w:rPr>
          <w:rFonts w:hint="eastAsia" w:ascii="Times New Roman" w:hAnsi="Times New Roman" w:cs="Times New Roman"/>
          <w:color w:val="auto"/>
          <w:lang w:eastAsia="zh-CN"/>
        </w:rPr>
        <w:t>；</w:t>
      </w:r>
      <w:r>
        <w:rPr>
          <w:rFonts w:hint="default" w:ascii="Times New Roman" w:hAnsi="Times New Roman" w:cs="Times New Roman"/>
          <w:color w:val="auto"/>
        </w:rPr>
        <w:t>产</w:t>
      </w:r>
      <w:r>
        <w:rPr>
          <w:rFonts w:hint="eastAsia" w:ascii="Times New Roman" w:hAnsi="Times New Roman" w:cs="Times New Roman"/>
          <w:color w:val="auto"/>
          <w:lang w:val="en-US" w:eastAsia="zh-CN"/>
        </w:rPr>
        <w:t>成</w:t>
      </w:r>
      <w:r>
        <w:rPr>
          <w:rFonts w:hint="default" w:ascii="Times New Roman" w:hAnsi="Times New Roman" w:cs="Times New Roman"/>
          <w:color w:val="auto"/>
        </w:rPr>
        <w:t>品主要运至</w:t>
      </w:r>
      <w:r>
        <w:rPr>
          <w:rFonts w:hint="eastAsia" w:ascii="Times New Roman" w:hAnsi="Times New Roman" w:cs="Times New Roman"/>
          <w:color w:val="auto"/>
          <w:lang w:val="en-US" w:eastAsia="zh-CN"/>
        </w:rPr>
        <w:t>全国各地</w:t>
      </w:r>
      <w:r>
        <w:rPr>
          <w:rFonts w:hint="default" w:ascii="Times New Roman" w:hAnsi="Times New Roman" w:cs="Times New Roman"/>
          <w:color w:val="auto"/>
        </w:rPr>
        <w:t>，通过</w:t>
      </w:r>
      <w:r>
        <w:rPr>
          <w:rFonts w:hint="eastAsia" w:ascii="Times New Roman" w:hAnsi="Times New Roman" w:cs="Times New Roman"/>
          <w:color w:val="auto"/>
          <w:lang w:val="en-US" w:eastAsia="zh-CN"/>
        </w:rPr>
        <w:t>公路</w:t>
      </w:r>
      <w:r>
        <w:rPr>
          <w:rFonts w:hint="default" w:ascii="Times New Roman" w:hAnsi="Times New Roman" w:cs="Times New Roman"/>
          <w:color w:val="auto"/>
        </w:rPr>
        <w:t>运输。</w:t>
      </w:r>
    </w:p>
    <w:p>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7.</w:t>
      </w:r>
      <w:r>
        <w:rPr>
          <w:rFonts w:hint="default" w:ascii="Times New Roman" w:hAnsi="Times New Roman" w:cs="Times New Roman"/>
          <w:b/>
          <w:bCs/>
          <w:color w:val="auto"/>
        </w:rPr>
        <w:t>稀土冶金产业</w:t>
      </w:r>
    </w:p>
    <w:p>
      <w:pPr>
        <w:bidi w:val="0"/>
        <w:rPr>
          <w:rFonts w:hint="default" w:ascii="Times New Roman" w:hAnsi="Times New Roman" w:cs="Times New Roman"/>
          <w:color w:val="auto"/>
        </w:rPr>
      </w:pPr>
      <w:r>
        <w:rPr>
          <w:rFonts w:hint="default" w:ascii="Times New Roman" w:hAnsi="Times New Roman" w:cs="Times New Roman"/>
          <w:color w:val="auto"/>
        </w:rPr>
        <w:t>先后调研了乐山锐丰冶金有限公司、乐山盛和稀土有限公司等，相关企业原材料与产成品的总货运量为19万吨，其中原材料</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稀土金矿、盐酸等</w:t>
      </w:r>
      <w:r>
        <w:rPr>
          <w:rFonts w:hint="eastAsia" w:ascii="Times New Roman" w:hAnsi="Times New Roman" w:cs="Times New Roman"/>
          <w:color w:val="auto"/>
          <w:lang w:eastAsia="zh-CN"/>
        </w:rPr>
        <w:t>）</w:t>
      </w:r>
      <w:r>
        <w:rPr>
          <w:rFonts w:hint="default" w:ascii="Times New Roman" w:hAnsi="Times New Roman" w:cs="Times New Roman"/>
          <w:color w:val="auto"/>
        </w:rPr>
        <w:t>12万吨，产成品</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稀土氧化物等</w:t>
      </w:r>
      <w:r>
        <w:rPr>
          <w:rFonts w:hint="eastAsia" w:ascii="Times New Roman" w:hAnsi="Times New Roman" w:cs="Times New Roman"/>
          <w:color w:val="auto"/>
          <w:lang w:eastAsia="zh-CN"/>
        </w:rPr>
        <w:t>）</w:t>
      </w:r>
      <w:r>
        <w:rPr>
          <w:rFonts w:hint="default" w:ascii="Times New Roman" w:hAnsi="Times New Roman" w:cs="Times New Roman"/>
          <w:color w:val="auto"/>
        </w:rPr>
        <w:t>7万吨。原材料主要来自凉山州，通过公路运输</w:t>
      </w:r>
      <w:r>
        <w:rPr>
          <w:rFonts w:hint="eastAsia" w:cs="Times New Roman"/>
          <w:color w:val="auto"/>
          <w:lang w:eastAsia="zh-CN"/>
        </w:rPr>
        <w:t>；</w:t>
      </w:r>
      <w:r>
        <w:rPr>
          <w:rFonts w:hint="default" w:ascii="Times New Roman" w:hAnsi="Times New Roman" w:cs="Times New Roman"/>
          <w:color w:val="auto"/>
        </w:rPr>
        <w:t>产品主要运至西昌以及出口，通过公路运输。</w:t>
      </w:r>
    </w:p>
    <w:p>
      <w:pPr>
        <w:bidi w:val="0"/>
        <w:rPr>
          <w:rFonts w:hint="default" w:ascii="Times New Roman" w:hAnsi="Times New Roman" w:eastAsia="仿宋_GB2312" w:cs="Times New Roman"/>
          <w:b/>
          <w:bCs/>
          <w:color w:val="auto"/>
          <w:lang w:val="en-US" w:eastAsia="zh-CN"/>
        </w:rPr>
      </w:pPr>
      <w:r>
        <w:rPr>
          <w:rFonts w:hint="eastAsia" w:ascii="Times New Roman" w:hAnsi="Times New Roman" w:cs="Times New Roman"/>
          <w:b/>
          <w:bCs/>
          <w:color w:val="auto"/>
          <w:lang w:val="en-US" w:eastAsia="zh-CN"/>
        </w:rPr>
        <w:t>8</w:t>
      </w:r>
      <w:r>
        <w:rPr>
          <w:rFonts w:hint="default" w:ascii="Times New Roman" w:hAnsi="Times New Roman" w:cs="Times New Roman"/>
          <w:b/>
          <w:bCs/>
          <w:color w:val="auto"/>
          <w:lang w:val="en-US" w:eastAsia="zh-CN"/>
        </w:rPr>
        <w:t>.</w:t>
      </w:r>
      <w:r>
        <w:rPr>
          <w:rFonts w:hint="eastAsia" w:ascii="Times New Roman" w:hAnsi="Times New Roman" w:cs="Times New Roman"/>
          <w:b/>
          <w:bCs/>
          <w:color w:val="auto"/>
          <w:lang w:val="en-US" w:eastAsia="zh-CN"/>
        </w:rPr>
        <w:t>轻工纺织</w:t>
      </w:r>
    </w:p>
    <w:p>
      <w:pPr>
        <w:bidi w:val="0"/>
        <w:rPr>
          <w:rFonts w:hint="default"/>
        </w:rPr>
      </w:pPr>
      <w:r>
        <w:rPr>
          <w:rFonts w:hint="default" w:ascii="Times New Roman" w:hAnsi="Times New Roman" w:cs="Times New Roman"/>
          <w:color w:val="auto"/>
        </w:rPr>
        <w:t>调研了</w:t>
      </w:r>
      <w:r>
        <w:rPr>
          <w:rFonts w:hint="eastAsia" w:eastAsia="仿宋_GB2312" w:cs="Times New Roman"/>
          <w:szCs w:val="20"/>
        </w:rPr>
        <w:t>四川永丰</w:t>
      </w:r>
      <w:r>
        <w:rPr>
          <w:rFonts w:hint="eastAsia" w:cs="Times New Roman"/>
          <w:szCs w:val="20"/>
          <w:lang w:val="en-US" w:eastAsia="zh-CN"/>
        </w:rPr>
        <w:t>纸浆</w:t>
      </w:r>
      <w:r>
        <w:rPr>
          <w:rFonts w:hint="eastAsia" w:eastAsia="仿宋_GB2312" w:cs="Times New Roman"/>
          <w:szCs w:val="20"/>
        </w:rPr>
        <w:t>股份有限公司</w:t>
      </w:r>
      <w:r>
        <w:rPr>
          <w:rFonts w:hint="eastAsia" w:cs="Times New Roman"/>
          <w:szCs w:val="20"/>
          <w:lang w:eastAsia="zh-CN"/>
        </w:rPr>
        <w:t>，</w:t>
      </w:r>
      <w:r>
        <w:rPr>
          <w:rFonts w:hint="default" w:ascii="Times New Roman" w:hAnsi="Times New Roman" w:cs="Times New Roman"/>
          <w:color w:val="auto"/>
        </w:rPr>
        <w:t>企业原材料与产成品的总货运量为</w:t>
      </w:r>
      <w:r>
        <w:rPr>
          <w:rFonts w:hint="eastAsia" w:ascii="Times New Roman" w:hAnsi="Times New Roman" w:cs="Times New Roman"/>
          <w:color w:val="auto"/>
          <w:lang w:val="en-US" w:eastAsia="zh-CN"/>
        </w:rPr>
        <w:t>约280</w:t>
      </w:r>
      <w:r>
        <w:rPr>
          <w:rFonts w:hint="default" w:ascii="Times New Roman" w:hAnsi="Times New Roman" w:cs="Times New Roman"/>
          <w:color w:val="auto"/>
        </w:rPr>
        <w:t>万吨，其中原材料</w:t>
      </w:r>
      <w:r>
        <w:rPr>
          <w:rFonts w:hint="eastAsia" w:ascii="Times New Roman" w:hAnsi="Times New Roman" w:cs="Times New Roman"/>
          <w:color w:val="auto"/>
          <w:lang w:eastAsia="zh-CN"/>
        </w:rPr>
        <w:t>（</w:t>
      </w:r>
      <w:r>
        <w:rPr>
          <w:rFonts w:hint="eastAsia"/>
          <w:lang w:val="en-US" w:eastAsia="zh-CN"/>
        </w:rPr>
        <w:t>竹片、木片</w:t>
      </w:r>
      <w:r>
        <w:rPr>
          <w:rFonts w:hint="eastAsia" w:ascii="Times New Roman" w:hAnsi="Times New Roman" w:cs="Times New Roman"/>
          <w:color w:val="auto"/>
          <w:lang w:val="en-US" w:eastAsia="zh-CN"/>
        </w:rPr>
        <w:t>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240</w:t>
      </w:r>
      <w:r>
        <w:rPr>
          <w:rFonts w:hint="default" w:ascii="Times New Roman" w:hAnsi="Times New Roman" w:cs="Times New Roman"/>
          <w:color w:val="auto"/>
        </w:rPr>
        <w:t>万吨，产成品</w:t>
      </w:r>
      <w:r>
        <w:rPr>
          <w:rFonts w:hint="eastAsia" w:ascii="Times New Roman" w:hAnsi="Times New Roman" w:cs="Times New Roman"/>
          <w:color w:val="auto"/>
          <w:lang w:eastAsia="zh-CN"/>
        </w:rPr>
        <w:t>（</w:t>
      </w:r>
      <w:r>
        <w:rPr>
          <w:rFonts w:hint="eastAsia"/>
          <w:lang w:val="en-US" w:eastAsia="zh-CN"/>
        </w:rPr>
        <w:t>浆板、特种纸</w:t>
      </w:r>
      <w:r>
        <w:rPr>
          <w:rFonts w:hint="eastAsia" w:ascii="Times New Roman" w:hAnsi="Times New Roman" w:cs="Times New Roman"/>
          <w:color w:val="auto"/>
          <w:lang w:val="en-US" w:eastAsia="zh-CN"/>
        </w:rPr>
        <w:t>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40</w:t>
      </w:r>
      <w:r>
        <w:rPr>
          <w:rFonts w:hint="default" w:ascii="Times New Roman" w:hAnsi="Times New Roman" w:cs="Times New Roman"/>
          <w:color w:val="auto"/>
        </w:rPr>
        <w:t>万吨。</w:t>
      </w:r>
      <w:r>
        <w:rPr>
          <w:rFonts w:hint="eastAsia" w:eastAsia="仿宋_GB2312" w:cs="Times New Roman"/>
          <w:szCs w:val="20"/>
        </w:rPr>
        <w:t>原材料多从雅安、自贡、成都、宜宾、乐山等川内地区获取，以公路运输为主</w:t>
      </w:r>
      <w:r>
        <w:rPr>
          <w:rFonts w:hint="eastAsia" w:cs="Times New Roman"/>
          <w:szCs w:val="20"/>
          <w:lang w:eastAsia="zh-CN"/>
        </w:rPr>
        <w:t>；</w:t>
      </w:r>
      <w:r>
        <w:rPr>
          <w:rFonts w:hint="eastAsia" w:cs="Times New Roman"/>
          <w:szCs w:val="20"/>
          <w:lang w:val="en-US" w:eastAsia="zh-CN"/>
        </w:rPr>
        <w:t>产品</w:t>
      </w:r>
      <w:r>
        <w:rPr>
          <w:rFonts w:hint="eastAsia" w:eastAsia="仿宋_GB2312" w:cs="Times New Roman"/>
          <w:szCs w:val="20"/>
        </w:rPr>
        <w:t>浆板主要销往河北、山西、成都、安徽，其中发往河北、山西、成都的采用公路运输，运往安徽的则通过水路运输；特种纸</w:t>
      </w:r>
      <w:r>
        <w:rPr>
          <w:rFonts w:hint="eastAsia" w:eastAsia="仿宋_GB2312" w:cs="Times New Roman"/>
          <w:szCs w:val="20"/>
          <w:lang w:val="en-US" w:eastAsia="zh-CN"/>
        </w:rPr>
        <w:t>销往</w:t>
      </w:r>
      <w:r>
        <w:rPr>
          <w:rFonts w:hint="eastAsia" w:eastAsia="仿宋_GB2312" w:cs="Times New Roman"/>
          <w:szCs w:val="20"/>
        </w:rPr>
        <w:t>华南、华东市场，统一采用公路运输</w:t>
      </w:r>
      <w:r>
        <w:rPr>
          <w:rFonts w:hint="eastAsia" w:cs="Times New Roman"/>
          <w:szCs w:val="20"/>
          <w:lang w:eastAsia="zh-CN"/>
        </w:rPr>
        <w:t>。</w:t>
      </w:r>
    </w:p>
    <w:p>
      <w:pPr>
        <w:pStyle w:val="5"/>
        <w:bidi w:val="0"/>
        <w:rPr>
          <w:rFonts w:hint="default" w:cs="Times New Roman"/>
          <w:color w:val="auto"/>
          <w:lang w:val="en-US" w:eastAsia="zh-CN"/>
        </w:rPr>
      </w:pPr>
      <w:r>
        <w:rPr>
          <w:rFonts w:hint="eastAsia" w:cs="Times New Roman"/>
          <w:color w:val="auto"/>
          <w:lang w:val="en-US" w:eastAsia="zh-CN"/>
        </w:rPr>
        <w:t>企业反馈问题总结</w:t>
      </w:r>
    </w:p>
    <w:p>
      <w:pPr>
        <w:bidi w:val="0"/>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lang w:val="en-US" w:eastAsia="zh-CN"/>
        </w:rPr>
        <w:t>一是现代物流设施供给不足。从分布来看，全市物流园区（场站）布局分散、功能割裂，多数物流园区沿国道、省道零散分布，与工业聚集区、商贸核心区及港口、铁路站场空间衔接薄弱，货物倒运成本高、效率低。从功能来看，现状多数物流节点为传统物流聚集区，缺乏现代化仓储、智能装卸等配套设施。从衔接来看，铁路专用线对物流园区、港口码头覆盖不够，钢铁、新型建材等产业的大宗原材料及产成品依赖公路运输。</w:t>
      </w:r>
    </w:p>
    <w:p>
      <w:pPr>
        <w:bidi w:val="0"/>
        <w:rPr>
          <w:rFonts w:hint="default" w:cs="Times New Roman"/>
          <w:b w:val="0"/>
          <w:bCs w:val="0"/>
          <w:color w:val="auto"/>
          <w:lang w:val="en-US" w:eastAsia="zh-CN"/>
        </w:rPr>
      </w:pPr>
      <w:r>
        <w:rPr>
          <w:rFonts w:hint="eastAsia" w:ascii="仿宋_GB2312" w:hAnsi="仿宋_GB2312" w:eastAsia="仿宋_GB2312" w:cs="仿宋_GB2312"/>
          <w:b w:val="0"/>
          <w:bCs w:val="0"/>
          <w:color w:val="auto"/>
          <w:lang w:val="en-US" w:eastAsia="zh-CN"/>
        </w:rPr>
        <w:t>二是专业特色物流服务能力较弱。冷链物流发展滞后，冷藏车依赖成都外调且返空率高，导致生鲜农产品</w:t>
      </w:r>
      <w:r>
        <w:rPr>
          <w:rFonts w:hint="default" w:cs="Times New Roman"/>
          <w:b w:val="0"/>
          <w:bCs w:val="0"/>
          <w:color w:val="auto"/>
          <w:lang w:val="en-US" w:eastAsia="zh-CN"/>
        </w:rPr>
        <w:t>腐损率高。国际物流服务水平不高，与成都、重庆等枢纽城市衔接协作弱，通关手续繁琐。</w:t>
      </w:r>
      <w:bookmarkStart w:id="85" w:name="_Toc22084"/>
      <w:bookmarkStart w:id="86" w:name="_Toc8695"/>
    </w:p>
    <w:bookmarkEnd w:id="85"/>
    <w:p>
      <w:pPr>
        <w:pStyle w:val="4"/>
        <w:bidi w:val="0"/>
        <w:rPr>
          <w:rFonts w:hint="default" w:ascii="Times New Roman" w:hAnsi="Times New Roman" w:cs="Times New Roman"/>
          <w:color w:val="auto"/>
          <w:lang w:val="en-US" w:eastAsia="zh-CN"/>
        </w:rPr>
      </w:pPr>
      <w:bookmarkStart w:id="87" w:name="_Toc2981"/>
      <w:bookmarkStart w:id="88" w:name="_Toc30567"/>
      <w:r>
        <w:rPr>
          <w:rFonts w:hint="default" w:ascii="Times New Roman" w:hAnsi="Times New Roman" w:cs="Times New Roman"/>
          <w:color w:val="auto"/>
          <w:lang w:val="en-US" w:eastAsia="zh-CN"/>
        </w:rPr>
        <w:t>腹地产业发展趋势</w:t>
      </w:r>
      <w:bookmarkEnd w:id="86"/>
      <w:bookmarkEnd w:id="87"/>
      <w:bookmarkEnd w:id="88"/>
    </w:p>
    <w:p>
      <w:pPr>
        <w:rPr>
          <w:rFonts w:hint="eastAsia" w:ascii="Times New Roman" w:hAnsi="Times New Roman"/>
          <w:color w:val="auto"/>
          <w:lang w:val="en-US" w:eastAsia="zh-CN"/>
        </w:rPr>
      </w:pPr>
      <w:r>
        <w:rPr>
          <w:rFonts w:hint="eastAsia"/>
          <w:color w:val="auto"/>
          <w:lang w:val="en-US" w:eastAsia="zh-CN"/>
        </w:rPr>
        <w:t>本项目的直接腹地为乐山全域以及成都、德阳、眉山、雅安等成都平原经济区城市；间接腹地为阿坝、甘孜等川西北城市，以及内江西部地区（威远县、资中县等）、自贡西部地区（荣县等）、凉山州东北部地区（甘洛县、越西县、美姑县、雷波县等）、宜宾市西北部地区（叙州区、屏山县）等周</w:t>
      </w:r>
      <w:r>
        <w:rPr>
          <w:rFonts w:hint="eastAsia" w:ascii="Times New Roman" w:hAnsi="Times New Roman"/>
          <w:color w:val="auto"/>
          <w:lang w:val="en-US" w:eastAsia="zh-CN"/>
        </w:rPr>
        <w:t>边城市</w:t>
      </w:r>
      <w:r>
        <w:rPr>
          <w:rFonts w:hint="eastAsia"/>
          <w:color w:val="auto"/>
          <w:lang w:val="en-US" w:eastAsia="zh-CN"/>
        </w:rPr>
        <w:t>，同时可积极承接西藏、新疆等西部地区物资集散中转</w:t>
      </w:r>
      <w:r>
        <w:rPr>
          <w:rFonts w:hint="eastAsia" w:ascii="Times New Roman" w:hAnsi="Times New Roman"/>
          <w:color w:val="auto"/>
          <w:lang w:val="en-US" w:eastAsia="zh-CN"/>
        </w:rPr>
        <w:t>。其中直接经济腹地为主要货源地，需求预测重点考虑直接经济腹地潜在货源需求，间接腹地</w:t>
      </w:r>
      <w:r>
        <w:rPr>
          <w:rFonts w:hint="eastAsia"/>
          <w:color w:val="auto"/>
          <w:lang w:val="en-US" w:eastAsia="zh-CN"/>
        </w:rPr>
        <w:t>则是</w:t>
      </w:r>
      <w:r>
        <w:rPr>
          <w:rFonts w:hint="eastAsia" w:ascii="Times New Roman" w:hAnsi="Times New Roman"/>
          <w:color w:val="auto"/>
          <w:lang w:val="en-US" w:eastAsia="zh-CN"/>
        </w:rPr>
        <w:t>未来乐山市积极争取的货源地。</w:t>
      </w:r>
    </w:p>
    <w:p>
      <w:pPr>
        <w:pStyle w:val="27"/>
        <w:bidi w:val="0"/>
        <w:rPr>
          <w:color w:val="auto"/>
        </w:rPr>
      </w:pPr>
      <w:r>
        <w:rPr>
          <w:color w:val="auto"/>
        </w:rPr>
        <w:drawing>
          <wp:inline distT="0" distB="0" distL="114300" distR="114300">
            <wp:extent cx="5760085" cy="4210050"/>
            <wp:effectExtent l="0" t="0" r="12065"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41"/>
                    <a:srcRect l="631" t="177" r="-631" b="1923"/>
                    <a:stretch>
                      <a:fillRect/>
                    </a:stretch>
                  </pic:blipFill>
                  <pic:spPr>
                    <a:xfrm>
                      <a:off x="0" y="0"/>
                      <a:ext cx="5760085" cy="4210050"/>
                    </a:xfrm>
                    <a:prstGeom prst="rect">
                      <a:avLst/>
                    </a:prstGeom>
                    <a:noFill/>
                    <a:ln>
                      <a:noFill/>
                    </a:ln>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8</w:t>
      </w:r>
      <w:r>
        <w:rPr>
          <w:color w:val="auto"/>
        </w:rPr>
        <w:fldChar w:fldCharType="end"/>
      </w:r>
      <w:r>
        <w:rPr>
          <w:rFonts w:hint="eastAsia"/>
          <w:color w:val="auto"/>
          <w:lang w:val="en-US" w:eastAsia="zh-CN"/>
        </w:rPr>
        <w:t xml:space="preserve"> 示范基地省内腹地范围示意图</w:t>
      </w:r>
    </w:p>
    <w:bookmarkEnd w:id="76"/>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乐山市</w:t>
      </w:r>
    </w:p>
    <w:p>
      <w:pPr>
        <w:bidi w:val="0"/>
        <w:rPr>
          <w:rFonts w:hint="default" w:ascii="Times New Roman" w:hAnsi="Times New Roman" w:eastAsia="仿宋_GB2312" w:cs="Times New Roman"/>
          <w:color w:val="auto"/>
          <w:sz w:val="32"/>
          <w:szCs w:val="32"/>
          <w:lang w:val="en-US" w:eastAsia="zh-CN"/>
        </w:rPr>
      </w:pPr>
      <w:r>
        <w:rPr>
          <w:rFonts w:hint="eastAsia" w:cs="Times New Roman"/>
          <w:color w:val="auto"/>
          <w:lang w:val="en-US" w:eastAsia="zh-CN"/>
        </w:rPr>
        <w:t>省委、省政府</w:t>
      </w:r>
      <w:r>
        <w:rPr>
          <w:rFonts w:hint="default" w:ascii="Times New Roman" w:hAnsi="Times New Roman" w:cs="Times New Roman"/>
          <w:color w:val="auto"/>
          <w:lang w:val="en-US" w:eastAsia="zh-CN"/>
        </w:rPr>
        <w:t>明确提出</w:t>
      </w:r>
      <w:r>
        <w:rPr>
          <w:rFonts w:hint="eastAsia" w:cs="Times New Roman"/>
          <w:color w:val="auto"/>
          <w:lang w:val="en-US" w:eastAsia="zh-CN"/>
        </w:rPr>
        <w:t>，</w:t>
      </w:r>
      <w:r>
        <w:rPr>
          <w:rFonts w:hint="default" w:ascii="Times New Roman" w:hAnsi="Times New Roman" w:cs="Times New Roman"/>
          <w:color w:val="auto"/>
          <w:lang w:val="en-US" w:eastAsia="zh-CN"/>
        </w:rPr>
        <w:t>乐山要以建设中国绿色硅谷为重点，培育壮大先进制造业集群</w:t>
      </w:r>
      <w:r>
        <w:rPr>
          <w:rFonts w:hint="default" w:ascii="Times New Roman" w:hAnsi="Times New Roman" w:eastAsia="仿宋_GB2312" w:cs="Times New Roman"/>
          <w:color w:val="auto"/>
          <w:sz w:val="32"/>
          <w:szCs w:val="32"/>
          <w:lang w:val="en-US" w:eastAsia="zh-CN"/>
        </w:rPr>
        <w:t>。乐山未来</w:t>
      </w:r>
      <w:r>
        <w:rPr>
          <w:rFonts w:hint="eastAsia" w:ascii="Times New Roman" w:hAnsi="Times New Roman" w:eastAsia="仿宋_GB2312" w:cs="Times New Roman"/>
          <w:color w:val="auto"/>
          <w:sz w:val="32"/>
          <w:szCs w:val="32"/>
          <w:lang w:val="en-US" w:eastAsia="zh-CN"/>
        </w:rPr>
        <w:t>将围绕建设“241”现代工业产业体系</w:t>
      </w:r>
      <w:r>
        <w:rPr>
          <w:rFonts w:hint="default" w:ascii="Times New Roman" w:hAnsi="Times New Roman" w:eastAsia="仿宋_GB2312" w:cs="Times New Roman"/>
          <w:color w:val="auto"/>
          <w:sz w:val="32"/>
          <w:szCs w:val="32"/>
          <w:lang w:val="en-US" w:eastAsia="zh-CN"/>
        </w:rPr>
        <w:t>，做强乐山国家高新区总部经济功能区能级，将五通桥绿色循环产业基地、峨眉山食品饮料产业基地打造成国家级开发区，提升犍为装备制造产业基地、夹江民用核技术产业基地、沙湾冶金建材产业基地等发展水平。</w:t>
      </w:r>
    </w:p>
    <w:p>
      <w:pPr>
        <w:bidi w:val="0"/>
        <w:rPr>
          <w:rFonts w:hint="default"/>
          <w:color w:val="auto"/>
          <w:lang w:val="en-US" w:eastAsia="zh-CN"/>
        </w:rPr>
      </w:pPr>
      <w:r>
        <w:rPr>
          <w:rFonts w:hint="eastAsia"/>
          <w:color w:val="auto"/>
          <w:lang w:val="en-US" w:eastAsia="zh-CN"/>
        </w:rPr>
        <w:t>目前乐山每年约有超400万吨的煤炭（含焦炭）、超2500万吨的建材以及超650万吨的化工产品运输需求，煤炭主要来自陕西、新疆等地，建材主要运至成渝地区，化工产品主要运至云贵川、山东、江苏等。此外，峨边年产2800万吨的刘家沟玄武岩、年产1000万吨的茶园坪建筑用石灰岩（玄武岩）基地正加快推进投产前期工作。示范基地</w:t>
      </w:r>
      <w:r>
        <w:rPr>
          <w:rFonts w:hint="default"/>
          <w:color w:val="auto"/>
          <w:lang w:val="en-US" w:eastAsia="zh-CN"/>
        </w:rPr>
        <w:t>建成后，可</w:t>
      </w:r>
      <w:r>
        <w:rPr>
          <w:rFonts w:hint="eastAsia"/>
          <w:color w:val="auto"/>
          <w:lang w:val="en-US" w:eastAsia="zh-CN"/>
        </w:rPr>
        <w:t>承接本地钢材、瓷砖、原盐、纯碱等工业产品运输需求</w:t>
      </w:r>
      <w:r>
        <w:rPr>
          <w:rFonts w:hint="default"/>
          <w:color w:val="auto"/>
          <w:lang w:val="en-US" w:eastAsia="zh-CN"/>
        </w:rPr>
        <w:t>，</w:t>
      </w:r>
      <w:r>
        <w:rPr>
          <w:rFonts w:hint="eastAsia"/>
          <w:color w:val="auto"/>
          <w:lang w:val="en-US" w:eastAsia="zh-CN"/>
        </w:rPr>
        <w:t>大力发展物贸一体化服务产业，打造为成渝地区新型建材的交易集散中心、普通化工产品转运分拨中心；同时承接五通桥区化工企业煤炭原材料和峨边彝族自治县玄武岩矿等大宗散货运输需求</w:t>
      </w:r>
      <w:r>
        <w:rPr>
          <w:rFonts w:hint="default"/>
          <w:color w:val="auto"/>
          <w:lang w:val="en-US" w:eastAsia="zh-CN"/>
        </w:rPr>
        <w:t>。​</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成都市</w:t>
      </w:r>
    </w:p>
    <w:p>
      <w:pPr>
        <w:bidi w:val="0"/>
        <w:rPr>
          <w:rFonts w:hint="eastAsia"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2025年6月</w:t>
      </w:r>
      <w:r>
        <w:rPr>
          <w:rFonts w:hint="eastAsia" w:cs="Times New Roman"/>
          <w:color w:val="auto"/>
          <w:sz w:val="32"/>
          <w:szCs w:val="32"/>
          <w:lang w:val="en-US" w:eastAsia="zh-CN"/>
        </w:rPr>
        <w:t>，省委、省政府印发</w:t>
      </w:r>
      <w:r>
        <w:rPr>
          <w:rFonts w:hint="default" w:ascii="Times New Roman" w:hAnsi="Times New Roman" w:eastAsia="仿宋_GB2312" w:cs="Times New Roman"/>
          <w:color w:val="auto"/>
          <w:sz w:val="32"/>
          <w:szCs w:val="32"/>
          <w:lang w:val="en-US" w:eastAsia="zh-CN"/>
        </w:rPr>
        <w:t>《关于支持成都做优做强极核功能加快高质量发展的意见》</w:t>
      </w:r>
      <w:r>
        <w:rPr>
          <w:rFonts w:hint="eastAsia" w:cs="Times New Roman"/>
          <w:color w:val="auto"/>
          <w:sz w:val="32"/>
          <w:szCs w:val="32"/>
          <w:lang w:val="en-US" w:eastAsia="zh-CN"/>
        </w:rPr>
        <w:t>，</w:t>
      </w:r>
      <w:r>
        <w:rPr>
          <w:rFonts w:hint="default" w:ascii="Times New Roman" w:hAnsi="Times New Roman" w:eastAsia="仿宋_GB2312" w:cs="Times New Roman"/>
          <w:color w:val="auto"/>
          <w:sz w:val="32"/>
          <w:szCs w:val="32"/>
          <w:lang w:val="en-US" w:eastAsia="zh-CN"/>
        </w:rPr>
        <w:t>要求成都</w:t>
      </w:r>
      <w:r>
        <w:rPr>
          <w:rFonts w:hint="eastAsia" w:cs="Times New Roman"/>
          <w:color w:val="auto"/>
          <w:sz w:val="32"/>
          <w:szCs w:val="32"/>
          <w:lang w:val="en-US" w:eastAsia="zh-CN"/>
        </w:rPr>
        <w:t>加快</w:t>
      </w:r>
      <w:r>
        <w:rPr>
          <w:rFonts w:hint="default" w:ascii="Times New Roman" w:hAnsi="Times New Roman" w:eastAsia="仿宋_GB2312" w:cs="Times New Roman"/>
          <w:color w:val="auto"/>
          <w:sz w:val="32"/>
          <w:szCs w:val="32"/>
          <w:lang w:val="en-US" w:eastAsia="zh-CN"/>
        </w:rPr>
        <w:t>建设全国先进制造业基地，</w:t>
      </w:r>
      <w:r>
        <w:rPr>
          <w:rFonts w:hint="eastAsia" w:cs="Times New Roman"/>
          <w:color w:val="auto"/>
          <w:sz w:val="32"/>
          <w:szCs w:val="32"/>
          <w:lang w:val="en-US" w:eastAsia="zh-CN"/>
        </w:rPr>
        <w:t>大力发展汽车产业，增强高端能源装备、航空航天等产业优势</w:t>
      </w:r>
      <w:r>
        <w:rPr>
          <w:rFonts w:hint="default" w:ascii="Times New Roman" w:hAnsi="Times New Roman" w:eastAsia="仿宋_GB2312" w:cs="Times New Roman"/>
          <w:color w:val="auto"/>
          <w:sz w:val="32"/>
          <w:szCs w:val="32"/>
          <w:lang w:val="en-US" w:eastAsia="zh-CN"/>
        </w:rPr>
        <w:t>。</w:t>
      </w:r>
      <w:r>
        <w:rPr>
          <w:rFonts w:hint="eastAsia" w:cs="Times New Roman"/>
          <w:color w:val="auto"/>
          <w:sz w:val="32"/>
          <w:szCs w:val="32"/>
          <w:lang w:val="en-US" w:eastAsia="zh-CN"/>
        </w:rPr>
        <w:t>未来，成都将聚焦构建“9+9+10”现代化产业体系，打造电子信息、装备制造2个万亿级产业集群，以及集成电路、智能终端、高端软件、汽车制造、轨道交通、航空航天、生物医药、绿色食品、新型材料、能源环保装备等10个以上千亿级产业集群。</w:t>
      </w:r>
    </w:p>
    <w:p>
      <w:pPr>
        <w:bidi w:val="0"/>
        <w:rPr>
          <w:rFonts w:hint="default" w:cs="Times New Roman"/>
          <w:color w:val="auto"/>
          <w:sz w:val="32"/>
          <w:szCs w:val="32"/>
          <w:lang w:val="en-US" w:eastAsia="zh-CN"/>
        </w:rPr>
      </w:pPr>
      <w:r>
        <w:rPr>
          <w:rFonts w:hint="eastAsia" w:cs="Times New Roman"/>
          <w:color w:val="auto"/>
          <w:sz w:val="32"/>
          <w:szCs w:val="32"/>
          <w:lang w:val="en-US" w:eastAsia="zh-CN"/>
        </w:rPr>
        <w:t>目前成都每年约有200万吨的汽车用钢和超过200万吨的汽车零部件运输需求，汽车用钢主要通过中欧班列进口，汽车零部件主要出口欧洲。示范基地建成后，成都生产的部分汽车零部件可经公</w:t>
      </w:r>
      <w:r>
        <w:rPr>
          <w:rFonts w:hint="default" w:cs="Times New Roman"/>
          <w:color w:val="auto"/>
          <w:sz w:val="32"/>
          <w:szCs w:val="32"/>
          <w:lang w:val="en-US" w:eastAsia="zh-CN"/>
        </w:rPr>
        <w:t>路</w:t>
      </w:r>
      <w:r>
        <w:rPr>
          <w:rFonts w:hint="eastAsia" w:cs="Times New Roman"/>
          <w:color w:val="auto"/>
          <w:sz w:val="32"/>
          <w:szCs w:val="32"/>
          <w:lang w:val="en-US" w:eastAsia="zh-CN"/>
        </w:rPr>
        <w:t>/铁路</w:t>
      </w:r>
      <w:r>
        <w:rPr>
          <w:rFonts w:hint="default" w:cs="Times New Roman"/>
          <w:color w:val="auto"/>
          <w:sz w:val="32"/>
          <w:szCs w:val="32"/>
          <w:lang w:val="en-US" w:eastAsia="zh-CN"/>
        </w:rPr>
        <w:t>运至</w:t>
      </w:r>
      <w:r>
        <w:rPr>
          <w:rFonts w:hint="eastAsia" w:cs="Times New Roman"/>
          <w:color w:val="auto"/>
          <w:sz w:val="32"/>
          <w:szCs w:val="32"/>
          <w:lang w:val="en-US" w:eastAsia="zh-CN"/>
        </w:rPr>
        <w:t>示范基地</w:t>
      </w:r>
      <w:r>
        <w:rPr>
          <w:rFonts w:hint="default" w:cs="Times New Roman"/>
          <w:color w:val="auto"/>
          <w:sz w:val="32"/>
          <w:szCs w:val="32"/>
          <w:lang w:val="en-US" w:eastAsia="zh-CN"/>
        </w:rPr>
        <w:t>后转水运衔接长江黄金水道，直达上海、江苏、浙江等地以及出口国外。同时部分</w:t>
      </w:r>
      <w:r>
        <w:rPr>
          <w:rFonts w:hint="eastAsia" w:cs="Times New Roman"/>
          <w:color w:val="auto"/>
          <w:sz w:val="32"/>
          <w:szCs w:val="32"/>
          <w:lang w:val="en-US" w:eastAsia="zh-CN"/>
        </w:rPr>
        <w:t>汽车用钢</w:t>
      </w:r>
      <w:r>
        <w:rPr>
          <w:rFonts w:hint="default" w:cs="Times New Roman"/>
          <w:color w:val="auto"/>
          <w:sz w:val="32"/>
          <w:szCs w:val="32"/>
          <w:lang w:val="en-US" w:eastAsia="zh-CN"/>
        </w:rPr>
        <w:t>等原材料经水路可直接运至</w:t>
      </w:r>
      <w:r>
        <w:rPr>
          <w:rFonts w:hint="eastAsia" w:cs="Times New Roman"/>
          <w:color w:val="auto"/>
          <w:sz w:val="32"/>
          <w:szCs w:val="32"/>
          <w:lang w:val="en-US" w:eastAsia="zh-CN"/>
        </w:rPr>
        <w:t>示范基地</w:t>
      </w:r>
      <w:r>
        <w:rPr>
          <w:rFonts w:hint="default" w:cs="Times New Roman"/>
          <w:color w:val="auto"/>
          <w:sz w:val="32"/>
          <w:szCs w:val="32"/>
          <w:lang w:val="en-US" w:eastAsia="zh-CN"/>
        </w:rPr>
        <w:t>后转公路</w:t>
      </w:r>
      <w:r>
        <w:rPr>
          <w:rFonts w:hint="eastAsia" w:cs="Times New Roman"/>
          <w:color w:val="auto"/>
          <w:sz w:val="32"/>
          <w:szCs w:val="32"/>
          <w:lang w:val="en-US" w:eastAsia="zh-CN"/>
        </w:rPr>
        <w:t>/铁路</w:t>
      </w:r>
      <w:r>
        <w:rPr>
          <w:rFonts w:hint="default" w:cs="Times New Roman"/>
          <w:color w:val="auto"/>
          <w:sz w:val="32"/>
          <w:szCs w:val="32"/>
          <w:lang w:val="en-US" w:eastAsia="zh-CN"/>
        </w:rPr>
        <w:t>运输至成都。</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德阳市</w:t>
      </w:r>
    </w:p>
    <w:p>
      <w:pPr>
        <w:bidi w:val="0"/>
        <w:rPr>
          <w:rFonts w:hint="default" w:cs="Times New Roman"/>
          <w:color w:val="auto"/>
          <w:sz w:val="32"/>
          <w:szCs w:val="32"/>
          <w:lang w:val="en-US" w:eastAsia="zh-CN"/>
        </w:rPr>
      </w:pPr>
      <w:r>
        <w:rPr>
          <w:rFonts w:hint="eastAsia" w:cs="Times New Roman"/>
          <w:color w:val="auto"/>
          <w:sz w:val="32"/>
          <w:szCs w:val="32"/>
          <w:lang w:val="en-US" w:eastAsia="zh-CN"/>
        </w:rPr>
        <w:t>2024年10月，省委、省政府印发《关于支持德阳建设高端装备科技城的意见》，支持德阳加快发展重大装备制造产业，打造高端能源装备集群。未来，德阳将聚焦高质量建设中国装备科技城和成渝地区双城经济圈制造强市，围绕“3+1”主导产业，大力发展机械装备、材料化工、食品饮料、数字经济4大产业，提升医药制造、清洁能源、航空及航天器设备制造等产业规模。</w:t>
      </w:r>
    </w:p>
    <w:p>
      <w:pPr>
        <w:bidi w:val="0"/>
        <w:rPr>
          <w:rFonts w:hint="default" w:ascii="Times New Roman" w:hAnsi="Times New Roman" w:cs="Times New Roman"/>
          <w:color w:val="auto"/>
          <w:sz w:val="32"/>
          <w:szCs w:val="32"/>
          <w:lang w:val="en-US" w:eastAsia="zh-CN"/>
        </w:rPr>
      </w:pPr>
      <w:r>
        <w:rPr>
          <w:rFonts w:hint="eastAsia" w:cs="Times New Roman"/>
          <w:color w:val="auto"/>
          <w:sz w:val="32"/>
          <w:szCs w:val="32"/>
          <w:lang w:val="en-US" w:eastAsia="zh-CN"/>
        </w:rPr>
        <w:t>目前德阳每年约有300万吨高端装备产品（含超10万吨的大件装备）、280万吨左右的食品饮料产品及原材料运输需求，高端装备以及食品饮料主要辐射京津冀、长三角等地。示范</w:t>
      </w:r>
      <w:r>
        <w:rPr>
          <w:rFonts w:hint="default" w:ascii="Times New Roman" w:hAnsi="Times New Roman" w:eastAsia="仿宋_GB2312" w:cs="Times New Roman"/>
          <w:color w:val="auto"/>
          <w:sz w:val="32"/>
          <w:szCs w:val="32"/>
          <w:lang w:val="en-US" w:eastAsia="zh-CN"/>
        </w:rPr>
        <w:t>基地建成后，部分</w:t>
      </w:r>
      <w:r>
        <w:rPr>
          <w:rFonts w:hint="eastAsia" w:cs="Times New Roman"/>
          <w:color w:val="auto"/>
          <w:sz w:val="32"/>
          <w:szCs w:val="32"/>
          <w:lang w:val="en-US" w:eastAsia="zh-CN"/>
        </w:rPr>
        <w:t>金属轧制设备、发电设备、</w:t>
      </w:r>
      <w:r>
        <w:rPr>
          <w:rFonts w:hint="default" w:ascii="Times New Roman" w:hAnsi="Times New Roman" w:eastAsia="仿宋_GB2312" w:cs="Times New Roman"/>
          <w:color w:val="auto"/>
          <w:sz w:val="32"/>
          <w:szCs w:val="32"/>
          <w:lang w:val="en-US" w:eastAsia="zh-CN"/>
        </w:rPr>
        <w:t>白酒、粮油制品可经公路/铁路运至</w:t>
      </w:r>
      <w:r>
        <w:rPr>
          <w:rFonts w:hint="eastAsia" w:cs="Times New Roman"/>
          <w:color w:val="auto"/>
          <w:sz w:val="32"/>
          <w:szCs w:val="32"/>
          <w:lang w:val="en-US" w:eastAsia="zh-CN"/>
        </w:rPr>
        <w:t>示范</w:t>
      </w:r>
      <w:r>
        <w:rPr>
          <w:rFonts w:hint="eastAsia" w:ascii="Times New Roman" w:hAnsi="Times New Roman" w:eastAsia="仿宋_GB2312" w:cs="Times New Roman"/>
          <w:color w:val="auto"/>
          <w:sz w:val="32"/>
          <w:szCs w:val="32"/>
          <w:lang w:val="en-US" w:eastAsia="zh-CN"/>
        </w:rPr>
        <w:t>基地</w:t>
      </w:r>
      <w:r>
        <w:rPr>
          <w:rFonts w:hint="default" w:ascii="Times New Roman" w:hAnsi="Times New Roman" w:cs="Times New Roman"/>
          <w:color w:val="auto"/>
          <w:sz w:val="32"/>
          <w:szCs w:val="32"/>
          <w:lang w:val="en-US" w:eastAsia="zh-CN"/>
        </w:rPr>
        <w:t>后经水路运至长江经济带沿线地区</w:t>
      </w:r>
      <w:r>
        <w:rPr>
          <w:rFonts w:hint="eastAsia" w:ascii="Times New Roman" w:hAnsi="Times New Roman" w:cs="Times New Roman"/>
          <w:color w:val="auto"/>
          <w:sz w:val="32"/>
          <w:szCs w:val="32"/>
          <w:lang w:val="en-US" w:eastAsia="zh-CN"/>
        </w:rPr>
        <w:t>；原来由公路、铁路运输的大件装备将更多</w:t>
      </w:r>
      <w:r>
        <w:rPr>
          <w:rFonts w:hint="eastAsia" w:cs="Times New Roman"/>
          <w:color w:val="auto"/>
          <w:sz w:val="32"/>
          <w:szCs w:val="32"/>
          <w:lang w:val="en-US" w:eastAsia="zh-CN"/>
        </w:rPr>
        <w:t>地</w:t>
      </w:r>
      <w:r>
        <w:rPr>
          <w:rFonts w:hint="eastAsia" w:ascii="Times New Roman" w:hAnsi="Times New Roman" w:cs="Times New Roman"/>
          <w:color w:val="auto"/>
          <w:sz w:val="32"/>
          <w:szCs w:val="32"/>
          <w:lang w:val="en-US" w:eastAsia="zh-CN"/>
        </w:rPr>
        <w:t>诱导至乐山水路运输，支撑乐山打造大件物流区域总部。</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眉山市</w:t>
      </w:r>
    </w:p>
    <w:p>
      <w:pPr>
        <w:bidi w:val="0"/>
        <w:rPr>
          <w:rFonts w:hint="default" w:ascii="Times New Roman" w:hAnsi="Times New Roman" w:eastAsia="仿宋_GB2312" w:cstheme="minorBidi"/>
          <w:color w:val="auto"/>
          <w:sz w:val="32"/>
          <w:szCs w:val="32"/>
          <w:lang w:val="en-US" w:eastAsia="zh-CN"/>
        </w:rPr>
      </w:pPr>
      <w:r>
        <w:rPr>
          <w:rFonts w:hint="default" w:ascii="Times New Roman" w:hAnsi="Times New Roman" w:eastAsia="仿宋_GB2312" w:cs="Times New Roman"/>
          <w:color w:val="auto"/>
          <w:sz w:val="32"/>
          <w:szCs w:val="32"/>
          <w:lang w:val="en-US" w:eastAsia="zh-CN"/>
        </w:rPr>
        <w:t>眉山</w:t>
      </w:r>
      <w:r>
        <w:rPr>
          <w:rFonts w:hint="eastAsia" w:cs="Times New Roman"/>
          <w:color w:val="auto"/>
          <w:sz w:val="32"/>
          <w:szCs w:val="32"/>
          <w:lang w:val="en-US" w:eastAsia="zh-CN"/>
        </w:rPr>
        <w:t>市围绕</w:t>
      </w:r>
      <w:r>
        <w:rPr>
          <w:rFonts w:hint="default" w:ascii="Times New Roman" w:hAnsi="Times New Roman" w:eastAsia="仿宋_GB2312" w:cs="Times New Roman"/>
          <w:color w:val="auto"/>
          <w:sz w:val="32"/>
          <w:szCs w:val="32"/>
          <w:lang w:val="en-US" w:eastAsia="zh-CN"/>
        </w:rPr>
        <w:t>突出发展新能源新材料，重点发展电子信息、机械及高端装备制造、生物医药四大产业</w:t>
      </w:r>
      <w:r>
        <w:rPr>
          <w:rFonts w:hint="eastAsia" w:cs="Times New Roman"/>
          <w:color w:val="auto"/>
          <w:sz w:val="32"/>
          <w:szCs w:val="32"/>
          <w:lang w:val="en-US" w:eastAsia="zh-CN"/>
        </w:rPr>
        <w:t>，着力构建以“1+3”为主导的现代工业体系，</w:t>
      </w:r>
      <w:r>
        <w:rPr>
          <w:rFonts w:hint="eastAsia" w:ascii="Times New Roman" w:hAnsi="Times New Roman" w:cstheme="minorBidi"/>
          <w:color w:val="auto"/>
          <w:sz w:val="32"/>
          <w:szCs w:val="32"/>
          <w:lang w:val="en-US" w:eastAsia="zh-CN"/>
        </w:rPr>
        <w:t>大力</w:t>
      </w:r>
      <w:r>
        <w:rPr>
          <w:rFonts w:hint="eastAsia" w:ascii="Times New Roman" w:hAnsi="Times New Roman" w:eastAsia="仿宋_GB2312" w:cstheme="minorBidi"/>
          <w:color w:val="auto"/>
          <w:sz w:val="32"/>
          <w:szCs w:val="32"/>
          <w:lang w:val="en-US" w:eastAsia="zh-CN"/>
        </w:rPr>
        <w:t>推动电子信息、绿色能源、高端化工与成渝产业链融合</w:t>
      </w:r>
      <w:r>
        <w:rPr>
          <w:rFonts w:hint="eastAsia" w:ascii="Times New Roman" w:hAnsi="Times New Roman" w:cstheme="minorBidi"/>
          <w:color w:val="auto"/>
          <w:sz w:val="32"/>
          <w:szCs w:val="32"/>
          <w:lang w:val="en-US" w:eastAsia="zh-CN"/>
        </w:rPr>
        <w:t>，</w:t>
      </w:r>
      <w:r>
        <w:rPr>
          <w:rFonts w:hint="eastAsia" w:cstheme="minorBidi"/>
          <w:color w:val="auto"/>
          <w:sz w:val="32"/>
          <w:szCs w:val="32"/>
          <w:lang w:val="en-US" w:eastAsia="zh-CN"/>
        </w:rPr>
        <w:t>做强泡菜等特色农产品品牌，</w:t>
      </w:r>
      <w:r>
        <w:rPr>
          <w:rFonts w:hint="eastAsia" w:ascii="Times New Roman" w:hAnsi="Times New Roman" w:cstheme="minorBidi"/>
          <w:color w:val="auto"/>
          <w:sz w:val="32"/>
          <w:szCs w:val="32"/>
          <w:lang w:val="en-US" w:eastAsia="zh-CN"/>
        </w:rPr>
        <w:t>加</w:t>
      </w:r>
      <w:r>
        <w:rPr>
          <w:rFonts w:hint="eastAsia" w:ascii="Times New Roman" w:hAnsi="Times New Roman" w:eastAsia="仿宋_GB2312" w:cstheme="minorBidi"/>
          <w:color w:val="auto"/>
          <w:sz w:val="32"/>
          <w:szCs w:val="32"/>
          <w:lang w:val="en-US" w:eastAsia="zh-CN"/>
        </w:rPr>
        <w:t>快</w:t>
      </w:r>
      <w:r>
        <w:rPr>
          <w:rFonts w:hint="eastAsia" w:cstheme="minorBidi"/>
          <w:color w:val="auto"/>
          <w:sz w:val="32"/>
          <w:szCs w:val="32"/>
          <w:lang w:val="en-US" w:eastAsia="zh-CN"/>
        </w:rPr>
        <w:t>建设</w:t>
      </w:r>
      <w:r>
        <w:rPr>
          <w:rFonts w:hint="default" w:ascii="Times New Roman" w:hAnsi="Times New Roman" w:eastAsia="仿宋_GB2312" w:cs="Times New Roman"/>
          <w:color w:val="auto"/>
          <w:sz w:val="32"/>
          <w:szCs w:val="32"/>
          <w:lang w:val="en-US" w:eastAsia="zh-CN"/>
        </w:rPr>
        <w:t>成都都市圈先进制造业配套基地</w:t>
      </w:r>
      <w:r>
        <w:rPr>
          <w:rFonts w:hint="eastAsia" w:cs="Times New Roman"/>
          <w:color w:val="auto"/>
          <w:sz w:val="32"/>
          <w:szCs w:val="32"/>
          <w:lang w:val="en-US" w:eastAsia="zh-CN"/>
        </w:rPr>
        <w:t>，</w:t>
      </w:r>
      <w:r>
        <w:rPr>
          <w:rFonts w:hint="eastAsia" w:ascii="Times New Roman" w:hAnsi="Times New Roman" w:eastAsia="仿宋_GB2312" w:cstheme="minorBidi"/>
          <w:color w:val="auto"/>
          <w:sz w:val="32"/>
          <w:szCs w:val="32"/>
          <w:lang w:val="en-US" w:eastAsia="zh-CN"/>
        </w:rPr>
        <w:t>打造成渝优质农产品与预制菜中心</w:t>
      </w:r>
      <w:r>
        <w:rPr>
          <w:rFonts w:hint="eastAsia" w:cs="Times New Roman"/>
          <w:color w:val="auto"/>
          <w:sz w:val="32"/>
          <w:szCs w:val="32"/>
          <w:lang w:val="en-US" w:eastAsia="zh-CN"/>
        </w:rPr>
        <w:t>。</w:t>
      </w:r>
    </w:p>
    <w:p>
      <w:pPr>
        <w:bidi w:val="0"/>
        <w:rPr>
          <w:rFonts w:hint="default" w:ascii="Times New Roman" w:hAnsi="Times New Roman" w:eastAsia="仿宋_GB2312" w:cs="Times New Roman"/>
          <w:color w:val="auto"/>
          <w:sz w:val="32"/>
          <w:szCs w:val="32"/>
          <w:lang w:val="en-US" w:eastAsia="zh-CN"/>
        </w:rPr>
      </w:pPr>
      <w:r>
        <w:rPr>
          <w:rFonts w:hint="eastAsia" w:cs="Times New Roman"/>
          <w:color w:val="auto"/>
          <w:sz w:val="32"/>
          <w:szCs w:val="32"/>
          <w:lang w:val="en-US" w:eastAsia="zh-CN"/>
        </w:rPr>
        <w:t>目前眉山每年约有20万吨硅片等新能源产品、200万吨元明粉等化工材料、300万吨的泡菜等农产品运输需求，新能源装备材料主要来自乐山本地以及江苏等长江中下游省份，元明粉主要运往长江中下游省份，泡菜、茶叶主要销往全国各地以及出口中亚、欧洲。示范</w:t>
      </w:r>
      <w:r>
        <w:rPr>
          <w:rFonts w:hint="default" w:ascii="Times New Roman" w:hAnsi="Times New Roman" w:eastAsia="仿宋_GB2312" w:cs="Times New Roman"/>
          <w:color w:val="auto"/>
          <w:sz w:val="32"/>
          <w:szCs w:val="32"/>
          <w:lang w:val="en-US" w:eastAsia="zh-CN"/>
        </w:rPr>
        <w:t>基地建成后，眉山储能逆变器、硅片等新能源产业</w:t>
      </w:r>
      <w:r>
        <w:rPr>
          <w:rFonts w:hint="eastAsia" w:cs="Times New Roman"/>
          <w:color w:val="auto"/>
          <w:sz w:val="32"/>
          <w:szCs w:val="32"/>
          <w:lang w:val="en-US" w:eastAsia="zh-CN"/>
        </w:rPr>
        <w:t>相关产品</w:t>
      </w:r>
      <w:r>
        <w:rPr>
          <w:rFonts w:hint="default" w:ascii="Times New Roman" w:hAnsi="Times New Roman" w:eastAsia="仿宋_GB2312" w:cs="Times New Roman"/>
          <w:color w:val="auto"/>
          <w:sz w:val="32"/>
          <w:szCs w:val="32"/>
          <w:lang w:val="en-US" w:eastAsia="zh-CN"/>
        </w:rPr>
        <w:t>可通过</w:t>
      </w:r>
      <w:r>
        <w:rPr>
          <w:rFonts w:hint="eastAsia" w:cs="Times New Roman"/>
          <w:color w:val="auto"/>
          <w:sz w:val="32"/>
          <w:szCs w:val="32"/>
          <w:lang w:val="en-US" w:eastAsia="zh-CN"/>
        </w:rPr>
        <w:t>示范</w:t>
      </w:r>
      <w:r>
        <w:rPr>
          <w:rFonts w:hint="eastAsia" w:ascii="Times New Roman" w:hAnsi="Times New Roman" w:eastAsia="仿宋_GB2312" w:cs="Times New Roman"/>
          <w:color w:val="auto"/>
          <w:sz w:val="32"/>
          <w:szCs w:val="32"/>
          <w:lang w:val="en-US" w:eastAsia="zh-CN"/>
        </w:rPr>
        <w:t>基地</w:t>
      </w:r>
      <w:r>
        <w:rPr>
          <w:rFonts w:hint="default" w:ascii="Times New Roman" w:hAnsi="Times New Roman" w:eastAsia="仿宋_GB2312" w:cs="Times New Roman"/>
          <w:color w:val="auto"/>
          <w:sz w:val="32"/>
          <w:szCs w:val="32"/>
          <w:lang w:val="en-US" w:eastAsia="zh-CN"/>
        </w:rPr>
        <w:t>实现高效集散转运</w:t>
      </w:r>
      <w:r>
        <w:rPr>
          <w:rFonts w:hint="default" w:ascii="Times New Roman" w:hAnsi="Times New Roman" w:cs="Times New Roman"/>
          <w:color w:val="auto"/>
          <w:sz w:val="32"/>
          <w:szCs w:val="32"/>
          <w:lang w:val="en-US" w:eastAsia="zh-CN"/>
        </w:rPr>
        <w:t>，</w:t>
      </w:r>
      <w:r>
        <w:rPr>
          <w:rFonts w:hint="eastAsia" w:cs="Times New Roman"/>
          <w:color w:val="auto"/>
          <w:sz w:val="32"/>
          <w:szCs w:val="32"/>
          <w:lang w:val="en-US" w:eastAsia="zh-CN"/>
        </w:rPr>
        <w:t>元明粉等化工材料和</w:t>
      </w:r>
      <w:r>
        <w:rPr>
          <w:rFonts w:hint="default" w:ascii="Times New Roman" w:hAnsi="Times New Roman" w:eastAsia="仿宋_GB2312" w:cs="Times New Roman"/>
          <w:color w:val="auto"/>
          <w:sz w:val="32"/>
          <w:szCs w:val="32"/>
          <w:lang w:val="en-US" w:eastAsia="zh-CN"/>
        </w:rPr>
        <w:t>泡菜、茶等农产品可经多式联运基地运至长江经济带沿线地区。</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雅安市​</w:t>
      </w:r>
    </w:p>
    <w:p>
      <w:pPr>
        <w:bidi w:val="0"/>
        <w:rPr>
          <w:rFonts w:hint="default" w:cs="Times New Roman"/>
          <w:color w:val="auto"/>
          <w:sz w:val="32"/>
          <w:szCs w:val="32"/>
          <w:lang w:val="en-US" w:eastAsia="zh-CN"/>
        </w:rPr>
      </w:pPr>
      <w:r>
        <w:rPr>
          <w:rFonts w:hint="default" w:cs="Times New Roman"/>
          <w:color w:val="auto"/>
          <w:sz w:val="32"/>
          <w:szCs w:val="32"/>
          <w:lang w:val="en-US" w:eastAsia="zh-CN"/>
        </w:rPr>
        <w:t>雅安</w:t>
      </w:r>
      <w:r>
        <w:rPr>
          <w:rFonts w:hint="eastAsia" w:cs="Times New Roman"/>
          <w:color w:val="auto"/>
          <w:sz w:val="32"/>
          <w:szCs w:val="32"/>
          <w:lang w:val="en-US" w:eastAsia="zh-CN"/>
        </w:rPr>
        <w:t>以川藏经济协作试验区为引领，积极培育壮大先进材料、高端装备制造、特色消费品三大支柱产业，同步布局发展电子信息、储能及钒电池、氢能三大新兴产业，加快构建“3+3”现代制造业体系，积极开展涉藏地区、涉高原以及适铁、电力装备等领域的产业协作。</w:t>
      </w:r>
    </w:p>
    <w:p>
      <w:pPr>
        <w:bidi w:val="0"/>
        <w:rPr>
          <w:rFonts w:hint="default" w:ascii="Times New Roman" w:hAnsi="Times New Roman" w:eastAsia="仿宋_GB2312" w:cs="Times New Roman"/>
          <w:color w:val="auto"/>
          <w:sz w:val="32"/>
          <w:szCs w:val="32"/>
          <w:lang w:val="en-US" w:eastAsia="zh-CN"/>
        </w:rPr>
      </w:pPr>
      <w:r>
        <w:rPr>
          <w:rFonts w:hint="eastAsia" w:cs="Times New Roman"/>
          <w:color w:val="auto"/>
          <w:sz w:val="32"/>
          <w:szCs w:val="32"/>
          <w:lang w:val="en-US" w:eastAsia="zh-CN"/>
        </w:rPr>
        <w:t>目前雅安每年约有80万吨高端装备制造产品及200万吨钢材原料、290万吨水泥、100万吨铜等各类金属制品运输需求，钢材原料主要来自攀枝花、重庆，其余产品主要运往川内及长江沿线城市。示范</w:t>
      </w:r>
      <w:r>
        <w:rPr>
          <w:rFonts w:hint="default" w:ascii="Times New Roman" w:hAnsi="Times New Roman" w:eastAsia="仿宋_GB2312" w:cs="Times New Roman"/>
          <w:color w:val="auto"/>
          <w:sz w:val="32"/>
          <w:szCs w:val="32"/>
          <w:lang w:val="en-US" w:eastAsia="zh-CN"/>
        </w:rPr>
        <w:t>基地建成后，</w:t>
      </w:r>
      <w:r>
        <w:rPr>
          <w:rFonts w:hint="default" w:ascii="Times New Roman" w:hAnsi="Times New Roman" w:cs="Times New Roman"/>
          <w:color w:val="auto"/>
          <w:sz w:val="32"/>
          <w:szCs w:val="32"/>
          <w:lang w:val="en-US" w:eastAsia="zh-CN"/>
        </w:rPr>
        <w:t>可</w:t>
      </w:r>
      <w:r>
        <w:rPr>
          <w:rFonts w:hint="default" w:ascii="Times New Roman" w:hAnsi="Times New Roman" w:eastAsia="仿宋_GB2312" w:cs="Times New Roman"/>
          <w:color w:val="auto"/>
          <w:sz w:val="32"/>
          <w:szCs w:val="32"/>
          <w:lang w:val="en-US" w:eastAsia="zh-CN"/>
        </w:rPr>
        <w:t>打造为雅安</w:t>
      </w:r>
      <w:r>
        <w:rPr>
          <w:rFonts w:hint="eastAsia" w:cs="Times New Roman"/>
          <w:color w:val="auto"/>
          <w:sz w:val="32"/>
          <w:szCs w:val="32"/>
          <w:lang w:val="en-US" w:eastAsia="zh-CN"/>
        </w:rPr>
        <w:t>装备</w:t>
      </w:r>
      <w:r>
        <w:rPr>
          <w:rFonts w:hint="default" w:ascii="Times New Roman" w:hAnsi="Times New Roman" w:eastAsia="仿宋_GB2312" w:cs="Times New Roman"/>
          <w:color w:val="auto"/>
          <w:sz w:val="32"/>
          <w:szCs w:val="32"/>
          <w:lang w:val="en-US" w:eastAsia="zh-CN"/>
        </w:rPr>
        <w:t>产业的前置货舱，积极承接雅安市进口钢材</w:t>
      </w:r>
      <w:r>
        <w:rPr>
          <w:rFonts w:hint="eastAsia" w:cs="Times New Roman"/>
          <w:color w:val="auto"/>
          <w:sz w:val="32"/>
          <w:szCs w:val="32"/>
          <w:lang w:val="en-US" w:eastAsia="zh-CN"/>
        </w:rPr>
        <w:t>以及高端装备、金属制品等外运</w:t>
      </w:r>
      <w:r>
        <w:rPr>
          <w:rFonts w:hint="default" w:ascii="Times New Roman" w:hAnsi="Times New Roman" w:eastAsia="仿宋_GB2312" w:cs="Times New Roman"/>
          <w:color w:val="auto"/>
          <w:sz w:val="32"/>
          <w:szCs w:val="32"/>
          <w:lang w:val="en-US" w:eastAsia="zh-CN"/>
        </w:rPr>
        <w:t>运输，</w:t>
      </w:r>
      <w:r>
        <w:rPr>
          <w:rFonts w:hint="eastAsia" w:cs="Times New Roman"/>
          <w:color w:val="auto"/>
          <w:sz w:val="32"/>
          <w:szCs w:val="32"/>
          <w:lang w:val="en-US" w:eastAsia="zh-CN"/>
        </w:rPr>
        <w:t>同时承担雅安生活消费品运输，依托</w:t>
      </w:r>
      <w:r>
        <w:rPr>
          <w:rFonts w:hint="default" w:ascii="Times New Roman" w:hAnsi="Times New Roman" w:eastAsia="仿宋_GB2312" w:cs="Times New Roman"/>
          <w:color w:val="auto"/>
          <w:sz w:val="32"/>
          <w:szCs w:val="32"/>
          <w:lang w:val="en-US" w:eastAsia="zh-CN"/>
        </w:rPr>
        <w:t>长江—岷江构建</w:t>
      </w:r>
      <w:r>
        <w:rPr>
          <w:rFonts w:hint="eastAsia" w:cs="Times New Roman"/>
          <w:color w:val="auto"/>
          <w:sz w:val="32"/>
          <w:szCs w:val="32"/>
          <w:lang w:val="en-US" w:eastAsia="zh-CN"/>
        </w:rPr>
        <w:t>长江沿线</w:t>
      </w:r>
      <w:r>
        <w:rPr>
          <w:rFonts w:hint="default" w:ascii="Times New Roman" w:hAnsi="Times New Roman" w:eastAsia="仿宋_GB2312" w:cs="Times New Roman"/>
          <w:color w:val="auto"/>
          <w:sz w:val="32"/>
          <w:szCs w:val="32"/>
          <w:lang w:val="en-US" w:eastAsia="zh-CN"/>
        </w:rPr>
        <w:t>—乐山—雅安多式联运通道</w:t>
      </w:r>
      <w:r>
        <w:rPr>
          <w:rFonts w:hint="eastAsia" w:cs="Times New Roman"/>
          <w:color w:val="auto"/>
          <w:sz w:val="32"/>
          <w:szCs w:val="32"/>
          <w:lang w:val="en-US" w:eastAsia="zh-CN"/>
        </w:rPr>
        <w:t>，将乐山打造为雅安“借港出川”的核心节点。</w:t>
      </w:r>
    </w:p>
    <w:p>
      <w:pPr>
        <w:pStyle w:val="4"/>
        <w:keepNext/>
        <w:keepLines w:val="0"/>
        <w:pageBreakBefore w:val="0"/>
        <w:widowControl w:val="0"/>
        <w:kinsoku/>
        <w:wordWrap/>
        <w:overflowPunct/>
        <w:topLinePunct w:val="0"/>
        <w:autoSpaceDE/>
        <w:autoSpaceDN/>
        <w:bidi w:val="0"/>
        <w:adjustRightInd w:val="0"/>
        <w:textAlignment w:val="auto"/>
        <w:rPr>
          <w:rFonts w:hint="default" w:ascii="Times New Roman" w:hAnsi="Times New Roman" w:cs="Times New Roman"/>
          <w:color w:val="auto"/>
          <w:lang w:val="en-US" w:eastAsia="zh-CN"/>
        </w:rPr>
      </w:pPr>
      <w:bookmarkStart w:id="89" w:name="_Toc7273"/>
      <w:bookmarkStart w:id="90" w:name="_Toc26629"/>
      <w:bookmarkStart w:id="91" w:name="_Toc967"/>
      <w:bookmarkStart w:id="92" w:name="_Toc30613"/>
      <w:bookmarkStart w:id="93" w:name="_Toc4354"/>
      <w:bookmarkStart w:id="94" w:name="_Toc23059"/>
      <w:bookmarkStart w:id="95" w:name="_Toc3461"/>
      <w:r>
        <w:rPr>
          <w:rFonts w:hint="default" w:ascii="Times New Roman" w:hAnsi="Times New Roman" w:cs="Times New Roman"/>
          <w:color w:val="auto"/>
          <w:lang w:val="en-US" w:eastAsia="zh-CN"/>
        </w:rPr>
        <w:t>物流需求预测</w:t>
      </w:r>
      <w:bookmarkEnd w:id="89"/>
      <w:bookmarkEnd w:id="90"/>
      <w:bookmarkEnd w:id="91"/>
      <w:bookmarkEnd w:id="92"/>
      <w:bookmarkEnd w:id="93"/>
      <w:bookmarkEnd w:id="94"/>
      <w:bookmarkEnd w:id="95"/>
    </w:p>
    <w:p>
      <w:pPr>
        <w:bidi w:val="0"/>
        <w:rPr>
          <w:rFonts w:hint="default" w:ascii="Times New Roman" w:hAnsi="Times New Roman" w:cs="Times New Roman"/>
          <w:color w:val="auto"/>
          <w:lang w:val="en-US" w:eastAsia="zh-CN"/>
        </w:rPr>
      </w:pPr>
      <w:r>
        <w:rPr>
          <w:rFonts w:hint="eastAsia" w:cs="Times New Roman"/>
          <w:color w:val="auto"/>
          <w:lang w:val="en-US" w:eastAsia="zh-CN"/>
        </w:rPr>
        <w:t>综合考虑示范基地目前相关项目前期工作进度，并参考其他同类物流枢纽设施建设周期，初步认为，经过10年左右全面建设期，示范基地全部必要功能设施基本建成投用，示范基地达到稳定运营状态。因此，本项目以2035年运输需求预测数据作为示范基地确定各类设施建设规划规模的依据，具体预测数据参考其他城市货运量增长及预测经验，分乐观、基准、保守三种情景分别预测得到高、中、低三种运输需求。</w:t>
      </w:r>
    </w:p>
    <w:p>
      <w:pPr>
        <w:pStyle w:val="5"/>
        <w:keepNext/>
        <w:keepLines w:val="0"/>
        <w:pageBreakBefore w:val="0"/>
        <w:widowControl w:val="0"/>
        <w:kinsoku/>
        <w:wordWrap/>
        <w:overflowPunct/>
        <w:topLinePunct w:val="0"/>
        <w:autoSpaceDE/>
        <w:autoSpaceDN/>
        <w:bidi w:val="0"/>
        <w:adjustRightIn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市</w:t>
      </w:r>
      <w:r>
        <w:rPr>
          <w:rFonts w:hint="eastAsia" w:cs="Times New Roman"/>
          <w:color w:val="auto"/>
          <w:lang w:val="en-US" w:eastAsia="zh-CN"/>
        </w:rPr>
        <w:t>域</w:t>
      </w:r>
      <w:r>
        <w:rPr>
          <w:rFonts w:hint="default" w:ascii="Times New Roman" w:hAnsi="Times New Roman" w:cs="Times New Roman"/>
          <w:color w:val="auto"/>
          <w:lang w:val="en-US" w:eastAsia="zh-CN"/>
        </w:rPr>
        <w:t>需求预测</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基于调研得到乐山市各货种历史货运量数据以及全市产业发展趋势，综合考虑乐山作为区域工业中心的集中运输需求、货物运输需求特性以及</w:t>
      </w:r>
      <w:r>
        <w:rPr>
          <w:rFonts w:hint="eastAsia" w:ascii="Times New Roman" w:hAnsi="Times New Roman" w:cs="Times New Roman"/>
          <w:color w:val="auto"/>
          <w:lang w:val="en-US" w:eastAsia="zh-CN"/>
        </w:rPr>
        <w:t>示范基地</w:t>
      </w:r>
      <w:r>
        <w:rPr>
          <w:rFonts w:hint="default" w:ascii="Times New Roman" w:hAnsi="Times New Roman" w:cs="Times New Roman"/>
          <w:color w:val="auto"/>
          <w:lang w:val="en-US" w:eastAsia="zh-CN"/>
        </w:rPr>
        <w:t>在多式联运、专业化仓储</w:t>
      </w:r>
      <w:r>
        <w:rPr>
          <w:rFonts w:hint="eastAsia" w:ascii="Times New Roman" w:hAnsi="Times New Roman" w:cs="Times New Roman"/>
          <w:color w:val="auto"/>
          <w:lang w:val="en-US" w:eastAsia="zh-CN"/>
        </w:rPr>
        <w:t>、大宗物资物贸一</w:t>
      </w:r>
      <w:r>
        <w:rPr>
          <w:rFonts w:hint="eastAsia" w:cs="Times New Roman"/>
          <w:color w:val="auto"/>
          <w:lang w:val="en-US" w:eastAsia="zh-CN"/>
        </w:rPr>
        <w:t>体化</w:t>
      </w:r>
      <w:r>
        <w:rPr>
          <w:rFonts w:hint="default" w:ascii="Times New Roman" w:hAnsi="Times New Roman" w:cs="Times New Roman"/>
          <w:color w:val="auto"/>
          <w:lang w:val="en-US" w:eastAsia="zh-CN"/>
        </w:rPr>
        <w:t>等方面的服务能力，预测</w:t>
      </w:r>
      <w:r>
        <w:rPr>
          <w:rFonts w:hint="eastAsia" w:ascii="Times New Roman" w:hAnsi="Times New Roman" w:cs="Times New Roman"/>
          <w:color w:val="auto"/>
          <w:lang w:val="en-US" w:eastAsia="zh-CN"/>
        </w:rPr>
        <w:t>示范基地</w:t>
      </w:r>
      <w:r>
        <w:rPr>
          <w:rFonts w:hint="default" w:ascii="Times New Roman" w:hAnsi="Times New Roman" w:cs="Times New Roman"/>
          <w:color w:val="auto"/>
          <w:lang w:val="en-US" w:eastAsia="zh-CN"/>
        </w:rPr>
        <w:t>可承载乐山市内货运量如下。</w:t>
      </w:r>
    </w:p>
    <w:p>
      <w:pPr>
        <w:pStyle w:val="7"/>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12</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w:t>
      </w:r>
      <w:r>
        <w:rPr>
          <w:rFonts w:hint="eastAsia" w:cs="Times New Roman"/>
          <w:color w:val="auto"/>
          <w:lang w:val="en-US" w:eastAsia="zh-CN"/>
        </w:rPr>
        <w:t>全市</w:t>
      </w:r>
      <w:r>
        <w:rPr>
          <w:rFonts w:hint="default" w:ascii="Times New Roman" w:hAnsi="Times New Roman" w:cs="Times New Roman"/>
          <w:color w:val="auto"/>
          <w:lang w:val="en-US" w:eastAsia="zh-CN"/>
        </w:rPr>
        <w:t>散货类货运量预测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7"/>
        <w:gridCol w:w="986"/>
        <w:gridCol w:w="1785"/>
        <w:gridCol w:w="1203"/>
        <w:gridCol w:w="1384"/>
        <w:gridCol w:w="1432"/>
        <w:gridCol w:w="1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35"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货类</w:t>
            </w:r>
          </w:p>
        </w:tc>
        <w:tc>
          <w:tcPr>
            <w:tcW w:w="1979"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运出/万吨</w:t>
            </w:r>
          </w:p>
        </w:tc>
        <w:tc>
          <w:tcPr>
            <w:tcW w:w="2085"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3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center"/>
              <w:textAlignment w:val="auto"/>
              <w:rPr>
                <w:rFonts w:hint="eastAsia" w:ascii="黑体" w:hAnsi="黑体" w:eastAsia="黑体" w:cs="黑体"/>
                <w:b w:val="0"/>
                <w:bCs w:val="0"/>
                <w:color w:val="auto"/>
              </w:rPr>
            </w:pPr>
          </w:p>
        </w:tc>
        <w:tc>
          <w:tcPr>
            <w:tcW w:w="491"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5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c>
          <w:tcPr>
            <w:tcW w:w="68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682"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煤炭</w:t>
            </w:r>
          </w:p>
        </w:tc>
        <w:tc>
          <w:tcPr>
            <w:tcW w:w="9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Times New Roman" w:hAnsi="Times New Roman" w:eastAsia="仿宋_GB2312" w:cs="Times New Roman"/>
                <w:b w:val="0"/>
                <w:color w:val="auto"/>
                <w:kern w:val="2"/>
                <w:szCs w:val="24"/>
                <w:lang w:eastAsia="zh-CN"/>
              </w:rPr>
            </w:pPr>
            <w:r>
              <w:rPr>
                <w:rFonts w:hint="eastAsia"/>
                <w:color w:val="auto"/>
                <w:lang w:val="en-US" w:eastAsia="zh-CN"/>
              </w:rPr>
              <w:t>4</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Times New Roman" w:hAnsi="Times New Roman" w:eastAsia="仿宋_GB2312" w:cs="Times New Roman"/>
                <w:b w:val="0"/>
                <w:color w:val="auto"/>
                <w:kern w:val="2"/>
                <w:szCs w:val="24"/>
                <w:lang w:val="en-US" w:eastAsia="zh-CN"/>
              </w:rPr>
            </w:pPr>
            <w:r>
              <w:rPr>
                <w:rFonts w:hint="eastAsia"/>
                <w:color w:val="auto"/>
                <w:lang w:val="en-US" w:eastAsia="zh-CN"/>
              </w:rPr>
              <w:t>4</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Times New Roman" w:hAnsi="Times New Roman" w:eastAsia="仿宋_GB2312" w:cs="Times New Roman"/>
                <w:b w:val="0"/>
                <w:color w:val="auto"/>
                <w:kern w:val="2"/>
                <w:szCs w:val="24"/>
                <w:lang w:val="en-US" w:eastAsia="zh-CN"/>
              </w:rPr>
            </w:pPr>
            <w:r>
              <w:rPr>
                <w:rFonts w:hint="eastAsia"/>
                <w:color w:val="auto"/>
                <w:lang w:val="en-US" w:eastAsia="zh-CN"/>
              </w:rPr>
              <w:t>3</w:t>
            </w:r>
          </w:p>
        </w:tc>
        <w:tc>
          <w:tcPr>
            <w:tcW w:w="13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50</w:t>
            </w:r>
          </w:p>
        </w:tc>
        <w:tc>
          <w:tcPr>
            <w:tcW w:w="143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48</w:t>
            </w:r>
          </w:p>
        </w:tc>
        <w:tc>
          <w:tcPr>
            <w:tcW w:w="137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eastAsia="zh-CN"/>
              </w:rPr>
            </w:pPr>
            <w:r>
              <w:rPr>
                <w:rFonts w:hint="eastAsia"/>
                <w:color w:val="auto"/>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金属矿石</w:t>
            </w:r>
          </w:p>
        </w:tc>
        <w:tc>
          <w:tcPr>
            <w:tcW w:w="9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rFonts w:hint="eastAsia"/>
                <w:color w:val="auto"/>
                <w:lang w:val="en-US" w:eastAsia="zh-CN"/>
              </w:rPr>
              <w:t>2</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rFonts w:hint="eastAsia"/>
                <w:color w:val="auto"/>
                <w:lang w:val="en-US" w:eastAsia="zh-CN"/>
              </w:rPr>
              <w:t>2</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rFonts w:hint="eastAsia"/>
                <w:color w:val="auto"/>
                <w:lang w:val="en-US" w:eastAsia="zh-CN"/>
              </w:rPr>
              <w:t>2</w:t>
            </w:r>
          </w:p>
        </w:tc>
        <w:tc>
          <w:tcPr>
            <w:tcW w:w="13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27</w:t>
            </w:r>
          </w:p>
        </w:tc>
        <w:tc>
          <w:tcPr>
            <w:tcW w:w="143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26</w:t>
            </w:r>
          </w:p>
        </w:tc>
        <w:tc>
          <w:tcPr>
            <w:tcW w:w="137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矿建材料</w:t>
            </w:r>
          </w:p>
        </w:tc>
        <w:tc>
          <w:tcPr>
            <w:tcW w:w="9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rFonts w:hint="eastAsia"/>
                <w:color w:val="auto"/>
                <w:lang w:val="en-US" w:eastAsia="zh-CN"/>
              </w:rPr>
              <w:t>46</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rFonts w:hint="eastAsia"/>
                <w:color w:val="auto"/>
                <w:lang w:val="en-US" w:eastAsia="zh-CN"/>
              </w:rPr>
              <w:t>44</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rFonts w:hint="eastAsia"/>
                <w:color w:val="auto"/>
                <w:lang w:val="en-US" w:eastAsia="zh-CN"/>
              </w:rPr>
              <w:t>41</w:t>
            </w:r>
          </w:p>
        </w:tc>
        <w:tc>
          <w:tcPr>
            <w:tcW w:w="13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eastAsia="zh-CN"/>
              </w:rPr>
            </w:pPr>
            <w:r>
              <w:rPr>
                <w:rFonts w:hint="eastAsia"/>
                <w:color w:val="auto"/>
                <w:lang w:val="en-US" w:eastAsia="zh-CN"/>
              </w:rPr>
              <w:t>30</w:t>
            </w:r>
          </w:p>
        </w:tc>
        <w:tc>
          <w:tcPr>
            <w:tcW w:w="143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29</w:t>
            </w:r>
          </w:p>
        </w:tc>
        <w:tc>
          <w:tcPr>
            <w:tcW w:w="137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eastAsia="zh-CN"/>
              </w:rPr>
            </w:pPr>
            <w:r>
              <w:rPr>
                <w:rFonts w:hint="eastAsia"/>
                <w:color w:val="auto"/>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非金属矿石</w:t>
            </w:r>
          </w:p>
        </w:tc>
        <w:tc>
          <w:tcPr>
            <w:tcW w:w="9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color w:val="auto"/>
                <w:lang w:val="en-US" w:eastAsia="zh-CN"/>
              </w:rPr>
            </w:pPr>
            <w:r>
              <w:rPr>
                <w:rFonts w:hint="eastAsia"/>
                <w:color w:val="auto"/>
                <w:lang w:val="en-US" w:eastAsia="zh-CN"/>
              </w:rPr>
              <w:t>5</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color w:val="auto"/>
                <w:lang w:val="en-US" w:eastAsia="zh-CN"/>
              </w:rPr>
            </w:pPr>
            <w:r>
              <w:rPr>
                <w:rFonts w:hint="eastAsia"/>
                <w:color w:val="auto"/>
                <w:lang w:val="en-US" w:eastAsia="zh-CN"/>
              </w:rPr>
              <w:t>4</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color w:val="auto"/>
                <w:lang w:val="en-US" w:eastAsia="zh-CN"/>
              </w:rPr>
            </w:pPr>
            <w:r>
              <w:rPr>
                <w:rFonts w:hint="eastAsia"/>
                <w:color w:val="auto"/>
                <w:lang w:val="en-US" w:eastAsia="zh-CN"/>
              </w:rPr>
              <w:t>4</w:t>
            </w:r>
          </w:p>
        </w:tc>
        <w:tc>
          <w:tcPr>
            <w:tcW w:w="13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Times New Roman" w:hAnsi="Times New Roman"/>
                <w:color w:val="auto"/>
                <w:lang w:val="en-US" w:eastAsia="zh-CN"/>
              </w:rPr>
            </w:pPr>
            <w:r>
              <w:rPr>
                <w:rFonts w:hint="eastAsia"/>
                <w:color w:val="auto"/>
                <w:lang w:val="en-US" w:eastAsia="zh-CN"/>
              </w:rPr>
              <w:t>2</w:t>
            </w:r>
          </w:p>
        </w:tc>
        <w:tc>
          <w:tcPr>
            <w:tcW w:w="143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Times New Roman" w:hAnsi="Times New Roman"/>
                <w:color w:val="auto"/>
                <w:lang w:val="en-US" w:eastAsia="zh-CN"/>
              </w:rPr>
            </w:pPr>
            <w:r>
              <w:rPr>
                <w:rFonts w:hint="eastAsia"/>
                <w:color w:val="auto"/>
                <w:lang w:val="en-US" w:eastAsia="zh-CN"/>
              </w:rPr>
              <w:t>2</w:t>
            </w:r>
          </w:p>
        </w:tc>
        <w:tc>
          <w:tcPr>
            <w:tcW w:w="1372"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Times New Roman" w:hAnsi="Times New Roman"/>
                <w:color w:val="auto"/>
                <w:lang w:val="en-US" w:eastAsia="zh-CN"/>
              </w:rPr>
            </w:pPr>
            <w:r>
              <w:rPr>
                <w:rFonts w:hint="eastAsia"/>
                <w:color w:val="auto"/>
                <w:lang w:val="en-US" w:eastAsia="zh-CN"/>
              </w:rPr>
              <w:t>2</w:t>
            </w:r>
          </w:p>
        </w:tc>
      </w:tr>
    </w:tbl>
    <w:p>
      <w:pPr>
        <w:pStyle w:val="7"/>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13</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w:t>
      </w:r>
      <w:r>
        <w:rPr>
          <w:rFonts w:hint="eastAsia" w:cs="Times New Roman"/>
          <w:color w:val="auto"/>
          <w:lang w:val="en-US" w:eastAsia="zh-CN"/>
        </w:rPr>
        <w:t>全市</w:t>
      </w:r>
      <w:r>
        <w:rPr>
          <w:rFonts w:hint="eastAsia"/>
          <w:color w:val="auto"/>
          <w:lang w:val="en-US" w:eastAsia="zh-CN"/>
        </w:rPr>
        <w:t>大宗商品类</w:t>
      </w:r>
      <w:r>
        <w:rPr>
          <w:rFonts w:hint="default" w:ascii="Times New Roman" w:hAnsi="Times New Roman" w:cs="Times New Roman"/>
          <w:color w:val="auto"/>
          <w:lang w:val="en-US" w:eastAsia="zh-CN"/>
        </w:rPr>
        <w:t>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434"/>
        <w:gridCol w:w="1434"/>
        <w:gridCol w:w="1434"/>
        <w:gridCol w:w="1434"/>
        <w:gridCol w:w="1434"/>
        <w:gridCol w:w="1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13"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r>
              <w:rPr>
                <w:rFonts w:hint="eastAsia" w:ascii="黑体" w:hAnsi="黑体" w:eastAsia="黑体" w:cs="黑体"/>
                <w:color w:val="auto"/>
              </w:rPr>
              <w:t>货类</w:t>
            </w:r>
          </w:p>
        </w:tc>
        <w:tc>
          <w:tcPr>
            <w:tcW w:w="2142" w:type="pct"/>
            <w:gridSpan w:val="3"/>
            <w:tcBorders>
              <w:top w:val="single" w:color="000000" w:sz="4" w:space="0"/>
              <w:left w:val="nil"/>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r>
              <w:rPr>
                <w:rFonts w:hint="eastAsia" w:ascii="黑体" w:hAnsi="黑体" w:eastAsia="黑体" w:cs="黑体"/>
                <w:color w:val="auto"/>
              </w:rPr>
              <w:t>运出/万吨</w:t>
            </w:r>
          </w:p>
        </w:tc>
        <w:tc>
          <w:tcPr>
            <w:tcW w:w="2144" w:type="pct"/>
            <w:gridSpan w:val="3"/>
            <w:tcBorders>
              <w:top w:val="single" w:color="000000" w:sz="4" w:space="0"/>
              <w:left w:val="nil"/>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r>
              <w:rPr>
                <w:rFonts w:hint="eastAsia" w:ascii="黑体" w:hAnsi="黑体" w:eastAsia="黑体" w:cs="黑体"/>
                <w:color w:val="auto"/>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r>
              <w:rPr>
                <w:rFonts w:hint="eastAsia" w:ascii="黑体" w:hAnsi="黑体" w:eastAsia="黑体" w:cs="黑体"/>
                <w:color w:val="auto"/>
              </w:rPr>
              <w:t>乐观</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r>
              <w:rPr>
                <w:rFonts w:hint="eastAsia" w:ascii="黑体" w:hAnsi="黑体" w:eastAsia="黑体" w:cs="黑体"/>
                <w:color w:val="auto"/>
              </w:rPr>
              <w:t>基准</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r>
              <w:rPr>
                <w:rFonts w:hint="eastAsia" w:ascii="黑体" w:hAnsi="黑体" w:eastAsia="黑体" w:cs="黑体"/>
                <w:color w:val="auto"/>
              </w:rPr>
              <w:t>保守</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r>
              <w:rPr>
                <w:rFonts w:hint="eastAsia" w:ascii="黑体" w:hAnsi="黑体" w:eastAsia="黑体" w:cs="黑体"/>
                <w:color w:val="auto"/>
              </w:rPr>
              <w:t>乐观</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r>
              <w:rPr>
                <w:rFonts w:hint="eastAsia" w:ascii="黑体" w:hAnsi="黑体" w:eastAsia="黑体" w:cs="黑体"/>
                <w:color w:val="auto"/>
              </w:rPr>
              <w:t>基准</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eastAsia" w:ascii="黑体" w:hAnsi="黑体" w:eastAsia="黑体" w:cs="黑体"/>
                <w:color w:val="auto"/>
              </w:rPr>
            </w:pPr>
            <w:r>
              <w:rPr>
                <w:rFonts w:hint="eastAsia" w:ascii="黑体" w:hAnsi="黑体" w:eastAsia="黑体" w:cs="黑体"/>
                <w:color w:val="auto"/>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color w:val="auto"/>
              </w:rPr>
            </w:pPr>
            <w:r>
              <w:rPr>
                <w:color w:val="auto"/>
              </w:rPr>
              <w:t>瓷砖</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81</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color w:val="auto"/>
              </w:rPr>
              <w:t>77</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color w:val="auto"/>
              </w:rPr>
              <w:t>72</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color w:val="auto"/>
              </w:rPr>
            </w:pPr>
            <w:r>
              <w:rPr>
                <w:color w:val="auto"/>
              </w:rPr>
              <w:t>/</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color w:val="auto"/>
              </w:rPr>
            </w:pPr>
            <w:r>
              <w:rPr>
                <w:color w:val="auto"/>
              </w:rPr>
              <w:t>/</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color w:val="auto"/>
              </w:rPr>
            </w:pPr>
            <w:r>
              <w:rPr>
                <w:color w:val="auto"/>
              </w:rPr>
              <w:t>钢材</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50</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color w:val="auto"/>
              </w:rPr>
              <w:t>48</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color w:val="auto"/>
              </w:rPr>
              <w:t>45</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color w:val="auto"/>
              </w:rPr>
              <w:t>1</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color w:val="auto"/>
              </w:rPr>
            </w:pPr>
            <w:r>
              <w:rPr>
                <w:color w:val="auto"/>
              </w:rPr>
              <w:t>水泥</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110</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105</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98</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color w:val="auto"/>
              </w:rPr>
            </w:pPr>
            <w:r>
              <w:rPr>
                <w:color w:val="auto"/>
              </w:rPr>
              <w:t>/</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color w:val="auto"/>
              </w:rPr>
            </w:pPr>
            <w:r>
              <w:rPr>
                <w:color w:val="auto"/>
              </w:rPr>
              <w:t>/</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eastAsia="仿宋_GB2312"/>
                <w:color w:val="auto"/>
                <w:lang w:val="en-US" w:eastAsia="zh-CN"/>
              </w:rPr>
            </w:pPr>
            <w:r>
              <w:rPr>
                <w:rFonts w:hint="eastAsia"/>
                <w:color w:val="auto"/>
                <w:lang w:val="en-US" w:eastAsia="zh-CN"/>
              </w:rPr>
              <w:t>晶硅产品</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28</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27</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25</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color w:val="auto"/>
              </w:rPr>
            </w:pPr>
            <w:r>
              <w:rPr>
                <w:color w:val="auto"/>
              </w:rPr>
              <w:t>/</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color w:val="auto"/>
              </w:rPr>
            </w:pPr>
            <w:r>
              <w:rPr>
                <w:color w:val="auto"/>
              </w:rPr>
              <w:t>/</w:t>
            </w:r>
          </w:p>
        </w:tc>
        <w:tc>
          <w:tcPr>
            <w:tcW w:w="714" w:type="pct"/>
            <w:tcBorders>
              <w:top w:val="single" w:color="000000" w:sz="4" w:space="0"/>
              <w:left w:val="nil"/>
              <w:bottom w:val="single" w:color="000000" w:sz="4" w:space="0"/>
              <w:right w:val="single" w:color="000000" w:sz="4" w:space="0"/>
            </w:tcBorders>
            <w:shd w:val="clear" w:color="auto" w:fill="FFFFFF"/>
            <w:vAlign w:val="center"/>
          </w:tcPr>
          <w:p>
            <w:pPr>
              <w:pStyle w:val="32"/>
              <w:rPr>
                <w:color w:val="auto"/>
              </w:rPr>
            </w:pPr>
            <w:r>
              <w:rPr>
                <w:color w:val="auto"/>
              </w:rPr>
              <w:t>/</w:t>
            </w:r>
          </w:p>
        </w:tc>
      </w:tr>
    </w:tbl>
    <w:p>
      <w:pPr>
        <w:pStyle w:val="7"/>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w:t>
      </w:r>
      <w:r>
        <w:rPr>
          <w:rFonts w:hint="eastAsia" w:cs="Times New Roman"/>
          <w:color w:val="auto"/>
          <w:lang w:val="en-US" w:eastAsia="zh-CN"/>
        </w:rPr>
        <w:t>全市</w:t>
      </w:r>
      <w:r>
        <w:rPr>
          <w:rFonts w:hint="default" w:ascii="Times New Roman" w:hAnsi="Times New Roman" w:cs="Times New Roman"/>
          <w:color w:val="auto"/>
          <w:lang w:val="en-US" w:eastAsia="zh-CN"/>
        </w:rPr>
        <w:t>绿色化工类货运量预测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434"/>
        <w:gridCol w:w="1434"/>
        <w:gridCol w:w="1434"/>
        <w:gridCol w:w="1434"/>
        <w:gridCol w:w="1434"/>
        <w:gridCol w:w="1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713"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货类</w:t>
            </w:r>
          </w:p>
        </w:tc>
        <w:tc>
          <w:tcPr>
            <w:tcW w:w="2142"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运出/万吨</w:t>
            </w:r>
          </w:p>
        </w:tc>
        <w:tc>
          <w:tcPr>
            <w:tcW w:w="214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center"/>
              <w:textAlignment w:val="auto"/>
              <w:rPr>
                <w:rFonts w:hint="eastAsia" w:ascii="黑体" w:hAnsi="黑体" w:eastAsia="黑体" w:cs="黑体"/>
                <w:b w:val="0"/>
                <w:bCs w:val="0"/>
                <w:color w:val="auto"/>
              </w:rPr>
            </w:pP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原盐</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28</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color w:val="auto"/>
              </w:rPr>
              <w:t>26</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color w:val="auto"/>
              </w:rPr>
              <w:t>2</w:t>
            </w:r>
            <w:r>
              <w:rPr>
                <w:rFonts w:hint="eastAsia"/>
                <w:color w:val="auto"/>
                <w:lang w:val="en-US" w:eastAsia="zh-CN"/>
              </w:rPr>
              <w:t>5</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color w:val="auto"/>
              </w:rPr>
              <w:t>/</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color w:val="auto"/>
              </w:rPr>
              <w:t>/</w:t>
            </w:r>
          </w:p>
        </w:tc>
        <w:tc>
          <w:tcPr>
            <w:tcW w:w="1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纯碱</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color w:val="auto"/>
              </w:rPr>
              <w:t>12</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color w:val="auto"/>
              </w:rPr>
              <w:t>1</w:t>
            </w:r>
            <w:r>
              <w:rPr>
                <w:rFonts w:hint="eastAsia"/>
                <w:color w:val="auto"/>
                <w:lang w:val="en-US" w:eastAsia="zh-CN"/>
              </w:rPr>
              <w:t>2</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11</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0.6</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0.6</w:t>
            </w:r>
          </w:p>
        </w:tc>
        <w:tc>
          <w:tcPr>
            <w:tcW w:w="1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化工原料及制品</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39</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37</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36</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10</w:t>
            </w:r>
          </w:p>
        </w:tc>
        <w:tc>
          <w:tcPr>
            <w:tcW w:w="14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10</w:t>
            </w:r>
          </w:p>
        </w:tc>
        <w:tc>
          <w:tcPr>
            <w:tcW w:w="1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kinsoku/>
              <w:wordWrap/>
              <w:overflowPunct/>
              <w:topLinePunct w:val="0"/>
              <w:autoSpaceDE/>
              <w:autoSpaceDN/>
              <w:bidi w:val="0"/>
              <w:adjustRightInd/>
              <w:textAlignment w:val="auto"/>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9</w:t>
            </w:r>
          </w:p>
        </w:tc>
      </w:tr>
    </w:tbl>
    <w:p>
      <w:pPr>
        <w:pStyle w:val="7"/>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15</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w:t>
      </w:r>
      <w:r>
        <w:rPr>
          <w:rFonts w:hint="eastAsia" w:cs="Times New Roman"/>
          <w:color w:val="auto"/>
          <w:lang w:val="en-US" w:eastAsia="zh-CN"/>
        </w:rPr>
        <w:t>全市</w:t>
      </w:r>
      <w:r>
        <w:rPr>
          <w:rFonts w:hint="default" w:ascii="Times New Roman" w:hAnsi="Times New Roman" w:cs="Times New Roman"/>
          <w:color w:val="auto"/>
          <w:lang w:val="en-US" w:eastAsia="zh-CN"/>
        </w:rPr>
        <w:t>生活物资类货运量预测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434"/>
        <w:gridCol w:w="1434"/>
        <w:gridCol w:w="1434"/>
        <w:gridCol w:w="1434"/>
        <w:gridCol w:w="1434"/>
        <w:gridCol w:w="1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货类</w:t>
            </w:r>
          </w:p>
        </w:tc>
        <w:tc>
          <w:tcPr>
            <w:tcW w:w="2142"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运出/万吨</w:t>
            </w:r>
          </w:p>
        </w:tc>
        <w:tc>
          <w:tcPr>
            <w:tcW w:w="214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center"/>
              <w:textAlignment w:val="auto"/>
              <w:rPr>
                <w:rFonts w:hint="eastAsia" w:ascii="黑体" w:hAnsi="黑体" w:eastAsia="黑体" w:cs="黑体"/>
                <w:b w:val="0"/>
                <w:bCs w:val="0"/>
                <w:color w:val="auto"/>
              </w:rPr>
            </w:pP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食品饮料</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b w:val="0"/>
                <w:color w:val="auto"/>
                <w:sz w:val="24"/>
                <w:szCs w:val="24"/>
                <w:lang w:val="en-US" w:eastAsia="zh-CN"/>
              </w:rPr>
            </w:pPr>
            <w:r>
              <w:rPr>
                <w:rFonts w:hint="default" w:ascii="Times New Roman" w:hAnsi="Times New Roman" w:eastAsia="仿宋_GB2312" w:cs="Times New Roman"/>
                <w:b w:val="0"/>
                <w:snapToGrid/>
                <w:color w:val="auto"/>
                <w:kern w:val="2"/>
                <w:sz w:val="24"/>
                <w:szCs w:val="24"/>
                <w:lang w:val="en-US" w:eastAsia="zh-CN" w:bidi="ar"/>
              </w:rPr>
              <w:t>29</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b w:val="0"/>
                <w:color w:val="auto"/>
                <w:sz w:val="24"/>
                <w:szCs w:val="24"/>
                <w:lang w:val="en-US" w:eastAsia="zh-CN"/>
              </w:rPr>
            </w:pPr>
            <w:r>
              <w:rPr>
                <w:rFonts w:hint="default" w:ascii="Times New Roman" w:hAnsi="Times New Roman" w:eastAsia="仿宋_GB2312" w:cs="Times New Roman"/>
                <w:b w:val="0"/>
                <w:snapToGrid/>
                <w:color w:val="auto"/>
                <w:kern w:val="2"/>
                <w:sz w:val="24"/>
                <w:szCs w:val="24"/>
                <w:lang w:val="en-US" w:eastAsia="zh-CN" w:bidi="ar"/>
              </w:rPr>
              <w:t>28</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b w:val="0"/>
                <w:color w:val="auto"/>
                <w:sz w:val="24"/>
                <w:szCs w:val="24"/>
                <w:lang w:val="en-US" w:eastAsia="zh-CN"/>
              </w:rPr>
            </w:pPr>
            <w:r>
              <w:rPr>
                <w:rFonts w:hint="default" w:ascii="Times New Roman" w:hAnsi="Times New Roman" w:eastAsia="仿宋_GB2312" w:cs="Times New Roman"/>
                <w:b w:val="0"/>
                <w:snapToGrid/>
                <w:color w:val="auto"/>
                <w:kern w:val="2"/>
                <w:sz w:val="24"/>
                <w:szCs w:val="24"/>
                <w:lang w:val="en-US" w:eastAsia="zh-CN" w:bidi="ar"/>
              </w:rPr>
              <w:t>26</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eastAsia" w:ascii="Times New Roman" w:hAnsi="Times New Roman" w:eastAsia="仿宋_GB2312" w:cs="Times New Roman"/>
                <w:b w:val="0"/>
                <w:color w:val="auto"/>
                <w:sz w:val="24"/>
                <w:szCs w:val="24"/>
                <w:lang w:eastAsia="zh-CN"/>
              </w:rPr>
            </w:pPr>
            <w:r>
              <w:rPr>
                <w:rFonts w:hint="default" w:ascii="Times New Roman" w:hAnsi="Times New Roman" w:eastAsia="仿宋_GB2312" w:cs="Times New Roman"/>
                <w:b w:val="0"/>
                <w:snapToGrid/>
                <w:color w:val="auto"/>
                <w:kern w:val="2"/>
                <w:sz w:val="24"/>
                <w:szCs w:val="24"/>
                <w:lang w:val="en-US" w:eastAsia="zh-CN" w:bidi="ar"/>
              </w:rPr>
              <w:t>7</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eastAsia" w:ascii="Times New Roman" w:hAnsi="Times New Roman" w:eastAsia="仿宋_GB2312" w:cs="Times New Roman"/>
                <w:b w:val="0"/>
                <w:color w:val="auto"/>
                <w:sz w:val="24"/>
                <w:szCs w:val="24"/>
                <w:lang w:eastAsia="zh-CN"/>
              </w:rPr>
            </w:pPr>
            <w:r>
              <w:rPr>
                <w:rFonts w:hint="default" w:ascii="Times New Roman" w:hAnsi="Times New Roman" w:eastAsia="仿宋_GB2312" w:cs="Times New Roman"/>
                <w:b w:val="0"/>
                <w:snapToGrid/>
                <w:color w:val="auto"/>
                <w:kern w:val="2"/>
                <w:sz w:val="24"/>
                <w:szCs w:val="24"/>
                <w:lang w:val="en-US" w:eastAsia="zh-CN" w:bidi="ar"/>
              </w:rPr>
              <w:t>7</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eastAsia" w:ascii="Times New Roman" w:hAnsi="Times New Roman" w:eastAsia="仿宋_GB2312" w:cs="Times New Roman"/>
                <w:b w:val="0"/>
                <w:color w:val="auto"/>
                <w:sz w:val="24"/>
                <w:szCs w:val="24"/>
                <w:lang w:eastAsia="zh-CN"/>
              </w:rPr>
            </w:pPr>
            <w:r>
              <w:rPr>
                <w:rFonts w:hint="default" w:ascii="Times New Roman" w:hAnsi="Times New Roman" w:eastAsia="仿宋_GB2312" w:cs="Times New Roman"/>
                <w:b w:val="0"/>
                <w:snapToGrid/>
                <w:color w:val="auto"/>
                <w:kern w:val="2"/>
                <w:sz w:val="24"/>
                <w:szCs w:val="24"/>
                <w:lang w:val="en-US" w:eastAsia="zh-CN"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轻工纺织</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b w:val="0"/>
                <w:color w:val="auto"/>
                <w:sz w:val="24"/>
                <w:szCs w:val="24"/>
                <w:lang w:val="en-US" w:eastAsia="zh-CN"/>
              </w:rPr>
            </w:pPr>
            <w:r>
              <w:rPr>
                <w:rFonts w:hint="default" w:ascii="Times New Roman" w:hAnsi="Times New Roman" w:eastAsia="仿宋_GB2312" w:cs="Times New Roman"/>
                <w:b w:val="0"/>
                <w:snapToGrid/>
                <w:color w:val="auto"/>
                <w:kern w:val="2"/>
                <w:sz w:val="24"/>
                <w:szCs w:val="24"/>
                <w:lang w:val="en-US" w:eastAsia="zh-CN" w:bidi="ar"/>
              </w:rPr>
              <w:t>40</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b w:val="0"/>
                <w:color w:val="auto"/>
                <w:sz w:val="24"/>
                <w:szCs w:val="24"/>
                <w:lang w:val="en-US" w:eastAsia="zh-CN"/>
              </w:rPr>
            </w:pPr>
            <w:r>
              <w:rPr>
                <w:rFonts w:hint="default" w:ascii="Times New Roman" w:hAnsi="Times New Roman" w:eastAsia="仿宋_GB2312" w:cs="Times New Roman"/>
                <w:b w:val="0"/>
                <w:snapToGrid/>
                <w:color w:val="auto"/>
                <w:kern w:val="2"/>
                <w:sz w:val="24"/>
                <w:szCs w:val="24"/>
                <w:lang w:val="en-US" w:eastAsia="zh-CN" w:bidi="ar"/>
              </w:rPr>
              <w:t>38</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b w:val="0"/>
                <w:color w:val="auto"/>
                <w:sz w:val="24"/>
                <w:szCs w:val="24"/>
                <w:lang w:val="en-US" w:eastAsia="zh-CN"/>
              </w:rPr>
            </w:pPr>
            <w:r>
              <w:rPr>
                <w:rFonts w:hint="default" w:ascii="Times New Roman" w:hAnsi="Times New Roman" w:eastAsia="仿宋_GB2312" w:cs="Times New Roman"/>
                <w:b w:val="0"/>
                <w:snapToGrid/>
                <w:color w:val="auto"/>
                <w:kern w:val="2"/>
                <w:sz w:val="24"/>
                <w:szCs w:val="24"/>
                <w:lang w:val="en-US" w:eastAsia="zh-CN" w:bidi="ar"/>
              </w:rPr>
              <w:t>36</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b w:val="0"/>
                <w:color w:val="auto"/>
                <w:sz w:val="24"/>
                <w:szCs w:val="24"/>
                <w:lang w:eastAsia="zh-CN"/>
              </w:rPr>
            </w:pPr>
            <w:r>
              <w:rPr>
                <w:rFonts w:hint="default" w:ascii="Times New Roman" w:hAnsi="Times New Roman" w:eastAsia="仿宋_GB2312" w:cs="Times New Roman"/>
                <w:b w:val="0"/>
                <w:snapToGrid/>
                <w:color w:val="auto"/>
                <w:kern w:val="2"/>
                <w:sz w:val="24"/>
                <w:szCs w:val="24"/>
                <w:lang w:val="en-US" w:eastAsia="zh-CN" w:bidi="ar"/>
              </w:rPr>
              <w:t>10</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b w:val="0"/>
                <w:color w:val="auto"/>
                <w:sz w:val="24"/>
                <w:szCs w:val="24"/>
                <w:lang w:eastAsia="zh-CN"/>
              </w:rPr>
            </w:pPr>
            <w:r>
              <w:rPr>
                <w:rFonts w:hint="default" w:ascii="Times New Roman" w:hAnsi="Times New Roman" w:eastAsia="仿宋_GB2312" w:cs="Times New Roman"/>
                <w:b w:val="0"/>
                <w:snapToGrid/>
                <w:color w:val="auto"/>
                <w:kern w:val="2"/>
                <w:sz w:val="24"/>
                <w:szCs w:val="24"/>
                <w:lang w:val="en-US" w:eastAsia="zh-CN" w:bidi="ar"/>
              </w:rPr>
              <w:t>10</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00" w:lineRule="exact"/>
              <w:ind w:left="0" w:right="0" w:firstLine="0" w:firstLineChars="0"/>
              <w:jc w:val="center"/>
              <w:textAlignment w:val="auto"/>
              <w:rPr>
                <w:rFonts w:hint="eastAsia" w:ascii="Times New Roman" w:hAnsi="Times New Roman" w:eastAsia="仿宋_GB2312" w:cs="Times New Roman"/>
                <w:b w:val="0"/>
                <w:color w:val="auto"/>
                <w:sz w:val="24"/>
                <w:szCs w:val="24"/>
                <w:lang w:eastAsia="zh-CN"/>
              </w:rPr>
            </w:pPr>
            <w:r>
              <w:rPr>
                <w:rFonts w:hint="default" w:ascii="Times New Roman" w:hAnsi="Times New Roman" w:eastAsia="仿宋_GB2312" w:cs="Times New Roman"/>
                <w:b w:val="0"/>
                <w:snapToGrid/>
                <w:color w:val="auto"/>
                <w:kern w:val="2"/>
                <w:sz w:val="24"/>
                <w:szCs w:val="24"/>
                <w:lang w:val="en-US" w:eastAsia="zh-CN" w:bidi="ar"/>
              </w:rPr>
              <w:t>9</w:t>
            </w:r>
          </w:p>
        </w:tc>
      </w:tr>
    </w:tbl>
    <w:p>
      <w:pPr>
        <w:pStyle w:val="7"/>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16</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w:t>
      </w:r>
      <w:r>
        <w:rPr>
          <w:rFonts w:hint="eastAsia" w:cs="Times New Roman"/>
          <w:color w:val="auto"/>
          <w:lang w:val="en-US" w:eastAsia="zh-CN"/>
        </w:rPr>
        <w:t>全市</w:t>
      </w:r>
      <w:r>
        <w:rPr>
          <w:rFonts w:hint="default" w:ascii="Times New Roman" w:hAnsi="Times New Roman" w:cs="Times New Roman"/>
          <w:color w:val="auto"/>
          <w:lang w:val="en-US" w:eastAsia="zh-CN"/>
        </w:rPr>
        <w:t>冷链货运量预测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434"/>
        <w:gridCol w:w="1434"/>
        <w:gridCol w:w="1434"/>
        <w:gridCol w:w="1434"/>
        <w:gridCol w:w="1434"/>
        <w:gridCol w:w="1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货类</w:t>
            </w:r>
          </w:p>
        </w:tc>
        <w:tc>
          <w:tcPr>
            <w:tcW w:w="2142"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运出/万吨</w:t>
            </w:r>
          </w:p>
        </w:tc>
        <w:tc>
          <w:tcPr>
            <w:tcW w:w="214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center"/>
              <w:textAlignment w:val="auto"/>
              <w:rPr>
                <w:rFonts w:hint="eastAsia" w:ascii="黑体" w:hAnsi="黑体" w:eastAsia="黑体" w:cs="黑体"/>
                <w:b w:val="0"/>
                <w:bCs w:val="0"/>
                <w:color w:val="auto"/>
              </w:rPr>
            </w:pP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冻肉</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Times New Roman" w:hAnsi="Times New Roman" w:eastAsia="仿宋_GB2312" w:cs="Times New Roman"/>
                <w:b w:val="0"/>
                <w:snapToGrid/>
                <w:color w:val="auto"/>
                <w:kern w:val="2"/>
                <w:sz w:val="24"/>
                <w:szCs w:val="24"/>
                <w:lang w:val="en-US" w:eastAsia="zh-CN" w:bidi="ar"/>
              </w:rPr>
            </w:pPr>
            <w:r>
              <w:rPr>
                <w:rFonts w:hint="eastAsia"/>
                <w:color w:val="auto"/>
                <w:lang w:val="en-US" w:eastAsia="zh-CN"/>
              </w:rPr>
              <w:t>2</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Times New Roman" w:hAnsi="Times New Roman" w:eastAsia="仿宋_GB2312" w:cs="Times New Roman"/>
                <w:b w:val="0"/>
                <w:snapToGrid/>
                <w:color w:val="auto"/>
                <w:kern w:val="2"/>
                <w:sz w:val="24"/>
                <w:szCs w:val="24"/>
                <w:lang w:val="en-US" w:eastAsia="zh-CN" w:bidi="ar"/>
              </w:rPr>
            </w:pPr>
            <w:r>
              <w:rPr>
                <w:rFonts w:hint="eastAsia"/>
                <w:color w:val="auto"/>
                <w:lang w:val="en-US" w:eastAsia="zh-CN"/>
              </w:rPr>
              <w:t>1</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eastAsia" w:ascii="Times New Roman" w:hAnsi="Times New Roman" w:eastAsia="仿宋_GB2312" w:cs="Times New Roman"/>
                <w:b w:val="0"/>
                <w:snapToGrid/>
                <w:color w:val="auto"/>
                <w:kern w:val="2"/>
                <w:sz w:val="24"/>
                <w:szCs w:val="24"/>
                <w:lang w:val="en-US" w:eastAsia="zh-CN" w:bidi="ar"/>
              </w:rPr>
            </w:pPr>
            <w:r>
              <w:rPr>
                <w:color w:val="auto"/>
              </w:rPr>
              <w:t>1</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sz w:val="24"/>
                <w:szCs w:val="24"/>
              </w:rPr>
            </w:pPr>
            <w:r>
              <w:rPr>
                <w:color w:val="auto"/>
              </w:rPr>
              <w:t>/</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sz w:val="24"/>
                <w:szCs w:val="24"/>
              </w:rPr>
            </w:pPr>
            <w:r>
              <w:rPr>
                <w:color w:val="auto"/>
              </w:rPr>
              <w:t>/</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sz w:val="24"/>
                <w:szCs w:val="24"/>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农产品</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snapToGrid/>
                <w:color w:val="auto"/>
                <w:kern w:val="2"/>
                <w:sz w:val="24"/>
                <w:szCs w:val="24"/>
                <w:lang w:val="en-US" w:eastAsia="zh-CN" w:bidi="ar"/>
              </w:rPr>
            </w:pPr>
            <w:r>
              <w:rPr>
                <w:rFonts w:hint="eastAsia"/>
                <w:color w:val="auto"/>
                <w:lang w:val="en-US" w:eastAsia="zh-CN"/>
              </w:rPr>
              <w:t>28</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snapToGrid/>
                <w:color w:val="auto"/>
                <w:kern w:val="2"/>
                <w:sz w:val="24"/>
                <w:szCs w:val="24"/>
                <w:lang w:val="en-US" w:eastAsia="zh-CN" w:bidi="ar"/>
              </w:rPr>
            </w:pPr>
            <w:r>
              <w:rPr>
                <w:color w:val="auto"/>
              </w:rPr>
              <w:t>2</w:t>
            </w:r>
            <w:r>
              <w:rPr>
                <w:rFonts w:hint="eastAsia"/>
                <w:color w:val="auto"/>
                <w:lang w:val="en-US" w:eastAsia="zh-CN"/>
              </w:rPr>
              <w:t>7</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snapToGrid/>
                <w:color w:val="auto"/>
                <w:kern w:val="2"/>
                <w:sz w:val="24"/>
                <w:szCs w:val="24"/>
                <w:lang w:val="en-US" w:eastAsia="zh-CN" w:bidi="ar"/>
              </w:rPr>
            </w:pPr>
            <w:r>
              <w:rPr>
                <w:color w:val="auto"/>
              </w:rPr>
              <w:t>2</w:t>
            </w:r>
            <w:r>
              <w:rPr>
                <w:rFonts w:hint="eastAsia"/>
                <w:color w:val="auto"/>
                <w:lang w:val="en-US" w:eastAsia="zh-CN"/>
              </w:rPr>
              <w:t>5</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sz w:val="24"/>
                <w:szCs w:val="24"/>
              </w:rPr>
            </w:pPr>
            <w:r>
              <w:rPr>
                <w:color w:val="auto"/>
              </w:rPr>
              <w:t>/</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sz w:val="24"/>
                <w:szCs w:val="24"/>
              </w:rPr>
            </w:pPr>
            <w:r>
              <w:rPr>
                <w:color w:val="auto"/>
              </w:rPr>
              <w:t>/</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sz w:val="24"/>
                <w:szCs w:val="24"/>
              </w:rPr>
            </w:pPr>
            <w:r>
              <w:rPr>
                <w:color w:val="auto"/>
              </w:rPr>
              <w:t>/</w:t>
            </w:r>
          </w:p>
        </w:tc>
      </w:tr>
    </w:tbl>
    <w:p>
      <w:pPr>
        <w:pStyle w:val="7"/>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17</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w:t>
      </w:r>
      <w:r>
        <w:rPr>
          <w:rFonts w:hint="eastAsia" w:cs="Times New Roman"/>
          <w:color w:val="auto"/>
          <w:lang w:val="en-US" w:eastAsia="zh-CN"/>
        </w:rPr>
        <w:t>全市</w:t>
      </w:r>
      <w:r>
        <w:rPr>
          <w:rFonts w:hint="default" w:ascii="Times New Roman" w:hAnsi="Times New Roman" w:cs="Times New Roman"/>
          <w:color w:val="auto"/>
          <w:lang w:val="en-US" w:eastAsia="zh-CN"/>
        </w:rPr>
        <w:t>城市配送货运量预测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434"/>
        <w:gridCol w:w="1434"/>
        <w:gridCol w:w="1434"/>
        <w:gridCol w:w="1434"/>
        <w:gridCol w:w="1434"/>
        <w:gridCol w:w="1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货类</w:t>
            </w:r>
          </w:p>
        </w:tc>
        <w:tc>
          <w:tcPr>
            <w:tcW w:w="2142"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运出/万吨</w:t>
            </w:r>
          </w:p>
        </w:tc>
        <w:tc>
          <w:tcPr>
            <w:tcW w:w="214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center"/>
              <w:textAlignment w:val="auto"/>
              <w:rPr>
                <w:rFonts w:hint="eastAsia" w:ascii="黑体" w:hAnsi="黑体" w:eastAsia="黑体" w:cs="黑体"/>
                <w:b w:val="0"/>
                <w:bCs w:val="0"/>
                <w:color w:val="auto"/>
              </w:rPr>
            </w:pP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快递</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snapToGrid/>
                <w:color w:val="auto"/>
                <w:kern w:val="2"/>
                <w:sz w:val="24"/>
                <w:szCs w:val="24"/>
                <w:lang w:val="en-US" w:eastAsia="zh-CN" w:bidi="ar"/>
              </w:rPr>
            </w:pPr>
            <w:r>
              <w:rPr>
                <w:rFonts w:hint="eastAsia"/>
                <w:color w:val="auto"/>
                <w:lang w:val="en-US" w:eastAsia="zh-CN"/>
              </w:rPr>
              <w:t>15</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snapToGrid/>
                <w:color w:val="auto"/>
                <w:kern w:val="2"/>
                <w:sz w:val="24"/>
                <w:szCs w:val="24"/>
                <w:lang w:val="en-US" w:eastAsia="zh-CN" w:bidi="ar"/>
              </w:rPr>
            </w:pPr>
            <w:r>
              <w:rPr>
                <w:rFonts w:hint="eastAsia"/>
                <w:color w:val="auto"/>
                <w:lang w:val="en-US" w:eastAsia="zh-CN"/>
              </w:rPr>
              <w:t>14</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snapToGrid/>
                <w:color w:val="auto"/>
                <w:kern w:val="2"/>
                <w:sz w:val="24"/>
                <w:szCs w:val="24"/>
                <w:lang w:val="en-US" w:eastAsia="zh-CN" w:bidi="ar"/>
              </w:rPr>
            </w:pPr>
            <w:r>
              <w:rPr>
                <w:rFonts w:hint="eastAsia"/>
                <w:color w:val="auto"/>
                <w:lang w:val="en-US" w:eastAsia="zh-CN"/>
              </w:rPr>
              <w:t>12</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snapToGrid/>
                <w:color w:val="auto"/>
                <w:kern w:val="2"/>
                <w:sz w:val="24"/>
                <w:szCs w:val="24"/>
                <w:lang w:val="en-US" w:eastAsia="zh-CN" w:bidi="ar"/>
              </w:rPr>
            </w:pPr>
            <w:r>
              <w:rPr>
                <w:color w:val="auto"/>
              </w:rPr>
              <w:t>3</w:t>
            </w:r>
            <w:r>
              <w:rPr>
                <w:rFonts w:hint="eastAsia"/>
                <w:color w:val="auto"/>
                <w:lang w:val="en-US" w:eastAsia="zh-CN"/>
              </w:rPr>
              <w:t>6</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snapToGrid/>
                <w:color w:val="auto"/>
                <w:kern w:val="2"/>
                <w:sz w:val="24"/>
                <w:szCs w:val="24"/>
                <w:lang w:val="en-US" w:eastAsia="zh-CN" w:bidi="ar"/>
              </w:rPr>
            </w:pPr>
            <w:r>
              <w:rPr>
                <w:rFonts w:hint="eastAsia"/>
                <w:color w:val="auto"/>
                <w:lang w:val="en-US" w:eastAsia="zh-CN"/>
              </w:rPr>
              <w:t>32</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snapToGrid/>
                <w:color w:val="auto"/>
                <w:kern w:val="2"/>
                <w:sz w:val="24"/>
                <w:szCs w:val="24"/>
                <w:lang w:val="en-US" w:eastAsia="zh-CN" w:bidi="ar"/>
              </w:rPr>
            </w:pPr>
            <w:r>
              <w:rPr>
                <w:rFonts w:hint="eastAsia"/>
                <w:color w:val="auto"/>
                <w:lang w:val="en-US" w:eastAsia="zh-CN"/>
              </w:rPr>
              <w:t>30</w:t>
            </w:r>
          </w:p>
        </w:tc>
      </w:tr>
    </w:tbl>
    <w:p>
      <w:pPr>
        <w:pStyle w:val="7"/>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18</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w:t>
      </w:r>
      <w:r>
        <w:rPr>
          <w:rFonts w:hint="eastAsia" w:cs="Times New Roman"/>
          <w:color w:val="auto"/>
          <w:lang w:val="en-US" w:eastAsia="zh-CN"/>
        </w:rPr>
        <w:t>全市</w:t>
      </w:r>
      <w:r>
        <w:rPr>
          <w:rFonts w:hint="default" w:ascii="Times New Roman" w:hAnsi="Times New Roman" w:cs="Times New Roman"/>
          <w:color w:val="auto"/>
          <w:lang w:val="en-US" w:eastAsia="zh-CN"/>
        </w:rPr>
        <w:t>其他类货运量预测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434"/>
        <w:gridCol w:w="1434"/>
        <w:gridCol w:w="1434"/>
        <w:gridCol w:w="1434"/>
        <w:gridCol w:w="1434"/>
        <w:gridCol w:w="1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pStyle w:val="28"/>
              <w:keepNext/>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货类</w:t>
            </w:r>
          </w:p>
        </w:tc>
        <w:tc>
          <w:tcPr>
            <w:tcW w:w="2142"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运出/万吨</w:t>
            </w:r>
          </w:p>
        </w:tc>
        <w:tc>
          <w:tcPr>
            <w:tcW w:w="214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center"/>
              <w:textAlignment w:val="auto"/>
              <w:rPr>
                <w:rFonts w:hint="eastAsia" w:ascii="黑体" w:hAnsi="黑体" w:eastAsia="黑体" w:cs="黑体"/>
                <w:b w:val="0"/>
                <w:bCs w:val="0"/>
                <w:color w:val="auto"/>
              </w:rPr>
            </w:pP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乐观</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基准</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eastAsia" w:ascii="黑体" w:hAnsi="黑体" w:eastAsia="黑体" w:cs="黑体"/>
                <w:b w:val="0"/>
                <w:bCs w:val="0"/>
                <w:color w:val="auto"/>
              </w:rPr>
            </w:pPr>
            <w:r>
              <w:rPr>
                <w:rFonts w:hint="eastAsia" w:ascii="黑体" w:hAnsi="黑体" w:eastAsia="黑体" w:cs="黑体"/>
                <w:color w:val="auto"/>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粮食</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eastAsia="zh-CN"/>
              </w:rPr>
            </w:pPr>
            <w:r>
              <w:rPr>
                <w:rFonts w:hint="eastAsia"/>
                <w:color w:val="auto"/>
                <w:lang w:val="en-US" w:eastAsia="zh-CN"/>
              </w:rPr>
              <w:t>39</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eastAsia="zh-CN"/>
              </w:rPr>
            </w:pPr>
            <w:r>
              <w:rPr>
                <w:rFonts w:hint="eastAsia"/>
                <w:color w:val="auto"/>
                <w:lang w:val="en-US" w:eastAsia="zh-CN"/>
              </w:rPr>
              <w:t>36</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eastAsia="zh-CN"/>
              </w:rPr>
            </w:pPr>
            <w:r>
              <w:rPr>
                <w:rFonts w:hint="eastAsia"/>
                <w:color w:val="auto"/>
                <w:lang w:val="en-US" w:eastAsia="zh-CN"/>
              </w:rPr>
              <w:t>35</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17</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17</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饲料</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eastAsia="zh-CN"/>
              </w:rPr>
            </w:pPr>
            <w:r>
              <w:rPr>
                <w:color w:val="auto"/>
              </w:rPr>
              <w:t>15</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eastAsia="zh-CN"/>
              </w:rPr>
            </w:pPr>
            <w:r>
              <w:rPr>
                <w:rFonts w:hint="eastAsia"/>
                <w:color w:val="auto"/>
                <w:lang w:val="en-US" w:eastAsia="zh-CN"/>
              </w:rPr>
              <w:t>15</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eastAsia="zh-CN"/>
              </w:rPr>
            </w:pPr>
            <w:r>
              <w:rPr>
                <w:rFonts w:hint="eastAsia"/>
                <w:color w:val="auto"/>
                <w:lang w:val="en-US" w:eastAsia="zh-CN"/>
              </w:rPr>
              <w:t>14</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color w:val="auto"/>
              </w:rPr>
              <w:t>/</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color w:val="auto"/>
              </w:rPr>
              <w:t>/</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仿宋_GB2312" w:cs="Times New Roman"/>
                <w:b w:val="0"/>
                <w:color w:val="auto"/>
              </w:rPr>
            </w:pPr>
            <w:r>
              <w:rPr>
                <w:rFonts w:hint="default"/>
                <w:color w:val="auto"/>
              </w:rPr>
              <w:t>机械及电器设备</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5</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lang w:val="en-US" w:eastAsia="zh-CN"/>
              </w:rPr>
            </w:pPr>
            <w:r>
              <w:rPr>
                <w:rFonts w:hint="eastAsia"/>
                <w:color w:val="auto"/>
                <w:lang w:val="en-US" w:eastAsia="zh-CN"/>
              </w:rPr>
              <w:t>5</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color w:val="auto"/>
              </w:rPr>
              <w:t>4</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color w:val="auto"/>
              </w:rPr>
              <w:t>/</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color w:val="auto"/>
              </w:rPr>
              <w:t>/</w:t>
            </w:r>
          </w:p>
        </w:tc>
        <w:tc>
          <w:tcPr>
            <w:tcW w:w="71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Cs w:val="24"/>
              </w:rPr>
            </w:pPr>
            <w:r>
              <w:rPr>
                <w:color w:val="auto"/>
              </w:rPr>
              <w:t>/</w:t>
            </w:r>
          </w:p>
        </w:tc>
      </w:tr>
    </w:tbl>
    <w:p>
      <w:pPr>
        <w:bidi w:val="0"/>
        <w:rPr>
          <w:rFonts w:hint="default"/>
          <w:lang w:val="en-US" w:eastAsia="zh-CN"/>
        </w:rPr>
      </w:pPr>
      <w:r>
        <w:rPr>
          <w:rFonts w:hint="default" w:cs="Times New Roman"/>
          <w:color w:val="auto"/>
          <w:lang w:val="en-US" w:eastAsia="zh-CN"/>
        </w:rPr>
        <w:t>注：</w:t>
      </w:r>
      <w:r>
        <w:rPr>
          <w:rFonts w:hint="eastAsia" w:cs="Times New Roman"/>
          <w:color w:val="auto"/>
          <w:lang w:val="en-US" w:eastAsia="zh-CN"/>
        </w:rPr>
        <w:t>依据《中华人民共和国长江保护法》第二十六条，禁止在长江干支流岸线一公里范围内新建、扩建化工园区和化工项目。同时结合</w:t>
      </w:r>
      <w:r>
        <w:rPr>
          <w:rFonts w:hint="eastAsia" w:cs="Times New Roman"/>
          <w:color w:val="auto"/>
          <w:kern w:val="3"/>
          <w:sz w:val="32"/>
          <w:rtl w:val="0"/>
          <w:lang w:val="en-US" w:eastAsia="zh-CN"/>
        </w:rPr>
        <w:t>《</w:t>
      </w:r>
      <w:r>
        <w:rPr>
          <w:rFonts w:hint="eastAsia" w:ascii="Times New Roman" w:hAnsi="Times New Roman" w:cs="Times New Roman"/>
          <w:color w:val="auto"/>
          <w:kern w:val="3"/>
          <w:sz w:val="32"/>
          <w:rtl w:val="0"/>
          <w:lang w:val="en-US" w:eastAsia="zh-CN"/>
        </w:rPr>
        <w:t>乐山港总体规划（2023—2035年）</w:t>
      </w:r>
      <w:r>
        <w:rPr>
          <w:rFonts w:hint="eastAsia" w:cs="Times New Roman"/>
          <w:color w:val="auto"/>
          <w:kern w:val="3"/>
          <w:sz w:val="32"/>
          <w:rtl w:val="0"/>
          <w:lang w:val="en-US" w:eastAsia="zh-CN"/>
        </w:rPr>
        <w:t>》有关要求，</w:t>
      </w:r>
      <w:r>
        <w:rPr>
          <w:rFonts w:hint="eastAsia" w:cs="Times New Roman"/>
          <w:color w:val="auto"/>
          <w:lang w:val="en-US" w:eastAsia="zh-CN"/>
        </w:rPr>
        <w:t>本项目暂不考虑在示范基地内部建设化工专业化物流园区，</w:t>
      </w:r>
      <w:r>
        <w:rPr>
          <w:rFonts w:hint="eastAsia" w:cs="Times New Roman"/>
          <w:color w:val="auto"/>
          <w:kern w:val="3"/>
          <w:lang w:val="en-US" w:eastAsia="zh-CN"/>
        </w:rPr>
        <w:t>相关化工产品运输预测仅为</w:t>
      </w:r>
      <w:r>
        <w:rPr>
          <w:rStyle w:val="22"/>
          <w:rFonts w:hint="eastAsia" w:ascii="Times New Roman" w:hAnsi="Times New Roman" w:eastAsia="仿宋_GB2312" w:cs="Times New Roman"/>
          <w:color w:val="auto"/>
          <w:kern w:val="3"/>
          <w:sz w:val="32"/>
          <w:szCs w:val="22"/>
        </w:rPr>
        <w:t>在日常使用和常规运输条件下，对人体健康及环境不构成显著危害的</w:t>
      </w:r>
      <w:r>
        <w:rPr>
          <w:rFonts w:hint="eastAsia" w:cs="Times New Roman"/>
          <w:color w:val="auto"/>
          <w:kern w:val="3"/>
          <w:lang w:val="en-US" w:eastAsia="zh-CN"/>
        </w:rPr>
        <w:t>普通化工产品，不涉及危险化工品运输。</w:t>
      </w:r>
    </w:p>
    <w:p>
      <w:pPr>
        <w:pStyle w:val="5"/>
        <w:keepNext/>
        <w:keepLines/>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周边腹地需求预测</w:t>
      </w:r>
    </w:p>
    <w:p>
      <w:pPr>
        <w:keepNext w:val="0"/>
        <w:keepLines w:val="0"/>
        <w:pageBreakBefore w:val="0"/>
        <w:widowControl/>
        <w:kinsoku/>
        <w:wordWrap/>
        <w:overflowPunct/>
        <w:topLinePunct w:val="0"/>
        <w:autoSpaceDE/>
        <w:autoSpaceDN/>
        <w:bidi w:val="0"/>
        <w:adjustRightInd/>
        <w:snapToGrid/>
        <w:textAlignment w:val="auto"/>
        <w:rPr>
          <w:rFonts w:hint="default"/>
          <w:color w:val="auto"/>
          <w:lang w:val="en-US" w:eastAsia="zh-CN"/>
        </w:rPr>
      </w:pPr>
      <w:r>
        <w:rPr>
          <w:rFonts w:hint="default"/>
          <w:color w:val="auto"/>
          <w:lang w:val="en-US" w:eastAsia="zh-CN"/>
        </w:rPr>
        <w:t>综合考虑周边城市货运量发展规律、周边地区物流发展趋势以及各种运输方式的运输结构变化，确定示范基地承载</w:t>
      </w:r>
      <w:r>
        <w:rPr>
          <w:rFonts w:hint="eastAsia"/>
          <w:color w:val="auto"/>
          <w:lang w:val="en-US" w:eastAsia="zh-CN"/>
        </w:rPr>
        <w:t>直接</w:t>
      </w:r>
      <w:r>
        <w:rPr>
          <w:rFonts w:hint="default"/>
          <w:color w:val="auto"/>
          <w:lang w:val="en-US" w:eastAsia="zh-CN"/>
        </w:rPr>
        <w:t>腹地货运量</w:t>
      </w:r>
      <w:r>
        <w:rPr>
          <w:rFonts w:hint="eastAsia"/>
          <w:color w:val="auto"/>
          <w:lang w:val="en-US" w:eastAsia="zh-CN"/>
        </w:rPr>
        <w:t>。相关预测量中除晶硅产品、快递等运输时效性要求高的物资外，其余均可作为示范基地水运的主要物资。</w:t>
      </w:r>
    </w:p>
    <w:p>
      <w:pPr>
        <w:pStyle w:val="7"/>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p>
    <w:p>
      <w:pPr>
        <w:pStyle w:val="7"/>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19</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w:t>
      </w:r>
      <w:r>
        <w:rPr>
          <w:rFonts w:hint="eastAsia" w:ascii="Times New Roman" w:hAnsi="Times New Roman" w:cs="Times New Roman"/>
          <w:color w:val="auto"/>
          <w:lang w:val="en-US" w:eastAsia="zh-CN"/>
        </w:rPr>
        <w:t>示范</w:t>
      </w:r>
      <w:r>
        <w:rPr>
          <w:rFonts w:hint="default" w:ascii="Times New Roman" w:hAnsi="Times New Roman" w:cs="Times New Roman"/>
          <w:color w:val="auto"/>
          <w:lang w:val="en-US" w:eastAsia="zh-CN"/>
        </w:rPr>
        <w:t>基地承接成都货运量预测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4"/>
        <w:gridCol w:w="1480"/>
        <w:gridCol w:w="1426"/>
        <w:gridCol w:w="1296"/>
        <w:gridCol w:w="1438"/>
        <w:gridCol w:w="1490"/>
        <w:gridCol w:w="14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39"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keepNext/>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货类</w:t>
            </w:r>
          </w:p>
        </w:tc>
        <w:tc>
          <w:tcPr>
            <w:tcW w:w="2092"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运出/万吨</w:t>
            </w:r>
          </w:p>
        </w:tc>
        <w:tc>
          <w:tcPr>
            <w:tcW w:w="2167"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keepNext/>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3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p>
        </w:tc>
        <w:tc>
          <w:tcPr>
            <w:tcW w:w="73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乐观</w:t>
            </w:r>
          </w:p>
        </w:tc>
        <w:tc>
          <w:tcPr>
            <w:tcW w:w="71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基准</w:t>
            </w:r>
          </w:p>
        </w:tc>
        <w:tc>
          <w:tcPr>
            <w:tcW w:w="6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保守</w:t>
            </w:r>
          </w:p>
        </w:tc>
        <w:tc>
          <w:tcPr>
            <w:tcW w:w="716"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乐观</w:t>
            </w:r>
          </w:p>
        </w:tc>
        <w:tc>
          <w:tcPr>
            <w:tcW w:w="74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基准</w:t>
            </w:r>
          </w:p>
        </w:tc>
        <w:tc>
          <w:tcPr>
            <w:tcW w:w="7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金属矿石</w:t>
            </w:r>
          </w:p>
        </w:tc>
        <w:tc>
          <w:tcPr>
            <w:tcW w:w="14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4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2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1</w:t>
            </w:r>
          </w:p>
        </w:tc>
        <w:tc>
          <w:tcPr>
            <w:tcW w:w="14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1</w:t>
            </w:r>
          </w:p>
        </w:tc>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钢材</w:t>
            </w:r>
          </w:p>
        </w:tc>
        <w:tc>
          <w:tcPr>
            <w:tcW w:w="14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4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2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6</w:t>
            </w:r>
          </w:p>
        </w:tc>
        <w:tc>
          <w:tcPr>
            <w:tcW w:w="14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6</w:t>
            </w:r>
          </w:p>
        </w:tc>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机械及电器设备</w:t>
            </w:r>
          </w:p>
        </w:tc>
        <w:tc>
          <w:tcPr>
            <w:tcW w:w="14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11</w:t>
            </w:r>
          </w:p>
        </w:tc>
        <w:tc>
          <w:tcPr>
            <w:tcW w:w="14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10</w:t>
            </w:r>
          </w:p>
        </w:tc>
        <w:tc>
          <w:tcPr>
            <w:tcW w:w="12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10</w:t>
            </w:r>
          </w:p>
        </w:tc>
        <w:tc>
          <w:tcPr>
            <w:tcW w:w="1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4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晶硅产品</w:t>
            </w:r>
          </w:p>
        </w:tc>
        <w:tc>
          <w:tcPr>
            <w:tcW w:w="14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4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2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color w:val="auto"/>
              </w:rPr>
              <w:t>/</w:t>
            </w:r>
          </w:p>
        </w:tc>
        <w:tc>
          <w:tcPr>
            <w:tcW w:w="1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stheme="minorBidi"/>
                <w:color w:val="auto"/>
                <w:lang w:val="en-US" w:eastAsia="zh-CN"/>
              </w:rPr>
              <w:t>4</w:t>
            </w:r>
          </w:p>
        </w:tc>
        <w:tc>
          <w:tcPr>
            <w:tcW w:w="14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stheme="minorBidi"/>
                <w:color w:val="auto"/>
                <w:lang w:val="en-US" w:eastAsia="zh-CN"/>
              </w:rPr>
              <w:t>4</w:t>
            </w:r>
          </w:p>
        </w:tc>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stheme="minorBidi"/>
                <w:color w:val="auto"/>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冷链</w:t>
            </w:r>
          </w:p>
        </w:tc>
        <w:tc>
          <w:tcPr>
            <w:tcW w:w="14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4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2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4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keepLines w:val="0"/>
              <w:pageBreakBefore w:val="0"/>
              <w:widowControl/>
              <w:kinsoku/>
              <w:wordWrap/>
              <w:overflowPunct/>
              <w:topLinePunct w:val="0"/>
              <w:autoSpaceDE/>
              <w:autoSpaceDN/>
              <w:bidi w:val="0"/>
              <w:adjustRightInd/>
              <w:textAlignment w:val="auto"/>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r>
    </w:tbl>
    <w:p>
      <w:pPr>
        <w:pStyle w:val="7"/>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20</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2035年示范基地承接德阳货运量预测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1496"/>
        <w:gridCol w:w="1388"/>
        <w:gridCol w:w="1253"/>
        <w:gridCol w:w="1454"/>
        <w:gridCol w:w="1507"/>
        <w:gridCol w:w="1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货类</w:t>
            </w:r>
          </w:p>
        </w:tc>
        <w:tc>
          <w:tcPr>
            <w:tcW w:w="2060"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运出/万吨</w:t>
            </w:r>
          </w:p>
        </w:tc>
        <w:tc>
          <w:tcPr>
            <w:tcW w:w="2191"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p>
        </w:tc>
        <w:tc>
          <w:tcPr>
            <w:tcW w:w="7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乐观</w:t>
            </w:r>
          </w:p>
        </w:tc>
        <w:tc>
          <w:tcPr>
            <w:tcW w:w="69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基准</w:t>
            </w:r>
          </w:p>
        </w:tc>
        <w:tc>
          <w:tcPr>
            <w:tcW w:w="6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保守</w:t>
            </w:r>
          </w:p>
        </w:tc>
        <w:tc>
          <w:tcPr>
            <w:tcW w:w="7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乐观</w:t>
            </w:r>
          </w:p>
        </w:tc>
        <w:tc>
          <w:tcPr>
            <w:tcW w:w="7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基准</w:t>
            </w:r>
          </w:p>
        </w:tc>
        <w:tc>
          <w:tcPr>
            <w:tcW w:w="71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钢材</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13</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12</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食品饮料</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2</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2</w:t>
            </w:r>
            <w:r>
              <w:rPr>
                <w:color w:val="auto"/>
              </w:rPr>
              <w:t xml:space="preserve"> </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2</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粮食</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楷体" w:cs="Times New Roman"/>
                <w:color w:val="auto"/>
                <w:kern w:val="2"/>
                <w:sz w:val="24"/>
                <w:szCs w:val="28"/>
                <w:lang w:val="en-US" w:eastAsia="zh-CN" w:bidi="ar-SA"/>
              </w:rPr>
            </w:pPr>
            <w:r>
              <w:rPr>
                <w:color w:val="auto"/>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楷体" w:cs="Times New Roman"/>
                <w:color w:val="auto"/>
                <w:kern w:val="2"/>
                <w:sz w:val="24"/>
                <w:szCs w:val="28"/>
                <w:lang w:val="en-US" w:eastAsia="zh-CN" w:bidi="ar-SA"/>
              </w:rPr>
            </w:pPr>
            <w:r>
              <w:rPr>
                <w:color w:val="auto"/>
              </w:rPr>
              <w:t>/</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楷体" w:cs="Times New Roman"/>
                <w:color w:val="auto"/>
                <w:kern w:val="2"/>
                <w:sz w:val="24"/>
                <w:szCs w:val="28"/>
                <w:lang w:val="en-US" w:eastAsia="zh-CN" w:bidi="ar-SA"/>
              </w:rPr>
            </w:pPr>
            <w:r>
              <w:rPr>
                <w:color w:val="auto"/>
              </w:rPr>
              <w:t>/</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10</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10</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机械及电器设备</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22</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2</w:t>
            </w:r>
            <w:r>
              <w:rPr>
                <w:rFonts w:hint="eastAsia"/>
                <w:color w:val="auto"/>
                <w:lang w:val="en-US" w:eastAsia="zh-CN"/>
              </w:rPr>
              <w:t>1</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20</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晶硅产品</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2</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2</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2</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rPr>
              <w:t>2</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rPr>
              <w:t>2</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仿宋_GB2312" w:cs="Times New Roman"/>
                <w:color w:val="auto"/>
                <w:kern w:val="2"/>
                <w:sz w:val="24"/>
                <w:szCs w:val="28"/>
                <w:lang w:val="en-US" w:eastAsia="zh-CN" w:bidi="ar-SA"/>
              </w:rPr>
            </w:pPr>
            <w:r>
              <w:rPr>
                <w:rFonts w:hint="default" w:ascii="Times New Roman" w:hAnsi="Times New Roman" w:eastAsia="仿宋_GB2312" w:cs="Times New Roman"/>
                <w:color w:val="auto"/>
                <w:kern w:val="2"/>
                <w:sz w:val="24"/>
                <w:szCs w:val="28"/>
                <w:lang w:val="en-US" w:eastAsia="zh-CN" w:bidi="ar-SA"/>
              </w:rPr>
              <w:t>冷链</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楷体" w:cs="Times New Roman"/>
                <w:color w:val="auto"/>
                <w:kern w:val="2"/>
                <w:sz w:val="24"/>
                <w:szCs w:val="28"/>
                <w:lang w:val="en-US" w:eastAsia="zh-CN" w:bidi="ar-SA"/>
              </w:rPr>
            </w:pPr>
            <w:r>
              <w:rPr>
                <w:rFonts w:hint="eastAsia"/>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8"/>
              <w:keepNext w:val="0"/>
              <w:keepLines w:val="0"/>
              <w:pageBreakBefore w:val="0"/>
              <w:widowControl w:val="0"/>
              <w:kinsoku/>
              <w:wordWrap/>
              <w:overflowPunct/>
              <w:topLinePunct w:val="0"/>
              <w:autoSpaceDE/>
              <w:autoSpaceDN/>
              <w:bidi w:val="0"/>
              <w:spacing w:line="400" w:lineRule="exact"/>
              <w:ind w:firstLine="0" w:firstLineChars="0"/>
              <w:textAlignment w:val="auto"/>
              <w:rPr>
                <w:rFonts w:hint="default" w:ascii="Times New Roman" w:hAnsi="Times New Roman" w:eastAsia="仿宋_GB2312" w:cstheme="minorBidi"/>
                <w:color w:val="auto"/>
                <w:kern w:val="2"/>
                <w:sz w:val="24"/>
                <w:szCs w:val="22"/>
                <w:lang w:val="en-US" w:eastAsia="zh-CN" w:bidi="ar-SA"/>
              </w:rPr>
            </w:pPr>
            <w:r>
              <w:rPr>
                <w:rFonts w:hint="eastAsia"/>
                <w:color w:val="auto"/>
                <w:lang w:val="en-US" w:eastAsia="zh-CN"/>
              </w:rPr>
              <w:t>重大件</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heme="minorBidi"/>
                <w:color w:val="auto"/>
                <w:kern w:val="2"/>
                <w:sz w:val="24"/>
                <w:szCs w:val="22"/>
                <w:lang w:val="en-US" w:eastAsia="zh-CN" w:bidi="ar-SA"/>
              </w:rPr>
            </w:pPr>
            <w:r>
              <w:rPr>
                <w:rFonts w:hint="eastAsia"/>
                <w:color w:val="auto"/>
              </w:rPr>
              <w:t>11</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heme="minorBidi"/>
                <w:color w:val="auto"/>
                <w:kern w:val="2"/>
                <w:sz w:val="24"/>
                <w:szCs w:val="22"/>
                <w:lang w:val="en-US" w:eastAsia="zh-CN" w:bidi="ar-SA"/>
              </w:rPr>
            </w:pPr>
            <w:r>
              <w:rPr>
                <w:rFonts w:hint="eastAsia"/>
                <w:color w:val="auto"/>
              </w:rPr>
              <w:t>10</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heme="minorBidi"/>
                <w:color w:val="auto"/>
                <w:kern w:val="2"/>
                <w:sz w:val="24"/>
                <w:szCs w:val="22"/>
                <w:lang w:val="en-US" w:eastAsia="zh-CN" w:bidi="ar-SA"/>
              </w:rPr>
            </w:pPr>
            <w:r>
              <w:rPr>
                <w:rFonts w:hint="eastAsia"/>
                <w:color w:val="auto"/>
              </w:rPr>
              <w:t>9</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 w:val="24"/>
                <w:szCs w:val="24"/>
                <w:lang w:val="en-US" w:eastAsia="zh-CN" w:bidi="ar-SA"/>
              </w:rPr>
            </w:pPr>
            <w:r>
              <w:rPr>
                <w:rFonts w:hint="eastAsia"/>
                <w:color w:val="auto"/>
              </w:rPr>
              <w:t>2</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 w:val="24"/>
                <w:szCs w:val="24"/>
                <w:lang w:val="en-US" w:eastAsia="zh-CN" w:bidi="ar-SA"/>
              </w:rPr>
            </w:pPr>
            <w:r>
              <w:rPr>
                <w:rFonts w:hint="eastAsia"/>
                <w:color w:val="auto"/>
                <w:lang w:val="en-US" w:eastAsia="zh-CN"/>
              </w:rPr>
              <w:t>2</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b w:val="0"/>
                <w:color w:val="auto"/>
                <w:kern w:val="2"/>
                <w:sz w:val="24"/>
                <w:szCs w:val="24"/>
                <w:lang w:val="en-US" w:eastAsia="zh-CN" w:bidi="ar-SA"/>
              </w:rPr>
            </w:pPr>
            <w:r>
              <w:rPr>
                <w:rFonts w:hint="eastAsia"/>
                <w:color w:val="auto"/>
              </w:rPr>
              <w:t>1</w:t>
            </w:r>
          </w:p>
        </w:tc>
      </w:tr>
    </w:tbl>
    <w:p>
      <w:pPr>
        <w:pStyle w:val="7"/>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21</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2035年示范基地承接眉山货运量预测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1496"/>
        <w:gridCol w:w="1388"/>
        <w:gridCol w:w="1253"/>
        <w:gridCol w:w="1454"/>
        <w:gridCol w:w="1507"/>
        <w:gridCol w:w="1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47"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pStyle w:val="32"/>
              <w:widowControl w:val="0"/>
              <w:rPr>
                <w:rFonts w:hint="eastAsia" w:ascii="黑体" w:hAnsi="黑体" w:eastAsia="黑体" w:cs="黑体"/>
                <w:color w:val="auto"/>
              </w:rPr>
            </w:pPr>
            <w:r>
              <w:rPr>
                <w:rFonts w:hint="eastAsia" w:ascii="黑体" w:hAnsi="黑体" w:eastAsia="黑体" w:cs="黑体"/>
                <w:color w:val="auto"/>
              </w:rPr>
              <w:t>货类</w:t>
            </w:r>
          </w:p>
        </w:tc>
        <w:tc>
          <w:tcPr>
            <w:tcW w:w="2060"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val="0"/>
              <w:rPr>
                <w:rFonts w:hint="eastAsia" w:ascii="黑体" w:hAnsi="黑体" w:eastAsia="黑体" w:cs="黑体"/>
                <w:color w:val="auto"/>
              </w:rPr>
            </w:pPr>
            <w:r>
              <w:rPr>
                <w:rFonts w:hint="eastAsia" w:ascii="黑体" w:hAnsi="黑体" w:eastAsia="黑体" w:cs="黑体"/>
                <w:color w:val="auto"/>
              </w:rPr>
              <w:t>运出/万吨</w:t>
            </w:r>
          </w:p>
        </w:tc>
        <w:tc>
          <w:tcPr>
            <w:tcW w:w="2191"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val="0"/>
              <w:rPr>
                <w:rFonts w:hint="eastAsia" w:ascii="黑体" w:hAnsi="黑体" w:eastAsia="黑体" w:cs="黑体"/>
                <w:color w:val="auto"/>
              </w:rPr>
            </w:pPr>
            <w:r>
              <w:rPr>
                <w:rFonts w:hint="eastAsia" w:ascii="黑体" w:hAnsi="黑体" w:eastAsia="黑体" w:cs="黑体"/>
                <w:color w:val="auto"/>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47"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val="0"/>
              <w:rPr>
                <w:rFonts w:hint="eastAsia" w:ascii="黑体" w:hAnsi="黑体" w:eastAsia="黑体" w:cs="黑体"/>
                <w:color w:val="auto"/>
              </w:rPr>
            </w:pPr>
          </w:p>
        </w:tc>
        <w:tc>
          <w:tcPr>
            <w:tcW w:w="7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val="0"/>
              <w:rPr>
                <w:rFonts w:hint="eastAsia" w:ascii="黑体" w:hAnsi="黑体" w:eastAsia="黑体" w:cs="黑体"/>
                <w:color w:val="auto"/>
              </w:rPr>
            </w:pPr>
            <w:r>
              <w:rPr>
                <w:rFonts w:hint="eastAsia" w:ascii="黑体" w:hAnsi="黑体" w:eastAsia="黑体" w:cs="黑体"/>
                <w:color w:val="auto"/>
              </w:rPr>
              <w:t>乐观</w:t>
            </w:r>
          </w:p>
        </w:tc>
        <w:tc>
          <w:tcPr>
            <w:tcW w:w="691"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val="0"/>
              <w:rPr>
                <w:rFonts w:hint="eastAsia" w:ascii="黑体" w:hAnsi="黑体" w:eastAsia="黑体" w:cs="黑体"/>
                <w:color w:val="auto"/>
              </w:rPr>
            </w:pPr>
            <w:r>
              <w:rPr>
                <w:rFonts w:hint="eastAsia" w:ascii="黑体" w:hAnsi="黑体" w:eastAsia="黑体" w:cs="黑体"/>
                <w:color w:val="auto"/>
              </w:rPr>
              <w:t>基准</w:t>
            </w:r>
          </w:p>
        </w:tc>
        <w:tc>
          <w:tcPr>
            <w:tcW w:w="6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val="0"/>
              <w:rPr>
                <w:rFonts w:hint="eastAsia" w:ascii="黑体" w:hAnsi="黑体" w:eastAsia="黑体" w:cs="黑体"/>
                <w:color w:val="auto"/>
              </w:rPr>
            </w:pPr>
            <w:r>
              <w:rPr>
                <w:rFonts w:hint="eastAsia" w:ascii="黑体" w:hAnsi="黑体" w:eastAsia="黑体" w:cs="黑体"/>
                <w:color w:val="auto"/>
              </w:rPr>
              <w:t>保守</w:t>
            </w:r>
          </w:p>
        </w:tc>
        <w:tc>
          <w:tcPr>
            <w:tcW w:w="7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val="0"/>
              <w:rPr>
                <w:rFonts w:hint="eastAsia" w:ascii="黑体" w:hAnsi="黑体" w:eastAsia="黑体" w:cs="黑体"/>
                <w:color w:val="auto"/>
              </w:rPr>
            </w:pPr>
            <w:r>
              <w:rPr>
                <w:rFonts w:hint="eastAsia" w:ascii="黑体" w:hAnsi="黑体" w:eastAsia="黑体" w:cs="黑体"/>
                <w:color w:val="auto"/>
              </w:rPr>
              <w:t>乐观</w:t>
            </w:r>
          </w:p>
        </w:tc>
        <w:tc>
          <w:tcPr>
            <w:tcW w:w="7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val="0"/>
              <w:rPr>
                <w:rFonts w:hint="eastAsia" w:ascii="黑体" w:hAnsi="黑体" w:eastAsia="黑体" w:cs="黑体"/>
                <w:color w:val="auto"/>
              </w:rPr>
            </w:pPr>
            <w:r>
              <w:rPr>
                <w:rFonts w:hint="eastAsia" w:ascii="黑体" w:hAnsi="黑体" w:eastAsia="黑体" w:cs="黑体"/>
                <w:color w:val="auto"/>
              </w:rPr>
              <w:t>基准</w:t>
            </w:r>
          </w:p>
        </w:tc>
        <w:tc>
          <w:tcPr>
            <w:tcW w:w="717"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val="0"/>
              <w:rPr>
                <w:rFonts w:hint="eastAsia" w:ascii="黑体" w:hAnsi="黑体" w:eastAsia="黑体" w:cs="黑体"/>
                <w:color w:val="auto"/>
              </w:rPr>
            </w:pPr>
            <w:r>
              <w:rPr>
                <w:rFonts w:hint="eastAsia" w:ascii="黑体" w:hAnsi="黑体" w:eastAsia="黑体" w:cs="黑体"/>
                <w:color w:val="auto"/>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金属矿石</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color w:val="auto"/>
              </w:rPr>
            </w:pPr>
            <w:r>
              <w:rPr>
                <w:color w:val="auto"/>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color w:val="auto"/>
              </w:rPr>
            </w:pPr>
            <w:r>
              <w:rPr>
                <w:color w:val="auto"/>
              </w:rPr>
              <w:t>/</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color w:val="auto"/>
              </w:rPr>
            </w:pPr>
            <w:r>
              <w:rPr>
                <w:color w:val="auto"/>
              </w:rPr>
              <w:t>/</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eastAsia" w:eastAsia="仿宋_GB2312"/>
                <w:color w:val="auto"/>
                <w:lang w:val="en-US" w:eastAsia="zh-CN"/>
              </w:rPr>
            </w:pPr>
            <w:r>
              <w:rPr>
                <w:rFonts w:hint="eastAsia"/>
                <w:color w:val="auto"/>
                <w:lang w:val="en-US" w:eastAsia="zh-CN"/>
              </w:rPr>
              <w:t>5</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color w:val="auto"/>
              </w:rPr>
              <w:t>4</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jc w:val="both"/>
              <w:rPr>
                <w:rFonts w:hint="default" w:eastAsia="仿宋_GB2312"/>
                <w:color w:val="auto"/>
                <w:lang w:val="en-US" w:eastAsia="zh-CN"/>
              </w:rPr>
            </w:pPr>
            <w:r>
              <w:rPr>
                <w:rFonts w:hint="eastAsia"/>
                <w:color w:val="auto"/>
                <w:lang w:val="en-US" w:eastAsia="zh-CN"/>
              </w:rPr>
              <w:t>化工原料</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color w:val="auto"/>
                <w:lang w:val="en-US" w:eastAsia="zh-CN"/>
              </w:rPr>
            </w:pPr>
            <w:r>
              <w:rPr>
                <w:rFonts w:hint="eastAsia"/>
                <w:color w:val="auto"/>
                <w:lang w:val="en-US" w:eastAsia="zh-CN"/>
              </w:rPr>
              <w:t>21</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color w:val="auto"/>
                <w:lang w:val="en-US" w:eastAsia="zh-CN"/>
              </w:rPr>
            </w:pPr>
            <w:r>
              <w:rPr>
                <w:rFonts w:hint="eastAsia"/>
                <w:color w:val="auto"/>
                <w:lang w:val="en-US" w:eastAsia="zh-CN"/>
              </w:rPr>
              <w:t>20</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color w:val="auto"/>
                <w:lang w:val="en-US" w:eastAsia="zh-CN"/>
              </w:rPr>
            </w:pPr>
            <w:r>
              <w:rPr>
                <w:rFonts w:hint="eastAsia"/>
                <w:color w:val="auto"/>
                <w:lang w:val="en-US" w:eastAsia="zh-CN"/>
              </w:rPr>
              <w:t>19</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color w:val="auto"/>
                <w:lang w:val="en-US" w:eastAsia="zh-CN"/>
              </w:rPr>
            </w:pPr>
            <w:r>
              <w:rPr>
                <w:rFonts w:hint="eastAsia"/>
                <w:color w:val="auto"/>
                <w:lang w:val="en-US" w:eastAsia="zh-CN"/>
              </w:rPr>
              <w:t>/</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color w:val="auto"/>
                <w:lang w:val="en-US" w:eastAsia="zh-CN"/>
              </w:rPr>
            </w:pPr>
            <w:r>
              <w:rPr>
                <w:rFonts w:hint="eastAsia"/>
                <w:color w:val="auto"/>
                <w:lang w:val="en-US" w:eastAsia="zh-CN"/>
              </w:rPr>
              <w:t>/</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color w:val="auto"/>
                <w:lang w:val="en-US" w:eastAsia="zh-CN"/>
              </w:rPr>
            </w:pPr>
            <w:r>
              <w:rPr>
                <w:rFonts w:hint="eastAsia"/>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食品饮料</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color w:val="auto"/>
              </w:rPr>
              <w:t>1</w:t>
            </w:r>
            <w:r>
              <w:rPr>
                <w:rFonts w:hint="eastAsia"/>
                <w:color w:val="auto"/>
                <w:lang w:val="en-US" w:eastAsia="zh-CN"/>
              </w:rPr>
              <w:t>8</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color w:val="auto"/>
              </w:rPr>
              <w:t>17</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color w:val="auto"/>
              </w:rPr>
              <w:t>16</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color w:val="auto"/>
              </w:rPr>
            </w:pPr>
            <w:r>
              <w:rPr>
                <w:color w:val="auto"/>
              </w:rPr>
              <w:t>/</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color w:val="auto"/>
              </w:rPr>
            </w:pPr>
            <w:r>
              <w:rPr>
                <w:color w:val="auto"/>
              </w:rPr>
              <w:t>/</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keepNext w:val="0"/>
              <w:keepLines w:val="0"/>
              <w:pageBreakBefore w:val="0"/>
              <w:widowControl/>
              <w:kinsoku/>
              <w:wordWrap/>
              <w:overflowPunct/>
              <w:topLinePunct w:val="0"/>
              <w:autoSpaceDE/>
              <w:autoSpaceDN/>
              <w:bidi w:val="0"/>
              <w:adjustRightInd/>
              <w:snapToGrid w:val="0"/>
              <w:spacing w:line="300" w:lineRule="exact"/>
              <w:textAlignment w:val="auto"/>
              <w:rPr>
                <w:color w:val="auto"/>
              </w:rPr>
            </w:pPr>
            <w:r>
              <w:rPr>
                <w:color w:val="auto"/>
              </w:rPr>
              <w:t>机械及电器设备</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10</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color w:val="auto"/>
              </w:rPr>
              <w:t>9</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9</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晶硅产品</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5</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5</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5</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rFonts w:hint="default" w:eastAsia="仿宋_GB2312"/>
                <w:color w:val="auto"/>
                <w:lang w:val="en-US" w:eastAsia="zh-CN"/>
              </w:rPr>
            </w:pPr>
            <w:r>
              <w:rPr>
                <w:rFonts w:hint="eastAsia"/>
                <w:color w:val="auto"/>
                <w:lang w:val="en-US" w:eastAsia="zh-CN"/>
              </w:rPr>
              <w:t>0.2</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rFonts w:hint="default" w:eastAsia="仿宋_GB2312"/>
                <w:color w:val="auto"/>
                <w:lang w:val="en-US" w:eastAsia="zh-CN"/>
              </w:rPr>
            </w:pPr>
            <w:r>
              <w:rPr>
                <w:rFonts w:hint="eastAsia"/>
                <w:color w:val="auto"/>
                <w:lang w:val="en-US" w:eastAsia="zh-CN"/>
              </w:rPr>
              <w:t>0.2</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rFonts w:hint="default" w:eastAsia="仿宋_GB2312"/>
                <w:color w:val="auto"/>
                <w:lang w:val="en-US" w:eastAsia="zh-CN"/>
              </w:rPr>
            </w:pPr>
            <w:r>
              <w:rPr>
                <w:rFonts w:hint="eastAsia"/>
                <w:color w:val="auto"/>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冷链</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0.</w:t>
            </w:r>
            <w:r>
              <w:rPr>
                <w:rFonts w:hint="eastAsia"/>
                <w:color w:val="auto"/>
                <w:lang w:val="en-US" w:eastAsia="zh-CN"/>
              </w:rPr>
              <w:t>1</w:t>
            </w:r>
            <w:r>
              <w:rPr>
                <w:color w:val="auto"/>
              </w:rPr>
              <w:t xml:space="preserve"> </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0.</w:t>
            </w:r>
            <w:r>
              <w:rPr>
                <w:rFonts w:hint="eastAsia"/>
                <w:color w:val="auto"/>
                <w:lang w:val="en-US" w:eastAsia="zh-CN"/>
              </w:rPr>
              <w:t>1</w:t>
            </w:r>
            <w:r>
              <w:rPr>
                <w:color w:val="auto"/>
              </w:rPr>
              <w:t xml:space="preserve"> </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0.</w:t>
            </w:r>
            <w:r>
              <w:rPr>
                <w:rFonts w:hint="eastAsia"/>
                <w:color w:val="auto"/>
                <w:lang w:val="en-US" w:eastAsia="zh-CN"/>
              </w:rPr>
              <w:t>1</w:t>
            </w:r>
            <w:r>
              <w:rPr>
                <w:color w:val="auto"/>
              </w:rPr>
              <w:t xml:space="preserve"> </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color w:val="auto"/>
              </w:rPr>
            </w:pPr>
            <w:r>
              <w:rPr>
                <w:color w:val="auto"/>
              </w:rPr>
              <w:t>/</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color w:val="auto"/>
              </w:rPr>
            </w:pPr>
            <w:r>
              <w:rPr>
                <w:color w:val="auto"/>
              </w:rPr>
              <w:t>/</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widowControl/>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color w:val="auto"/>
              </w:rPr>
            </w:pPr>
            <w:r>
              <w:rPr>
                <w:color w:val="auto"/>
              </w:rPr>
              <w:t>快递</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0.3</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0.2</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0.2</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0.6</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0.5</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widowControl/>
              <w:rPr>
                <w:rFonts w:hint="default" w:eastAsia="仿宋_GB2312"/>
                <w:color w:val="auto"/>
                <w:lang w:val="en-US" w:eastAsia="zh-CN"/>
              </w:rPr>
            </w:pPr>
            <w:r>
              <w:rPr>
                <w:rFonts w:hint="eastAsia"/>
                <w:color w:val="auto"/>
                <w:lang w:val="en-US" w:eastAsia="zh-CN"/>
              </w:rPr>
              <w:t>0.4</w:t>
            </w:r>
          </w:p>
        </w:tc>
      </w:tr>
    </w:tbl>
    <w:p>
      <w:pPr>
        <w:pStyle w:val="7"/>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22</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2035年示范基地承接雅安货运量预测</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1496"/>
        <w:gridCol w:w="1388"/>
        <w:gridCol w:w="1253"/>
        <w:gridCol w:w="1454"/>
        <w:gridCol w:w="1507"/>
        <w:gridCol w:w="1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restart"/>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货类</w:t>
            </w:r>
          </w:p>
        </w:tc>
        <w:tc>
          <w:tcPr>
            <w:tcW w:w="2060"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运出/万吨</w:t>
            </w:r>
          </w:p>
        </w:tc>
        <w:tc>
          <w:tcPr>
            <w:tcW w:w="2191"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运入/万吨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p>
        </w:tc>
        <w:tc>
          <w:tcPr>
            <w:tcW w:w="7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乐观</w:t>
            </w:r>
          </w:p>
        </w:tc>
        <w:tc>
          <w:tcPr>
            <w:tcW w:w="69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基准</w:t>
            </w:r>
          </w:p>
        </w:tc>
        <w:tc>
          <w:tcPr>
            <w:tcW w:w="6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保守</w:t>
            </w:r>
          </w:p>
        </w:tc>
        <w:tc>
          <w:tcPr>
            <w:tcW w:w="7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乐观</w:t>
            </w:r>
          </w:p>
        </w:tc>
        <w:tc>
          <w:tcPr>
            <w:tcW w:w="75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基准</w:t>
            </w:r>
          </w:p>
        </w:tc>
        <w:tc>
          <w:tcPr>
            <w:tcW w:w="71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firstLine="0" w:firstLineChars="0"/>
              <w:jc w:val="center"/>
              <w:textAlignment w:val="auto"/>
              <w:rPr>
                <w:rFonts w:hint="default" w:ascii="Times New Roman" w:hAnsi="Times New Roman" w:eastAsia="黑体" w:cs="Times New Roman"/>
                <w:b w:val="0"/>
                <w:bCs/>
                <w:color w:val="auto"/>
                <w:kern w:val="2"/>
                <w:sz w:val="24"/>
                <w:szCs w:val="28"/>
                <w:lang w:val="en-US" w:eastAsia="zh-CN" w:bidi="ar-SA"/>
              </w:rPr>
            </w:pPr>
            <w:r>
              <w:rPr>
                <w:rFonts w:hint="default" w:ascii="Times New Roman" w:hAnsi="Times New Roman" w:eastAsia="黑体" w:cs="Times New Roman"/>
                <w:b w:val="0"/>
                <w:bCs/>
                <w:color w:val="auto"/>
                <w:kern w:val="2"/>
                <w:sz w:val="24"/>
                <w:szCs w:val="28"/>
                <w:lang w:val="en-US" w:eastAsia="zh-CN" w:bidi="ar-SA"/>
              </w:rPr>
              <w:t>保守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金属矿石</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top"/>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8</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8</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矿建材料</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3</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3</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3</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10</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9</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钢材</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0.</w:t>
            </w:r>
            <w:r>
              <w:rPr>
                <w:rFonts w:hint="eastAsia"/>
                <w:color w:val="auto"/>
                <w:lang w:val="en-US" w:eastAsia="zh-CN"/>
              </w:rPr>
              <w:t>6</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0.</w:t>
            </w:r>
            <w:r>
              <w:rPr>
                <w:rFonts w:hint="eastAsia"/>
                <w:color w:val="auto"/>
                <w:lang w:val="en-US" w:eastAsia="zh-CN"/>
              </w:rPr>
              <w:t>6</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0.</w:t>
            </w:r>
            <w:r>
              <w:rPr>
                <w:rFonts w:hint="eastAsia"/>
                <w:color w:val="auto"/>
                <w:lang w:val="en-US" w:eastAsia="zh-CN"/>
              </w:rPr>
              <w:t>6</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18</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17</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机械及电器设备</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3</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3</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3</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冷链</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0</w:t>
            </w:r>
            <w:r>
              <w:rPr>
                <w:rFonts w:hint="eastAsia"/>
                <w:color w:val="auto"/>
                <w:lang w:val="en-US" w:eastAsia="zh-CN"/>
              </w:rPr>
              <w:t>.1</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快递</w:t>
            </w:r>
          </w:p>
        </w:tc>
        <w:tc>
          <w:tcPr>
            <w:tcW w:w="1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lang w:val="en-US" w:eastAsia="zh-CN"/>
              </w:rPr>
              <w:t>0.1</w:t>
            </w: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0.1</w:t>
            </w:r>
          </w:p>
        </w:tc>
        <w:tc>
          <w:tcPr>
            <w:tcW w:w="12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color w:val="auto"/>
              </w:rPr>
              <w:t>0.1</w:t>
            </w:r>
          </w:p>
        </w:tc>
        <w:tc>
          <w:tcPr>
            <w:tcW w:w="145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rPr>
              <w:t>0.6</w:t>
            </w:r>
          </w:p>
        </w:tc>
        <w:tc>
          <w:tcPr>
            <w:tcW w:w="1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rPr>
              <w:t>0.5</w:t>
            </w:r>
          </w:p>
        </w:tc>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ascii="Times New Roman" w:hAnsi="Times New Roman" w:eastAsia="仿宋_GB2312" w:cs="Times New Roman"/>
                <w:color w:val="auto"/>
                <w:kern w:val="2"/>
                <w:sz w:val="24"/>
                <w:szCs w:val="28"/>
                <w:lang w:val="en-US" w:eastAsia="zh-CN" w:bidi="ar-SA"/>
              </w:rPr>
            </w:pPr>
            <w:r>
              <w:rPr>
                <w:rFonts w:hint="eastAsia"/>
                <w:color w:val="auto"/>
              </w:rPr>
              <w:t>0.4</w:t>
            </w:r>
          </w:p>
        </w:tc>
      </w:tr>
    </w:tbl>
    <w:p>
      <w:pPr>
        <w:widowControl/>
        <w:bidi w:val="0"/>
        <w:rPr>
          <w:rFonts w:hint="default"/>
          <w:color w:val="auto"/>
          <w:lang w:val="en-US" w:eastAsia="zh-CN"/>
        </w:rPr>
      </w:pPr>
      <w:r>
        <w:rPr>
          <w:rFonts w:hint="default"/>
          <w:color w:val="auto"/>
          <w:lang w:val="en-US" w:eastAsia="zh-CN"/>
        </w:rPr>
        <w:t>间接腹地中，西藏铜矿资源占中国2/3以上，已探明铜资源量超7000万吨，</w:t>
      </w:r>
      <w:r>
        <w:rPr>
          <w:rFonts w:ascii="Times New Roman" w:hAnsi="Times New Roman" w:eastAsia="仿宋_GB2312" w:cstheme="minorBidi"/>
          <w:color w:val="auto"/>
          <w:sz w:val="32"/>
          <w:szCs w:val="22"/>
        </w:rPr>
        <w:t>预测资源潜力达1.5亿吨</w:t>
      </w:r>
      <w:r>
        <w:rPr>
          <w:rFonts w:hint="default" w:ascii="Times New Roman" w:hAnsi="Times New Roman" w:eastAsia="仿宋_GB2312" w:cstheme="minorBidi"/>
          <w:color w:val="auto"/>
          <w:sz w:val="32"/>
          <w:szCs w:val="22"/>
          <w:lang w:eastAsia="zh-CN"/>
        </w:rPr>
        <w:t>，</w:t>
      </w:r>
      <w:r>
        <w:rPr>
          <w:rFonts w:hint="default"/>
          <w:color w:val="auto"/>
          <w:lang w:val="en-US" w:eastAsia="zh-CN"/>
        </w:rPr>
        <w:t>未来矿石年开采量</w:t>
      </w:r>
      <w:r>
        <w:rPr>
          <w:rFonts w:hint="eastAsia"/>
          <w:color w:val="auto"/>
          <w:lang w:val="en-US" w:eastAsia="zh-CN"/>
        </w:rPr>
        <w:t>预计</w:t>
      </w:r>
      <w:r>
        <w:rPr>
          <w:rFonts w:hint="default"/>
          <w:color w:val="auto"/>
          <w:lang w:val="en-US" w:eastAsia="zh-CN"/>
        </w:rPr>
        <w:t>将超1亿吨，</w:t>
      </w:r>
      <w:r>
        <w:rPr>
          <w:rFonts w:hint="eastAsia"/>
          <w:color w:val="auto"/>
          <w:lang w:val="en-US" w:eastAsia="zh-CN"/>
        </w:rPr>
        <w:t>“十五五”末川藏铁路建成投用后，乐山将成为藏铜外运的最近下水港口，成为我国铜矿资源流通的重要集散中心；同时服务西藏雅下水电站等国家战略性建设项目的工程物资运输。此外，新疆煤炭、自贡大件装备、甘孜和阿坝各类特色农产品等均可通过示范基地下水运至长江经济带。</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示范基地承接货运总量</w:t>
      </w:r>
    </w:p>
    <w:p>
      <w:pPr>
        <w:bidi w:val="0"/>
        <w:rPr>
          <w:rFonts w:hint="default"/>
          <w:color w:val="auto"/>
          <w:lang w:val="en-US" w:eastAsia="zh-CN"/>
        </w:rPr>
      </w:pPr>
      <w:r>
        <w:rPr>
          <w:rFonts w:hint="default"/>
          <w:color w:val="auto"/>
          <w:lang w:val="en-US" w:eastAsia="zh-CN"/>
        </w:rPr>
        <w:t>预测示范基地承接乐山市及周边经济腹地的各货类货运总量汇总如下。</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23</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2035年示范基地承接各类型货运总量预测</w:t>
      </w:r>
    </w:p>
    <w:tbl>
      <w:tblPr>
        <w:tblStyle w:val="30"/>
        <w:tblW w:w="4998" w:type="pct"/>
        <w:jc w:val="center"/>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Layout w:type="autofit"/>
        <w:tblCellMar>
          <w:top w:w="0" w:type="dxa"/>
          <w:left w:w="108" w:type="dxa"/>
          <w:bottom w:w="0" w:type="dxa"/>
          <w:right w:w="108" w:type="dxa"/>
        </w:tblCellMar>
      </w:tblPr>
      <w:tblGrid>
        <w:gridCol w:w="1809"/>
        <w:gridCol w:w="2694"/>
        <w:gridCol w:w="2705"/>
        <w:gridCol w:w="2829"/>
      </w:tblGrid>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tblHeader/>
          <w:jc w:val="center"/>
        </w:trPr>
        <w:tc>
          <w:tcPr>
            <w:tcW w:w="901" w:type="pct"/>
            <w:vMerge w:val="restart"/>
            <w:tcBorders>
              <w:top w:val="single" w:color="000000" w:sz="4" w:space="0"/>
              <w:left w:val="single" w:color="000000" w:sz="4" w:space="0"/>
              <w:bottom w:val="single" w:color="000000" w:sz="4" w:space="0"/>
              <w:right w:val="nil"/>
              <w:insideV w:val="nil"/>
              <w:tl2br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货物类型</w:t>
            </w:r>
          </w:p>
        </w:tc>
        <w:tc>
          <w:tcPr>
            <w:tcW w:w="4098" w:type="pct"/>
            <w:gridSpan w:val="3"/>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总货运量/万吨</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tblHeader/>
          <w:jc w:val="center"/>
        </w:trPr>
        <w:tc>
          <w:tcPr>
            <w:tcW w:w="901" w:type="pct"/>
            <w:vMerge w:val="continue"/>
            <w:tcBorders>
              <w:top w:val="single" w:color="000000" w:sz="4" w:space="0"/>
              <w:left w:val="single" w:color="000000" w:sz="4" w:space="0"/>
              <w:bottom w:val="single" w:color="000000" w:sz="4" w:space="0"/>
              <w:right w:val="nil"/>
              <w:insideV w:val="nil"/>
            </w:tcBorders>
            <w:shd w:val="clear" w:color="auto" w:fill="FFFFFF"/>
            <w:vAlign w:val="center"/>
          </w:tcPr>
          <w:p>
            <w:pPr>
              <w:pStyle w:val="32"/>
              <w:rPr>
                <w:rFonts w:hint="eastAsia" w:ascii="黑体" w:hAnsi="黑体" w:eastAsia="黑体" w:cs="黑体"/>
                <w:b w:val="0"/>
                <w:bCs w:val="0"/>
                <w:color w:val="auto"/>
              </w:rPr>
            </w:pPr>
          </w:p>
        </w:tc>
        <w:tc>
          <w:tcPr>
            <w:tcW w:w="1342" w:type="pct"/>
            <w:tcBorders>
              <w:top w:val="single" w:color="000000" w:sz="4" w:space="0"/>
              <w:left w:val="single" w:color="000000" w:sz="4" w:space="0"/>
              <w:bottom w:val="single" w:color="000000" w:sz="4" w:space="0"/>
              <w:right w:val="nil"/>
              <w:insideV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乐观</w:t>
            </w:r>
          </w:p>
        </w:tc>
        <w:tc>
          <w:tcPr>
            <w:tcW w:w="1347" w:type="pct"/>
            <w:tcBorders>
              <w:top w:val="single" w:color="000000" w:sz="4" w:space="0"/>
              <w:left w:val="single" w:color="000000" w:sz="4" w:space="0"/>
              <w:bottom w:val="single" w:color="000000" w:sz="4" w:space="0"/>
              <w:right w:val="nil"/>
              <w:insideV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基准</w:t>
            </w:r>
          </w:p>
        </w:tc>
        <w:tc>
          <w:tcPr>
            <w:tcW w:w="1409" w:type="pct"/>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保守</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901" w:type="pct"/>
            <w:tcBorders>
              <w:top w:val="single" w:color="000000" w:sz="4" w:space="0"/>
              <w:left w:val="single" w:color="000000" w:sz="4" w:space="0"/>
              <w:bottom w:val="single" w:color="000000" w:sz="4" w:space="0"/>
              <w:right w:val="nil"/>
            </w:tcBorders>
            <w:shd w:val="clear" w:color="auto" w:fill="FFFFFF"/>
            <w:vAlign w:val="center"/>
          </w:tcPr>
          <w:p>
            <w:pPr>
              <w:pStyle w:val="32"/>
              <w:rPr>
                <w:b w:val="0"/>
                <w:bCs w:val="0"/>
                <w:color w:val="auto"/>
              </w:rPr>
            </w:pPr>
            <w:r>
              <w:rPr>
                <w:b w:val="0"/>
                <w:bCs w:val="0"/>
                <w:color w:val="auto"/>
              </w:rPr>
              <w:t>散货</w:t>
            </w:r>
          </w:p>
        </w:tc>
        <w:tc>
          <w:tcPr>
            <w:tcW w:w="1342"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212</w:t>
            </w:r>
          </w:p>
        </w:tc>
        <w:tc>
          <w:tcPr>
            <w:tcW w:w="1347"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202</w:t>
            </w:r>
          </w:p>
        </w:tc>
        <w:tc>
          <w:tcPr>
            <w:tcW w:w="14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190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901"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eastAsia" w:eastAsia="仿宋_GB2312"/>
                <w:b w:val="0"/>
                <w:bCs w:val="0"/>
                <w:color w:val="auto"/>
                <w:lang w:eastAsia="zh-CN"/>
              </w:rPr>
            </w:pPr>
            <w:r>
              <w:rPr>
                <w:rFonts w:hint="eastAsia"/>
                <w:b w:val="0"/>
                <w:bCs w:val="0"/>
                <w:color w:val="auto"/>
                <w:lang w:val="en-US" w:eastAsia="zh-CN"/>
              </w:rPr>
              <w:t>大宗商品</w:t>
            </w:r>
          </w:p>
        </w:tc>
        <w:tc>
          <w:tcPr>
            <w:tcW w:w="1342"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321</w:t>
            </w:r>
          </w:p>
        </w:tc>
        <w:tc>
          <w:tcPr>
            <w:tcW w:w="1347"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306</w:t>
            </w:r>
          </w:p>
        </w:tc>
        <w:tc>
          <w:tcPr>
            <w:tcW w:w="14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287</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901" w:type="pct"/>
            <w:tcBorders>
              <w:top w:val="single" w:color="000000" w:sz="4" w:space="0"/>
              <w:left w:val="single" w:color="000000" w:sz="4" w:space="0"/>
              <w:bottom w:val="single" w:color="000000" w:sz="4" w:space="0"/>
              <w:right w:val="nil"/>
            </w:tcBorders>
            <w:shd w:val="clear" w:color="auto" w:fill="FFFFFF"/>
            <w:vAlign w:val="center"/>
          </w:tcPr>
          <w:p>
            <w:pPr>
              <w:pStyle w:val="32"/>
              <w:rPr>
                <w:b w:val="0"/>
                <w:bCs w:val="0"/>
                <w:color w:val="auto"/>
              </w:rPr>
            </w:pPr>
            <w:r>
              <w:rPr>
                <w:b w:val="0"/>
                <w:bCs w:val="0"/>
                <w:color w:val="auto"/>
              </w:rPr>
              <w:t>绿色化工</w:t>
            </w:r>
          </w:p>
        </w:tc>
        <w:tc>
          <w:tcPr>
            <w:tcW w:w="1342" w:type="pct"/>
            <w:tcBorders>
              <w:top w:val="single" w:color="000000" w:sz="4" w:space="0"/>
              <w:left w:val="single" w:color="000000" w:sz="4" w:space="0"/>
              <w:bottom w:val="single" w:color="000000" w:sz="4" w:space="0"/>
              <w:right w:val="nil"/>
            </w:tcBorders>
            <w:shd w:val="clear" w:color="auto" w:fill="FFFFFF"/>
            <w:vAlign w:val="center"/>
          </w:tcPr>
          <w:p>
            <w:pPr>
              <w:pStyle w:val="32"/>
              <w:rPr>
                <w:color w:val="auto"/>
              </w:rPr>
            </w:pPr>
            <w:r>
              <w:rPr>
                <w:color w:val="auto"/>
              </w:rPr>
              <w:t xml:space="preserve">88 </w:t>
            </w:r>
          </w:p>
        </w:tc>
        <w:tc>
          <w:tcPr>
            <w:tcW w:w="1347" w:type="pct"/>
            <w:tcBorders>
              <w:top w:val="single" w:color="000000" w:sz="4" w:space="0"/>
              <w:left w:val="single" w:color="000000" w:sz="4" w:space="0"/>
              <w:bottom w:val="single" w:color="000000" w:sz="4" w:space="0"/>
              <w:right w:val="nil"/>
            </w:tcBorders>
            <w:shd w:val="clear" w:color="auto" w:fill="FFFFFF"/>
            <w:vAlign w:val="center"/>
          </w:tcPr>
          <w:p>
            <w:pPr>
              <w:pStyle w:val="32"/>
              <w:rPr>
                <w:color w:val="auto"/>
              </w:rPr>
            </w:pPr>
            <w:r>
              <w:rPr>
                <w:color w:val="auto"/>
              </w:rPr>
              <w:t xml:space="preserve">84 </w:t>
            </w:r>
          </w:p>
        </w:tc>
        <w:tc>
          <w:tcPr>
            <w:tcW w:w="14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color w:val="auto"/>
              </w:rPr>
            </w:pPr>
            <w:r>
              <w:rPr>
                <w:color w:val="auto"/>
              </w:rPr>
              <w:t xml:space="preserve">78 </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901" w:type="pct"/>
            <w:tcBorders>
              <w:top w:val="single" w:color="000000" w:sz="4" w:space="0"/>
              <w:left w:val="single" w:color="000000" w:sz="4" w:space="0"/>
              <w:bottom w:val="single" w:color="000000" w:sz="4" w:space="0"/>
              <w:right w:val="nil"/>
            </w:tcBorders>
            <w:shd w:val="clear" w:color="auto" w:fill="FFFFFF"/>
            <w:vAlign w:val="center"/>
          </w:tcPr>
          <w:p>
            <w:pPr>
              <w:pStyle w:val="32"/>
              <w:rPr>
                <w:b w:val="0"/>
                <w:bCs w:val="0"/>
                <w:color w:val="auto"/>
              </w:rPr>
            </w:pPr>
            <w:r>
              <w:rPr>
                <w:b w:val="0"/>
                <w:bCs w:val="0"/>
                <w:color w:val="auto"/>
              </w:rPr>
              <w:t>生活物资</w:t>
            </w:r>
          </w:p>
        </w:tc>
        <w:tc>
          <w:tcPr>
            <w:tcW w:w="1342" w:type="pct"/>
            <w:tcBorders>
              <w:top w:val="single" w:color="000000" w:sz="4" w:space="0"/>
              <w:left w:val="single" w:color="000000" w:sz="4" w:space="0"/>
              <w:bottom w:val="single" w:color="000000" w:sz="4" w:space="0"/>
              <w:right w:val="nil"/>
            </w:tcBorders>
            <w:shd w:val="clear" w:color="auto" w:fill="FFFFFF"/>
            <w:vAlign w:val="center"/>
          </w:tcPr>
          <w:p>
            <w:pPr>
              <w:pStyle w:val="32"/>
              <w:rPr>
                <w:color w:val="auto"/>
              </w:rPr>
            </w:pPr>
            <w:r>
              <w:rPr>
                <w:color w:val="auto"/>
              </w:rPr>
              <w:t>106</w:t>
            </w:r>
          </w:p>
        </w:tc>
        <w:tc>
          <w:tcPr>
            <w:tcW w:w="1347" w:type="pct"/>
            <w:tcBorders>
              <w:top w:val="single" w:color="000000" w:sz="4" w:space="0"/>
              <w:left w:val="single" w:color="000000" w:sz="4" w:space="0"/>
              <w:bottom w:val="single" w:color="000000" w:sz="4" w:space="0"/>
              <w:right w:val="nil"/>
            </w:tcBorders>
            <w:shd w:val="clear" w:color="auto" w:fill="FFFFFF"/>
            <w:vAlign w:val="center"/>
          </w:tcPr>
          <w:p>
            <w:pPr>
              <w:pStyle w:val="32"/>
              <w:rPr>
                <w:color w:val="auto"/>
              </w:rPr>
            </w:pPr>
            <w:r>
              <w:rPr>
                <w:color w:val="auto"/>
              </w:rPr>
              <w:t>102</w:t>
            </w:r>
          </w:p>
        </w:tc>
        <w:tc>
          <w:tcPr>
            <w:tcW w:w="14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color w:val="auto"/>
              </w:rPr>
            </w:pPr>
            <w:r>
              <w:rPr>
                <w:color w:val="auto"/>
              </w:rPr>
              <w:t>95</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901" w:type="pct"/>
            <w:tcBorders>
              <w:top w:val="single" w:color="000000" w:sz="4" w:space="0"/>
              <w:left w:val="single" w:color="000000" w:sz="4" w:space="0"/>
              <w:bottom w:val="single" w:color="000000" w:sz="4" w:space="0"/>
              <w:right w:val="nil"/>
            </w:tcBorders>
            <w:shd w:val="clear" w:color="auto" w:fill="FFFFFF"/>
            <w:vAlign w:val="center"/>
          </w:tcPr>
          <w:p>
            <w:pPr>
              <w:pStyle w:val="32"/>
              <w:rPr>
                <w:b w:val="0"/>
                <w:bCs w:val="0"/>
                <w:color w:val="auto"/>
              </w:rPr>
            </w:pPr>
            <w:r>
              <w:rPr>
                <w:b w:val="0"/>
                <w:bCs w:val="0"/>
                <w:color w:val="auto"/>
              </w:rPr>
              <w:t>冷链</w:t>
            </w:r>
          </w:p>
        </w:tc>
        <w:tc>
          <w:tcPr>
            <w:tcW w:w="1342"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30</w:t>
            </w:r>
          </w:p>
        </w:tc>
        <w:tc>
          <w:tcPr>
            <w:tcW w:w="1347"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29</w:t>
            </w:r>
          </w:p>
        </w:tc>
        <w:tc>
          <w:tcPr>
            <w:tcW w:w="14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27</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901" w:type="pct"/>
            <w:tcBorders>
              <w:top w:val="single" w:color="000000" w:sz="4" w:space="0"/>
              <w:left w:val="single" w:color="000000" w:sz="4" w:space="0"/>
              <w:bottom w:val="single" w:color="000000" w:sz="4" w:space="0"/>
              <w:right w:val="nil"/>
            </w:tcBorders>
            <w:shd w:val="clear" w:color="auto" w:fill="FFFFFF"/>
            <w:vAlign w:val="center"/>
          </w:tcPr>
          <w:p>
            <w:pPr>
              <w:pStyle w:val="32"/>
              <w:rPr>
                <w:b w:val="0"/>
                <w:bCs w:val="0"/>
                <w:color w:val="auto"/>
              </w:rPr>
            </w:pPr>
            <w:r>
              <w:rPr>
                <w:b w:val="0"/>
                <w:bCs w:val="0"/>
                <w:color w:val="auto"/>
              </w:rPr>
              <w:t>城市配送</w:t>
            </w:r>
          </w:p>
        </w:tc>
        <w:tc>
          <w:tcPr>
            <w:tcW w:w="1342"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53</w:t>
            </w:r>
          </w:p>
        </w:tc>
        <w:tc>
          <w:tcPr>
            <w:tcW w:w="1347"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48</w:t>
            </w:r>
          </w:p>
        </w:tc>
        <w:tc>
          <w:tcPr>
            <w:tcW w:w="14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43</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901" w:type="pct"/>
            <w:tcBorders>
              <w:top w:val="single" w:color="000000" w:sz="4" w:space="0"/>
              <w:left w:val="single" w:color="000000" w:sz="4" w:space="0"/>
              <w:bottom w:val="single" w:color="000000" w:sz="4" w:space="0"/>
              <w:right w:val="nil"/>
            </w:tcBorders>
            <w:shd w:val="clear" w:color="auto" w:fill="FFFFFF"/>
            <w:vAlign w:val="center"/>
          </w:tcPr>
          <w:p>
            <w:pPr>
              <w:pStyle w:val="32"/>
              <w:rPr>
                <w:b w:val="0"/>
                <w:bCs w:val="0"/>
                <w:color w:val="auto"/>
              </w:rPr>
            </w:pPr>
            <w:r>
              <w:rPr>
                <w:rFonts w:hint="eastAsia"/>
                <w:b w:val="0"/>
                <w:bCs w:val="0"/>
                <w:color w:val="auto"/>
              </w:rPr>
              <w:t>粮食</w:t>
            </w:r>
          </w:p>
        </w:tc>
        <w:tc>
          <w:tcPr>
            <w:tcW w:w="1342"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66</w:t>
            </w:r>
          </w:p>
        </w:tc>
        <w:tc>
          <w:tcPr>
            <w:tcW w:w="1347" w:type="pct"/>
            <w:tcBorders>
              <w:top w:val="single" w:color="000000" w:sz="4" w:space="0"/>
              <w:left w:val="single" w:color="000000" w:sz="4" w:space="0"/>
              <w:bottom w:val="single" w:color="000000" w:sz="4" w:space="0"/>
              <w:right w:val="nil"/>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63</w:t>
            </w:r>
          </w:p>
        </w:tc>
        <w:tc>
          <w:tcPr>
            <w:tcW w:w="14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59</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901" w:type="pct"/>
            <w:tcBorders>
              <w:top w:val="single" w:color="000000" w:sz="4" w:space="0"/>
              <w:left w:val="single" w:color="000000" w:sz="4" w:space="0"/>
              <w:bottom w:val="single" w:color="000000" w:sz="4" w:space="0"/>
              <w:right w:val="nil"/>
            </w:tcBorders>
            <w:shd w:val="clear" w:color="auto" w:fill="FFFFFF"/>
            <w:vAlign w:val="center"/>
          </w:tcPr>
          <w:p>
            <w:pPr>
              <w:pStyle w:val="32"/>
              <w:rPr>
                <w:b w:val="0"/>
                <w:bCs w:val="0"/>
                <w:color w:val="auto"/>
              </w:rPr>
            </w:pPr>
            <w:r>
              <w:rPr>
                <w:rFonts w:hint="eastAsia"/>
                <w:b w:val="0"/>
                <w:bCs w:val="0"/>
                <w:color w:val="auto"/>
              </w:rPr>
              <w:t>重大件</w:t>
            </w:r>
          </w:p>
        </w:tc>
        <w:tc>
          <w:tcPr>
            <w:tcW w:w="1342" w:type="pct"/>
            <w:tcBorders>
              <w:top w:val="single" w:color="000000" w:sz="4" w:space="0"/>
              <w:left w:val="single" w:color="000000" w:sz="4" w:space="0"/>
              <w:bottom w:val="single" w:color="000000" w:sz="4" w:space="0"/>
              <w:right w:val="nil"/>
            </w:tcBorders>
            <w:shd w:val="clear" w:color="auto" w:fill="FFFFFF"/>
            <w:vAlign w:val="center"/>
          </w:tcPr>
          <w:p>
            <w:pPr>
              <w:pStyle w:val="32"/>
              <w:rPr>
                <w:color w:val="auto"/>
              </w:rPr>
            </w:pPr>
            <w:r>
              <w:rPr>
                <w:color w:val="auto"/>
              </w:rPr>
              <w:t>13</w:t>
            </w:r>
          </w:p>
        </w:tc>
        <w:tc>
          <w:tcPr>
            <w:tcW w:w="1347" w:type="pct"/>
            <w:tcBorders>
              <w:top w:val="single" w:color="000000" w:sz="4" w:space="0"/>
              <w:left w:val="single" w:color="000000" w:sz="4" w:space="0"/>
              <w:bottom w:val="single" w:color="000000" w:sz="4" w:space="0"/>
              <w:right w:val="nil"/>
            </w:tcBorders>
            <w:shd w:val="clear" w:color="auto" w:fill="FFFFFF"/>
            <w:vAlign w:val="center"/>
          </w:tcPr>
          <w:p>
            <w:pPr>
              <w:pStyle w:val="32"/>
              <w:rPr>
                <w:color w:val="auto"/>
              </w:rPr>
            </w:pPr>
            <w:r>
              <w:rPr>
                <w:color w:val="auto"/>
              </w:rPr>
              <w:t>1</w:t>
            </w:r>
            <w:r>
              <w:rPr>
                <w:rFonts w:hint="eastAsia"/>
                <w:color w:val="auto"/>
              </w:rPr>
              <w:t>2</w:t>
            </w:r>
          </w:p>
        </w:tc>
        <w:tc>
          <w:tcPr>
            <w:tcW w:w="14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color w:val="auto"/>
              </w:rPr>
            </w:pPr>
            <w:r>
              <w:rPr>
                <w:color w:val="auto"/>
              </w:rPr>
              <w:t>10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27" w:hRule="atLeast"/>
          <w:jc w:val="center"/>
        </w:trPr>
        <w:tc>
          <w:tcPr>
            <w:tcW w:w="901" w:type="pct"/>
            <w:tcBorders>
              <w:top w:val="single" w:color="000000" w:sz="4" w:space="0"/>
              <w:left w:val="single" w:color="000000" w:sz="4" w:space="0"/>
              <w:bottom w:val="single" w:color="000000" w:sz="4" w:space="0"/>
              <w:right w:val="nil"/>
            </w:tcBorders>
            <w:shd w:val="clear" w:color="auto" w:fill="FFFFFF"/>
            <w:vAlign w:val="center"/>
          </w:tcPr>
          <w:p>
            <w:pPr>
              <w:pStyle w:val="32"/>
              <w:rPr>
                <w:b w:val="0"/>
                <w:bCs w:val="0"/>
                <w:color w:val="auto"/>
              </w:rPr>
            </w:pPr>
            <w:r>
              <w:rPr>
                <w:b w:val="0"/>
                <w:bCs w:val="0"/>
                <w:color w:val="auto"/>
              </w:rPr>
              <w:t>其他</w:t>
            </w:r>
          </w:p>
        </w:tc>
        <w:tc>
          <w:tcPr>
            <w:tcW w:w="1342" w:type="pct"/>
            <w:tcBorders>
              <w:top w:val="single" w:color="000000" w:sz="4" w:space="0"/>
              <w:left w:val="single" w:color="000000" w:sz="4" w:space="0"/>
              <w:bottom w:val="single" w:color="000000" w:sz="4" w:space="0"/>
              <w:right w:val="nil"/>
            </w:tcBorders>
            <w:shd w:val="clear" w:color="auto" w:fill="FFFFFF"/>
            <w:vAlign w:val="center"/>
          </w:tcPr>
          <w:p>
            <w:pPr>
              <w:pStyle w:val="32"/>
              <w:rPr>
                <w:color w:val="auto"/>
              </w:rPr>
            </w:pPr>
            <w:r>
              <w:rPr>
                <w:color w:val="auto"/>
              </w:rPr>
              <w:t xml:space="preserve">65 </w:t>
            </w:r>
          </w:p>
        </w:tc>
        <w:tc>
          <w:tcPr>
            <w:tcW w:w="1347" w:type="pct"/>
            <w:tcBorders>
              <w:top w:val="single" w:color="000000" w:sz="4" w:space="0"/>
              <w:left w:val="single" w:color="000000" w:sz="4" w:space="0"/>
              <w:bottom w:val="single" w:color="000000" w:sz="4" w:space="0"/>
              <w:right w:val="nil"/>
            </w:tcBorders>
            <w:shd w:val="clear" w:color="auto" w:fill="FFFFFF"/>
            <w:vAlign w:val="center"/>
          </w:tcPr>
          <w:p>
            <w:pPr>
              <w:pStyle w:val="32"/>
              <w:rPr>
                <w:color w:val="auto"/>
              </w:rPr>
            </w:pPr>
            <w:r>
              <w:rPr>
                <w:color w:val="auto"/>
              </w:rPr>
              <w:t xml:space="preserve">62 </w:t>
            </w:r>
          </w:p>
        </w:tc>
        <w:tc>
          <w:tcPr>
            <w:tcW w:w="140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color w:val="auto"/>
              </w:rPr>
            </w:pPr>
            <w:r>
              <w:rPr>
                <w:color w:val="auto"/>
              </w:rPr>
              <w:t xml:space="preserve">59 </w:t>
            </w:r>
          </w:p>
        </w:tc>
      </w:tr>
    </w:tbl>
    <w:p>
      <w:pPr>
        <w:pStyle w:val="5"/>
        <w:keepNext/>
        <w:keepLines w:val="0"/>
        <w:pageBreakBefore w:val="0"/>
        <w:widowControl w:val="0"/>
        <w:kinsoku/>
        <w:wordWrap/>
        <w:overflowPunct/>
        <w:topLinePunct w:val="0"/>
        <w:autoSpaceDE/>
        <w:autoSpaceDN/>
        <w:bidi w:val="0"/>
        <w:adjustRightInd w:val="0"/>
        <w:snapToGrid/>
        <w:spacing w:line="580" w:lineRule="exact"/>
        <w:textAlignment w:val="auto"/>
        <w:rPr>
          <w:rFonts w:hint="default"/>
          <w:color w:val="auto"/>
          <w:lang w:val="en-US" w:eastAsia="zh-CN"/>
        </w:rPr>
      </w:pPr>
      <w:r>
        <w:rPr>
          <w:rFonts w:hint="default"/>
          <w:color w:val="auto"/>
          <w:lang w:val="en-US" w:eastAsia="zh-CN"/>
        </w:rPr>
        <w:t>规模需求分析</w:t>
      </w:r>
    </w:p>
    <w:p>
      <w:pPr>
        <w:keepLines w:val="0"/>
        <w:pageBreakBefore w:val="0"/>
        <w:widowControl w:val="0"/>
        <w:kinsoku/>
        <w:wordWrap/>
        <w:overflowPunct/>
        <w:topLinePunct w:val="0"/>
        <w:autoSpaceDE/>
        <w:autoSpaceDN/>
        <w:bidi w:val="0"/>
        <w:snapToGrid/>
        <w:spacing w:line="580" w:lineRule="exact"/>
        <w:textAlignment w:val="auto"/>
        <w:rPr>
          <w:rFonts w:hint="default"/>
          <w:color w:val="auto"/>
          <w:lang w:val="en-US" w:eastAsia="zh-CN"/>
        </w:rPr>
      </w:pPr>
      <w:r>
        <w:rPr>
          <w:rFonts w:hint="default"/>
          <w:color w:val="auto"/>
          <w:lang w:val="en-US" w:eastAsia="zh-CN"/>
        </w:rPr>
        <w:t>基于《物流园区分类与规划基本要求》（GB/T 21334-2017）以及同类型大型物流园区发展经验，将净仓储面积占比确定为对应功能区的40%</w:t>
      </w:r>
      <w:r>
        <w:rPr>
          <w:rFonts w:hint="eastAsia"/>
          <w:color w:val="auto"/>
          <w:lang w:val="en-US" w:eastAsia="zh-CN"/>
        </w:rPr>
        <w:t>～</w:t>
      </w:r>
      <w:r>
        <w:rPr>
          <w:rFonts w:hint="default"/>
          <w:color w:val="auto"/>
          <w:lang w:val="en-US" w:eastAsia="zh-CN"/>
        </w:rPr>
        <w:t>45%。在满足高标准仓储需求的同时，为铁路、公路和水运等多式联运作业预留充足的换装、分拨和中转空间。预测未来特征年份示范基地各货类对应功能区所需占地面积如下。</w:t>
      </w:r>
    </w:p>
    <w:p>
      <w:pPr>
        <w:pStyle w:val="7"/>
        <w:keepNext/>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24</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2035年三种情形下各货类所需面积预测表</w:t>
      </w:r>
    </w:p>
    <w:tbl>
      <w:tblPr>
        <w:tblStyle w:val="30"/>
        <w:tblW w:w="4998" w:type="pct"/>
        <w:jc w:val="center"/>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Layout w:type="autofit"/>
        <w:tblCellMar>
          <w:top w:w="0" w:type="dxa"/>
          <w:left w:w="108" w:type="dxa"/>
          <w:bottom w:w="0" w:type="dxa"/>
          <w:right w:w="108" w:type="dxa"/>
        </w:tblCellMar>
      </w:tblPr>
      <w:tblGrid>
        <w:gridCol w:w="2488"/>
        <w:gridCol w:w="2624"/>
        <w:gridCol w:w="2496"/>
        <w:gridCol w:w="2429"/>
      </w:tblGrid>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3" w:hRule="atLeast"/>
          <w:tblHeader/>
          <w:jc w:val="center"/>
        </w:trPr>
        <w:tc>
          <w:tcPr>
            <w:tcW w:w="1239" w:type="pct"/>
            <w:vMerge w:val="restart"/>
            <w:tcBorders>
              <w:top w:val="single" w:color="000000" w:sz="4" w:space="0"/>
              <w:left w:val="single" w:color="000000" w:sz="4" w:space="0"/>
              <w:bottom w:val="single" w:color="000000" w:sz="4" w:space="0"/>
              <w:right w:val="nil"/>
              <w:insideV w:val="nil"/>
              <w:tl2br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货物类型</w:t>
            </w:r>
          </w:p>
        </w:tc>
        <w:tc>
          <w:tcPr>
            <w:tcW w:w="3760" w:type="pct"/>
            <w:gridSpan w:val="3"/>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用地规模/亩</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3" w:hRule="atLeast"/>
          <w:tblHeader/>
          <w:jc w:val="center"/>
        </w:trPr>
        <w:tc>
          <w:tcPr>
            <w:tcW w:w="1239" w:type="pct"/>
            <w:vMerge w:val="continue"/>
            <w:tcBorders>
              <w:top w:val="single" w:color="000000" w:sz="4" w:space="0"/>
              <w:left w:val="single" w:color="000000" w:sz="4" w:space="0"/>
              <w:bottom w:val="single" w:color="000000" w:sz="4" w:space="0"/>
              <w:right w:val="nil"/>
              <w:insideV w:val="nil"/>
            </w:tcBorders>
            <w:shd w:val="clear" w:color="auto" w:fill="FFFFFF"/>
            <w:vAlign w:val="center"/>
          </w:tcPr>
          <w:p>
            <w:pPr>
              <w:pStyle w:val="32"/>
              <w:rPr>
                <w:rFonts w:hint="eastAsia" w:ascii="黑体" w:hAnsi="黑体" w:eastAsia="黑体" w:cs="黑体"/>
                <w:b w:val="0"/>
                <w:bCs w:val="0"/>
                <w:color w:val="auto"/>
              </w:rPr>
            </w:pPr>
          </w:p>
        </w:tc>
        <w:tc>
          <w:tcPr>
            <w:tcW w:w="1307" w:type="pct"/>
            <w:tcBorders>
              <w:top w:val="single" w:color="000000" w:sz="4" w:space="0"/>
              <w:left w:val="single" w:color="000000" w:sz="4" w:space="0"/>
              <w:bottom w:val="single" w:color="000000" w:sz="4" w:space="0"/>
              <w:right w:val="nil"/>
              <w:insideV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乐观</w:t>
            </w:r>
          </w:p>
        </w:tc>
        <w:tc>
          <w:tcPr>
            <w:tcW w:w="1243" w:type="pct"/>
            <w:tcBorders>
              <w:top w:val="single" w:color="000000" w:sz="4" w:space="0"/>
              <w:left w:val="single" w:color="000000" w:sz="4" w:space="0"/>
              <w:bottom w:val="single" w:color="000000" w:sz="4" w:space="0"/>
              <w:right w:val="nil"/>
              <w:insideV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基准</w:t>
            </w:r>
          </w:p>
        </w:tc>
        <w:tc>
          <w:tcPr>
            <w:tcW w:w="1210" w:type="pct"/>
            <w:tcBorders>
              <w:top w:val="single" w:color="000000" w:sz="4" w:space="0"/>
              <w:left w:val="single" w:color="000000" w:sz="4" w:space="0"/>
              <w:bottom w:val="single" w:color="000000" w:sz="4" w:space="0"/>
              <w:right w:val="single" w:color="000000" w:sz="4" w:space="0"/>
              <w:insideV w:val="nil"/>
            </w:tcBorders>
            <w:shd w:val="clear" w:color="auto" w:fill="FFFFFF"/>
            <w:vAlign w:val="center"/>
          </w:tcPr>
          <w:p>
            <w:pPr>
              <w:pStyle w:val="32"/>
              <w:rPr>
                <w:rFonts w:hint="eastAsia" w:ascii="黑体" w:hAnsi="黑体" w:eastAsia="黑体" w:cs="黑体"/>
                <w:b w:val="0"/>
                <w:bCs w:val="0"/>
                <w:color w:val="auto"/>
              </w:rPr>
            </w:pPr>
            <w:r>
              <w:rPr>
                <w:rFonts w:hint="eastAsia" w:ascii="黑体" w:hAnsi="黑体" w:eastAsia="黑体" w:cs="黑体"/>
                <w:b w:val="0"/>
                <w:bCs w:val="0"/>
                <w:color w:val="auto"/>
              </w:rPr>
              <w:t>保守</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3" w:hRule="atLeast"/>
          <w:jc w:val="center"/>
        </w:trPr>
        <w:tc>
          <w:tcPr>
            <w:tcW w:w="12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b w:val="0"/>
                <w:bCs w:val="0"/>
                <w:color w:val="auto"/>
              </w:rPr>
            </w:pPr>
            <w:r>
              <w:rPr>
                <w:rFonts w:hint="eastAsia"/>
                <w:b w:val="0"/>
                <w:bCs w:val="0"/>
                <w:color w:val="auto"/>
              </w:rPr>
              <w:t>散货</w:t>
            </w:r>
          </w:p>
        </w:tc>
        <w:tc>
          <w:tcPr>
            <w:tcW w:w="262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278</w:t>
            </w:r>
          </w:p>
        </w:tc>
        <w:tc>
          <w:tcPr>
            <w:tcW w:w="2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265</w:t>
            </w:r>
          </w:p>
        </w:tc>
        <w:tc>
          <w:tcPr>
            <w:tcW w:w="2429"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249</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3" w:hRule="atLeast"/>
          <w:jc w:val="center"/>
        </w:trPr>
        <w:tc>
          <w:tcPr>
            <w:tcW w:w="12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b w:val="0"/>
                <w:bCs w:val="0"/>
                <w:color w:val="auto"/>
                <w:lang w:val="en-US" w:eastAsia="zh-CN"/>
              </w:rPr>
            </w:pPr>
            <w:r>
              <w:rPr>
                <w:rFonts w:hint="eastAsia"/>
                <w:b w:val="0"/>
                <w:bCs w:val="0"/>
                <w:color w:val="auto"/>
                <w:lang w:val="en-US" w:eastAsia="zh-CN"/>
              </w:rPr>
              <w:t>大宗商品</w:t>
            </w:r>
          </w:p>
        </w:tc>
        <w:tc>
          <w:tcPr>
            <w:tcW w:w="262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720</w:t>
            </w:r>
          </w:p>
        </w:tc>
        <w:tc>
          <w:tcPr>
            <w:tcW w:w="2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687</w:t>
            </w:r>
          </w:p>
        </w:tc>
        <w:tc>
          <w:tcPr>
            <w:tcW w:w="2429"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643</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3" w:hRule="atLeast"/>
          <w:jc w:val="center"/>
        </w:trPr>
        <w:tc>
          <w:tcPr>
            <w:tcW w:w="12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b w:val="0"/>
                <w:bCs w:val="0"/>
                <w:color w:val="auto"/>
              </w:rPr>
            </w:pPr>
            <w:r>
              <w:rPr>
                <w:b w:val="0"/>
                <w:bCs w:val="0"/>
                <w:color w:val="auto"/>
              </w:rPr>
              <w:t>生活物资</w:t>
            </w:r>
          </w:p>
        </w:tc>
        <w:tc>
          <w:tcPr>
            <w:tcW w:w="262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484</w:t>
            </w:r>
          </w:p>
        </w:tc>
        <w:tc>
          <w:tcPr>
            <w:tcW w:w="2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461</w:t>
            </w:r>
          </w:p>
        </w:tc>
        <w:tc>
          <w:tcPr>
            <w:tcW w:w="2429"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432</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3" w:hRule="atLeast"/>
          <w:jc w:val="center"/>
        </w:trPr>
        <w:tc>
          <w:tcPr>
            <w:tcW w:w="12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b w:val="0"/>
                <w:bCs w:val="0"/>
                <w:color w:val="auto"/>
              </w:rPr>
            </w:pPr>
            <w:r>
              <w:rPr>
                <w:rFonts w:hint="eastAsia"/>
                <w:b w:val="0"/>
                <w:bCs w:val="0"/>
                <w:color w:val="auto"/>
              </w:rPr>
              <w:t>冷链</w:t>
            </w:r>
          </w:p>
        </w:tc>
        <w:tc>
          <w:tcPr>
            <w:tcW w:w="262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682</w:t>
            </w:r>
          </w:p>
        </w:tc>
        <w:tc>
          <w:tcPr>
            <w:tcW w:w="2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651</w:t>
            </w:r>
          </w:p>
        </w:tc>
        <w:tc>
          <w:tcPr>
            <w:tcW w:w="2429"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608</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3" w:hRule="atLeast"/>
          <w:jc w:val="center"/>
        </w:trPr>
        <w:tc>
          <w:tcPr>
            <w:tcW w:w="12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b w:val="0"/>
                <w:bCs w:val="0"/>
                <w:color w:val="auto"/>
              </w:rPr>
            </w:pPr>
            <w:r>
              <w:rPr>
                <w:b w:val="0"/>
                <w:bCs w:val="0"/>
                <w:color w:val="auto"/>
              </w:rPr>
              <w:t>城市配送</w:t>
            </w:r>
          </w:p>
        </w:tc>
        <w:tc>
          <w:tcPr>
            <w:tcW w:w="262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750</w:t>
            </w:r>
          </w:p>
        </w:tc>
        <w:tc>
          <w:tcPr>
            <w:tcW w:w="2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677</w:t>
            </w:r>
          </w:p>
        </w:tc>
        <w:tc>
          <w:tcPr>
            <w:tcW w:w="2429"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610</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3" w:hRule="atLeast"/>
          <w:jc w:val="center"/>
        </w:trPr>
        <w:tc>
          <w:tcPr>
            <w:tcW w:w="12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b w:val="0"/>
                <w:bCs w:val="0"/>
                <w:color w:val="auto"/>
              </w:rPr>
            </w:pPr>
            <w:r>
              <w:rPr>
                <w:rFonts w:hint="eastAsia"/>
                <w:b w:val="0"/>
                <w:bCs w:val="0"/>
                <w:color w:val="auto"/>
              </w:rPr>
              <w:t>粮食及应急物资</w:t>
            </w:r>
          </w:p>
        </w:tc>
        <w:tc>
          <w:tcPr>
            <w:tcW w:w="262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237</w:t>
            </w:r>
          </w:p>
        </w:tc>
        <w:tc>
          <w:tcPr>
            <w:tcW w:w="2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226</w:t>
            </w:r>
          </w:p>
        </w:tc>
        <w:tc>
          <w:tcPr>
            <w:tcW w:w="2429"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212</w:t>
            </w:r>
          </w:p>
        </w:tc>
      </w:tr>
      <w:tr>
        <w:tblPrEx>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CellMar>
            <w:top w:w="0" w:type="dxa"/>
            <w:left w:w="108" w:type="dxa"/>
            <w:bottom w:w="0" w:type="dxa"/>
            <w:right w:w="108" w:type="dxa"/>
          </w:tblCellMar>
        </w:tblPrEx>
        <w:trPr>
          <w:trHeight w:val="23" w:hRule="atLeast"/>
          <w:jc w:val="center"/>
        </w:trPr>
        <w:tc>
          <w:tcPr>
            <w:tcW w:w="123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b w:val="0"/>
                <w:bCs w:val="0"/>
                <w:color w:val="auto"/>
              </w:rPr>
            </w:pPr>
            <w:r>
              <w:rPr>
                <w:b w:val="0"/>
                <w:bCs w:val="0"/>
                <w:color w:val="auto"/>
              </w:rPr>
              <w:t>其他</w:t>
            </w:r>
          </w:p>
        </w:tc>
        <w:tc>
          <w:tcPr>
            <w:tcW w:w="2624"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294</w:t>
            </w:r>
          </w:p>
        </w:tc>
        <w:tc>
          <w:tcPr>
            <w:tcW w:w="2496"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280</w:t>
            </w:r>
          </w:p>
        </w:tc>
        <w:tc>
          <w:tcPr>
            <w:tcW w:w="2429"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32"/>
              <w:rPr>
                <w:rFonts w:hint="default" w:eastAsia="仿宋_GB2312"/>
                <w:color w:val="auto"/>
                <w:lang w:val="en-US" w:eastAsia="zh-CN"/>
              </w:rPr>
            </w:pPr>
            <w:r>
              <w:rPr>
                <w:rFonts w:hint="eastAsia"/>
                <w:color w:val="auto"/>
                <w:lang w:val="en-US" w:eastAsia="zh-CN"/>
              </w:rPr>
              <w:t>265</w:t>
            </w:r>
          </w:p>
        </w:tc>
      </w:tr>
    </w:tbl>
    <w:p>
      <w:pPr>
        <w:pageBreakBefore w:val="0"/>
        <w:widowControl w:val="0"/>
        <w:kinsoku/>
        <w:wordWrap/>
        <w:overflowPunct/>
        <w:topLinePunct w:val="0"/>
        <w:autoSpaceDE/>
        <w:autoSpaceDN/>
        <w:bidi w:val="0"/>
        <w:adjustRightInd/>
        <w:snapToGrid/>
        <w:spacing w:line="580" w:lineRule="exact"/>
        <w:ind w:firstLine="640" w:firstLineChars="200"/>
        <w:textAlignment w:val="auto"/>
        <w:rPr>
          <w:rFonts w:hint="default" w:ascii="Times New Roman" w:hAnsi="Times New Roman" w:eastAsia="仿宋_GB2312"/>
          <w:color w:val="auto"/>
          <w:sz w:val="32"/>
          <w:szCs w:val="32"/>
          <w:lang w:val="en-US" w:eastAsia="zh-CN"/>
        </w:rPr>
      </w:pPr>
      <w:r>
        <w:rPr>
          <w:rFonts w:hint="eastAsia"/>
          <w:color w:val="auto"/>
          <w:sz w:val="32"/>
          <w:szCs w:val="32"/>
          <w:lang w:val="en-US" w:eastAsia="zh-CN"/>
        </w:rPr>
        <w:t>根据对乐山市货源腹地、货运物流流量流向运价进行调研。本规划中各功能区用地规模以乐观状态下相关货类用地预测需求规模为参考进行布局。大件产品仓储需求由港口物流统筹考虑，普通化工产品仓储需求由港口物流、铁路物流等配套设施统筹考虑。</w:t>
      </w:r>
    </w:p>
    <w:p>
      <w:pPr>
        <w:pStyle w:val="3"/>
        <w:pageBreakBefore w:val="0"/>
        <w:widowControl w:val="0"/>
        <w:kinsoku/>
        <w:wordWrap/>
        <w:overflowPunct/>
        <w:topLinePunct w:val="0"/>
        <w:autoSpaceDE/>
        <w:autoSpaceDN/>
        <w:bidi w:val="0"/>
        <w:adjustRightInd/>
        <w:snapToGrid/>
        <w:spacing w:line="580" w:lineRule="exact"/>
        <w:textAlignment w:val="auto"/>
        <w:rPr>
          <w:rFonts w:hint="eastAsia"/>
          <w:color w:val="auto"/>
          <w:lang w:val="en-US" w:eastAsia="zh-CN"/>
        </w:rPr>
        <w:sectPr>
          <w:pgSz w:w="23811" w:h="16838" w:orient="landscape"/>
          <w:pgMar w:top="1800" w:right="1440" w:bottom="1800" w:left="1440" w:header="851" w:footer="992" w:gutter="0"/>
          <w:pgNumType w:fmt="decimal"/>
          <w:cols w:space="1280" w:num="2"/>
          <w:docGrid w:type="lines" w:linePitch="312" w:charSpace="0"/>
        </w:sectPr>
      </w:pPr>
      <w:bookmarkStart w:id="96" w:name="_Toc12764"/>
    </w:p>
    <w:p>
      <w:pPr>
        <w:pStyle w:val="3"/>
        <w:bidi w:val="0"/>
        <w:rPr>
          <w:rFonts w:hint="eastAsia"/>
          <w:color w:val="auto"/>
          <w:lang w:val="en-US" w:eastAsia="zh-CN"/>
        </w:rPr>
      </w:pPr>
      <w:bookmarkStart w:id="97" w:name="_Toc26178"/>
      <w:bookmarkStart w:id="98" w:name="_Toc11558"/>
      <w:bookmarkStart w:id="99" w:name="_Toc10885"/>
      <w:bookmarkStart w:id="100" w:name="_Toc6319"/>
      <w:bookmarkStart w:id="101" w:name="_Toc28436"/>
      <w:bookmarkStart w:id="102" w:name="_Toc9854"/>
      <w:r>
        <w:rPr>
          <w:rFonts w:hint="eastAsia"/>
          <w:color w:val="auto"/>
          <w:lang w:val="en-US" w:eastAsia="zh-CN"/>
        </w:rPr>
        <w:t>经验借鉴</w:t>
      </w:r>
      <w:bookmarkEnd w:id="96"/>
      <w:bookmarkEnd w:id="97"/>
      <w:bookmarkEnd w:id="98"/>
      <w:bookmarkEnd w:id="99"/>
      <w:bookmarkEnd w:id="100"/>
      <w:bookmarkEnd w:id="101"/>
      <w:bookmarkEnd w:id="102"/>
    </w:p>
    <w:p>
      <w:pPr>
        <w:pStyle w:val="4"/>
        <w:bidi w:val="0"/>
        <w:rPr>
          <w:rFonts w:hint="eastAsia"/>
          <w:color w:val="auto"/>
          <w:lang w:val="en-US" w:eastAsia="zh-CN"/>
        </w:rPr>
      </w:pPr>
      <w:bookmarkStart w:id="103" w:name="_Toc1939"/>
      <w:bookmarkStart w:id="104" w:name="_Toc10784"/>
      <w:r>
        <w:rPr>
          <w:rFonts w:hint="eastAsia"/>
          <w:color w:val="auto"/>
          <w:lang w:val="en-US" w:eastAsia="zh-CN"/>
        </w:rPr>
        <w:t>开发模式</w:t>
      </w:r>
      <w:bookmarkEnd w:id="103"/>
      <w:bookmarkEnd w:id="104"/>
    </w:p>
    <w:p>
      <w:pPr>
        <w:spacing w:line="600" w:lineRule="exact"/>
        <w:ind w:firstLine="640" w:firstLineChars="200"/>
        <w:rPr>
          <w:rFonts w:hint="eastAsia"/>
          <w:b w:val="0"/>
          <w:bCs w:val="0"/>
          <w:color w:val="auto"/>
          <w:sz w:val="32"/>
          <w:szCs w:val="32"/>
          <w:lang w:val="en-US" w:eastAsia="zh-CN"/>
        </w:rPr>
      </w:pPr>
      <w:r>
        <w:rPr>
          <w:rFonts w:hint="eastAsia"/>
          <w:b w:val="0"/>
          <w:bCs w:val="0"/>
          <w:color w:val="auto"/>
          <w:sz w:val="32"/>
          <w:szCs w:val="32"/>
          <w:lang w:val="en-US" w:eastAsia="zh-CN"/>
        </w:rPr>
        <w:t>随着产业园区市场化改革不断深化，我国逐步形成了政府主导、企业主导、政企合作等多种开发运营模式，从政府包揽向市场做主转变。从当前现状看，政府主导依然是最为常见的模式，在大型产业园区建设中发挥着重要作用，并积极引入市场化管理机制，探索模式创新。同时，企业主导和政企合作模式的效率优势和资源互补优势越来越明显，在特色园区建设中的应用日益广泛。</w:t>
      </w:r>
    </w:p>
    <w:p>
      <w:pPr>
        <w:pStyle w:val="5"/>
        <w:bidi w:val="0"/>
        <w:rPr>
          <w:rFonts w:hint="eastAsia"/>
          <w:color w:val="auto"/>
          <w:lang w:val="en-US" w:eastAsia="zh-CN"/>
        </w:rPr>
      </w:pPr>
      <w:r>
        <w:rPr>
          <w:rFonts w:hint="eastAsia"/>
          <w:color w:val="auto"/>
          <w:lang w:val="en-US" w:eastAsia="zh-CN"/>
        </w:rPr>
        <w:t>政府主导模式</w:t>
      </w:r>
    </w:p>
    <w:p>
      <w:pPr>
        <w:spacing w:line="600" w:lineRule="exact"/>
        <w:ind w:firstLine="640" w:firstLineChars="200"/>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政府主导模式是目前我国最常见的园区开发运营模式，其由地方政府直接成立政府投资平台公司作为园区的开发主体，负责筹措资金、前期规划、项目核准、征地拆迁、市政建设并组织实施，承担园区开发建设费用，并享有土地开发收益。该模式中，地方政府统筹管理园区事务，根据城市发展及产业特点进行产业园的开发与规划，具有集中统一、规划性强、权威性高、招商引资力度大等优势。</w:t>
      </w:r>
    </w:p>
    <w:p>
      <w:pPr>
        <w:spacing w:line="600" w:lineRule="exact"/>
        <w:ind w:firstLine="640" w:firstLineChars="200"/>
        <w:rPr>
          <w:rFonts w:hint="default"/>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政府主导模式可分为完全政府主导模式、政府平台公司主导模式。一是完全政府主导模式，一般采取园政合一形式，即园区管委会和功能区行政机构合一，一套班子两块牌子，充分发挥政府的宏观调控作用、有利于争取资源和政策优惠。二是“管委会+公司”模式，将园区管理委员会作为派出机构，赋予其经济和行政管理权限，并由管委会的名义出资成立投资开发公司，负责产业园具体的开发建设、招商引资和资产经营等。三是平台公司管理模式，即园区不设专门行政管理机构，地方政府直接通过国有平台公司参与产业园开</w:t>
      </w:r>
      <w:r>
        <w:rPr>
          <w:rFonts w:hint="eastAsia"/>
          <w:b w:val="0"/>
          <w:bCs w:val="0"/>
          <w:color w:val="auto"/>
          <w:sz w:val="32"/>
          <w:szCs w:val="32"/>
          <w:lang w:val="en-US" w:eastAsia="zh-CN"/>
        </w:rPr>
        <w:t>发运营，以提高决策与执行效率，管理模式相对灵活，具备一定的市场思维。</w:t>
      </w:r>
    </w:p>
    <w:p>
      <w:pPr>
        <w:pStyle w:val="5"/>
        <w:bidi w:val="0"/>
        <w:rPr>
          <w:rFonts w:hint="eastAsia"/>
          <w:color w:val="auto"/>
          <w:lang w:val="en-US" w:eastAsia="zh-CN"/>
        </w:rPr>
      </w:pPr>
      <w:r>
        <w:rPr>
          <w:rFonts w:hint="eastAsia"/>
          <w:color w:val="auto"/>
          <w:lang w:val="en-US" w:eastAsia="zh-CN"/>
        </w:rPr>
        <w:t>企业主导模式</w:t>
      </w:r>
    </w:p>
    <w:p>
      <w:pPr>
        <w:spacing w:line="600" w:lineRule="exact"/>
        <w:rPr>
          <w:rFonts w:hint="default"/>
          <w:b w:val="0"/>
          <w:bCs w:val="0"/>
          <w:color w:val="auto"/>
          <w:sz w:val="32"/>
          <w:szCs w:val="32"/>
          <w:lang w:val="en-US" w:eastAsia="zh-CN"/>
        </w:rPr>
      </w:pPr>
      <w:r>
        <w:rPr>
          <w:rFonts w:hint="default"/>
          <w:b w:val="0"/>
          <w:bCs w:val="0"/>
          <w:color w:val="auto"/>
          <w:sz w:val="32"/>
          <w:szCs w:val="32"/>
          <w:lang w:val="en-US" w:eastAsia="zh-CN"/>
        </w:rPr>
        <w:t>企业主导模式以资本实力强、物流技术能力高、经营管理能力强的物流企业为主体，主导园区的开发、建设和发展</w:t>
      </w:r>
      <w:r>
        <w:rPr>
          <w:rFonts w:hint="eastAsia"/>
          <w:b w:val="0"/>
          <w:bCs w:val="0"/>
          <w:color w:val="auto"/>
          <w:sz w:val="32"/>
          <w:szCs w:val="32"/>
          <w:lang w:val="en-US" w:eastAsia="zh-CN"/>
        </w:rPr>
        <w:t>，</w:t>
      </w:r>
      <w:r>
        <w:rPr>
          <w:rFonts w:hint="default"/>
          <w:b w:val="0"/>
          <w:bCs w:val="0"/>
          <w:color w:val="auto"/>
          <w:sz w:val="32"/>
          <w:szCs w:val="32"/>
          <w:lang w:val="en-US" w:eastAsia="zh-CN"/>
        </w:rPr>
        <w:t>通过引入社会资本，将政府投资项目变为企业投资项目，</w:t>
      </w:r>
      <w:r>
        <w:rPr>
          <w:rFonts w:hint="eastAsia"/>
          <w:b w:val="0"/>
          <w:bCs w:val="0"/>
          <w:color w:val="auto"/>
          <w:sz w:val="32"/>
          <w:szCs w:val="32"/>
          <w:lang w:val="en-US" w:eastAsia="zh-CN"/>
        </w:rPr>
        <w:t>具有</w:t>
      </w:r>
      <w:r>
        <w:rPr>
          <w:rFonts w:hint="default"/>
          <w:b w:val="0"/>
          <w:bCs w:val="0"/>
          <w:color w:val="auto"/>
          <w:sz w:val="32"/>
          <w:szCs w:val="32"/>
          <w:lang w:val="en-US" w:eastAsia="zh-CN"/>
        </w:rPr>
        <w:t>企业融资渠道灵活</w:t>
      </w:r>
      <w:r>
        <w:rPr>
          <w:rFonts w:hint="eastAsia"/>
          <w:b w:val="0"/>
          <w:bCs w:val="0"/>
          <w:color w:val="auto"/>
          <w:sz w:val="32"/>
          <w:szCs w:val="32"/>
          <w:lang w:val="en-US" w:eastAsia="zh-CN"/>
        </w:rPr>
        <w:t>、</w:t>
      </w:r>
      <w:r>
        <w:rPr>
          <w:rFonts w:hint="default"/>
          <w:b w:val="0"/>
          <w:bCs w:val="0"/>
          <w:color w:val="auto"/>
          <w:sz w:val="32"/>
          <w:szCs w:val="32"/>
          <w:lang w:val="en-US" w:eastAsia="zh-CN"/>
        </w:rPr>
        <w:t>抗风险能力较强</w:t>
      </w:r>
      <w:r>
        <w:rPr>
          <w:rFonts w:hint="eastAsia"/>
          <w:b w:val="0"/>
          <w:bCs w:val="0"/>
          <w:color w:val="auto"/>
          <w:sz w:val="32"/>
          <w:szCs w:val="32"/>
          <w:lang w:val="en-US" w:eastAsia="zh-CN"/>
        </w:rPr>
        <w:t>、</w:t>
      </w:r>
      <w:r>
        <w:rPr>
          <w:rFonts w:hint="default"/>
          <w:b w:val="0"/>
          <w:bCs w:val="0"/>
          <w:color w:val="auto"/>
          <w:sz w:val="32"/>
          <w:szCs w:val="32"/>
          <w:lang w:val="en-US" w:eastAsia="zh-CN"/>
        </w:rPr>
        <w:t>物流</w:t>
      </w:r>
      <w:r>
        <w:rPr>
          <w:rFonts w:hint="eastAsia"/>
          <w:b w:val="0"/>
          <w:bCs w:val="0"/>
          <w:color w:val="auto"/>
          <w:sz w:val="32"/>
          <w:szCs w:val="32"/>
          <w:lang w:val="en-US" w:eastAsia="zh-CN"/>
        </w:rPr>
        <w:t>园区</w:t>
      </w:r>
      <w:r>
        <w:rPr>
          <w:rFonts w:hint="default"/>
          <w:b w:val="0"/>
          <w:bCs w:val="0"/>
          <w:color w:val="auto"/>
          <w:sz w:val="32"/>
          <w:szCs w:val="32"/>
          <w:lang w:val="en-US" w:eastAsia="zh-CN"/>
        </w:rPr>
        <w:t>运作能力</w:t>
      </w:r>
      <w:r>
        <w:rPr>
          <w:rFonts w:hint="eastAsia"/>
          <w:b w:val="0"/>
          <w:bCs w:val="0"/>
          <w:color w:val="auto"/>
          <w:sz w:val="32"/>
          <w:szCs w:val="32"/>
          <w:lang w:val="en-US" w:eastAsia="zh-CN"/>
        </w:rPr>
        <w:t>强的特点，确保</w:t>
      </w:r>
      <w:r>
        <w:rPr>
          <w:rFonts w:hint="default"/>
          <w:b w:val="0"/>
          <w:bCs w:val="0"/>
          <w:color w:val="auto"/>
          <w:sz w:val="32"/>
          <w:szCs w:val="32"/>
          <w:lang w:val="en-US" w:eastAsia="zh-CN"/>
        </w:rPr>
        <w:t>园区运作的专业化、市场化。</w:t>
      </w:r>
    </w:p>
    <w:p>
      <w:pPr>
        <w:spacing w:line="600" w:lineRule="exact"/>
        <w:rPr>
          <w:rFonts w:hint="default"/>
          <w:b w:val="0"/>
          <w:bCs w:val="0"/>
          <w:color w:val="auto"/>
          <w:sz w:val="32"/>
          <w:szCs w:val="32"/>
          <w:lang w:val="en-US" w:eastAsia="zh-CN"/>
        </w:rPr>
      </w:pPr>
      <w:r>
        <w:rPr>
          <w:rFonts w:hint="default"/>
          <w:b w:val="0"/>
          <w:bCs w:val="0"/>
          <w:color w:val="auto"/>
          <w:sz w:val="32"/>
          <w:szCs w:val="32"/>
          <w:lang w:val="en-US" w:eastAsia="zh-CN"/>
        </w:rPr>
        <w:t>该模式适合拥有大量物流业务需求的大型企业，或物流运作能力强、提供综合物流服务的物流公司。</w:t>
      </w:r>
      <w:r>
        <w:rPr>
          <w:rFonts w:hint="eastAsia"/>
          <w:b w:val="0"/>
          <w:bCs w:val="0"/>
          <w:color w:val="auto"/>
          <w:sz w:val="32"/>
          <w:szCs w:val="32"/>
          <w:lang w:val="en-US" w:eastAsia="zh-CN"/>
        </w:rPr>
        <w:t>其中，</w:t>
      </w:r>
      <w:r>
        <w:rPr>
          <w:rFonts w:hint="default"/>
          <w:b w:val="0"/>
          <w:bCs w:val="0"/>
          <w:color w:val="auto"/>
          <w:sz w:val="32"/>
          <w:szCs w:val="32"/>
          <w:lang w:val="en-US" w:eastAsia="zh-CN"/>
        </w:rPr>
        <w:t>港口企业</w:t>
      </w:r>
      <w:r>
        <w:rPr>
          <w:rFonts w:hint="eastAsia"/>
          <w:b w:val="0"/>
          <w:bCs w:val="0"/>
          <w:color w:val="auto"/>
          <w:sz w:val="32"/>
          <w:szCs w:val="32"/>
          <w:lang w:val="en-US" w:eastAsia="zh-CN"/>
        </w:rPr>
        <w:t>通常依托</w:t>
      </w:r>
      <w:r>
        <w:rPr>
          <w:rFonts w:hint="default"/>
          <w:b w:val="0"/>
          <w:bCs w:val="0"/>
          <w:color w:val="auto"/>
          <w:sz w:val="32"/>
          <w:szCs w:val="32"/>
          <w:lang w:val="en-US" w:eastAsia="zh-CN"/>
        </w:rPr>
        <w:t>港口及后方场站</w:t>
      </w:r>
      <w:r>
        <w:rPr>
          <w:rFonts w:hint="eastAsia"/>
          <w:b w:val="0"/>
          <w:bCs w:val="0"/>
          <w:color w:val="auto"/>
          <w:sz w:val="32"/>
          <w:szCs w:val="32"/>
          <w:lang w:val="en-US" w:eastAsia="zh-CN"/>
        </w:rPr>
        <w:t>资源</w:t>
      </w:r>
      <w:r>
        <w:rPr>
          <w:rFonts w:hint="default"/>
          <w:b w:val="0"/>
          <w:bCs w:val="0"/>
          <w:color w:val="auto"/>
          <w:sz w:val="32"/>
          <w:szCs w:val="32"/>
          <w:lang w:val="en-US" w:eastAsia="zh-CN"/>
        </w:rPr>
        <w:t>建设铁水联运型物流园区，积极发展多式联运</w:t>
      </w:r>
      <w:r>
        <w:rPr>
          <w:rFonts w:hint="eastAsia"/>
          <w:b w:val="0"/>
          <w:bCs w:val="0"/>
          <w:color w:val="auto"/>
          <w:sz w:val="32"/>
          <w:szCs w:val="32"/>
          <w:lang w:val="en-US" w:eastAsia="zh-CN"/>
        </w:rPr>
        <w:t>经营</w:t>
      </w:r>
      <w:r>
        <w:rPr>
          <w:rFonts w:hint="default"/>
          <w:b w:val="0"/>
          <w:bCs w:val="0"/>
          <w:color w:val="auto"/>
          <w:sz w:val="32"/>
          <w:szCs w:val="32"/>
          <w:lang w:val="en-US" w:eastAsia="zh-CN"/>
        </w:rPr>
        <w:t>业务；铁路企业</w:t>
      </w:r>
      <w:r>
        <w:rPr>
          <w:rFonts w:hint="eastAsia"/>
          <w:b w:val="0"/>
          <w:bCs w:val="0"/>
          <w:color w:val="auto"/>
          <w:sz w:val="32"/>
          <w:szCs w:val="32"/>
          <w:lang w:val="en-US" w:eastAsia="zh-CN"/>
        </w:rPr>
        <w:t>通常</w:t>
      </w:r>
      <w:r>
        <w:rPr>
          <w:rFonts w:hint="default"/>
          <w:b w:val="0"/>
          <w:bCs w:val="0"/>
          <w:color w:val="auto"/>
          <w:sz w:val="32"/>
          <w:szCs w:val="32"/>
          <w:lang w:val="en-US" w:eastAsia="zh-CN"/>
        </w:rPr>
        <w:t>依托既有铁路货场、集装箱中心站等设施，新建或扩建仓储、堆存、加工等物流设施，形成公铁联运型物流园区</w:t>
      </w:r>
      <w:r>
        <w:rPr>
          <w:rFonts w:hint="eastAsia"/>
          <w:b w:val="0"/>
          <w:bCs w:val="0"/>
          <w:color w:val="auto"/>
          <w:sz w:val="32"/>
          <w:szCs w:val="32"/>
          <w:lang w:val="en-US" w:eastAsia="zh-CN"/>
        </w:rPr>
        <w:t>。</w:t>
      </w:r>
    </w:p>
    <w:p>
      <w:pPr>
        <w:pStyle w:val="5"/>
        <w:bidi w:val="0"/>
        <w:rPr>
          <w:rFonts w:hint="default"/>
          <w:color w:val="auto"/>
          <w:lang w:val="en-US" w:eastAsia="zh-CN"/>
        </w:rPr>
      </w:pPr>
      <w:r>
        <w:rPr>
          <w:rFonts w:hint="eastAsia"/>
          <w:color w:val="auto"/>
          <w:lang w:val="en-US" w:eastAsia="zh-CN"/>
        </w:rPr>
        <w:t>政企合作模式</w:t>
      </w:r>
    </w:p>
    <w:p>
      <w:pPr>
        <w:spacing w:line="600" w:lineRule="exact"/>
        <w:ind w:firstLine="640" w:firstLineChars="200"/>
        <w:rPr>
          <w:rFonts w:hint="eastAsia"/>
          <w:b w:val="0"/>
          <w:bCs w:val="0"/>
          <w:color w:val="auto"/>
          <w:sz w:val="32"/>
          <w:szCs w:val="32"/>
          <w:lang w:val="en-US" w:eastAsia="zh-CN"/>
        </w:rPr>
      </w:pPr>
      <w:r>
        <w:rPr>
          <w:rFonts w:hint="eastAsia"/>
          <w:b w:val="0"/>
          <w:bCs w:val="0"/>
          <w:strike w:val="0"/>
          <w:color w:val="auto"/>
          <w:sz w:val="32"/>
          <w:szCs w:val="32"/>
          <w:lang w:val="en-US" w:eastAsia="zh-CN"/>
        </w:rPr>
        <w:t>政企合作模式是由政府统一规划、组织物流企业共同开发模式，即政府相关部门从总体上对物流园区做出规划，通过招商引资等方式，由相关企业负责具体项目的开发，共同完成物流园区的开发建设。政府部门</w:t>
      </w:r>
      <w:r>
        <w:rPr>
          <w:rFonts w:hint="eastAsia"/>
          <w:b w:val="0"/>
          <w:bCs w:val="0"/>
          <w:color w:val="auto"/>
          <w:sz w:val="32"/>
          <w:szCs w:val="32"/>
          <w:lang w:val="en-US" w:eastAsia="zh-CN"/>
        </w:rPr>
        <w:t>发挥宏观调控作用，依托于物流园区规划，推进物流园区向标准化、规范化方向发展，通过园区的招商引资，引入更多与园区功能定位相匹配的企业，从而完善物流园区的功能。</w:t>
      </w:r>
    </w:p>
    <w:p>
      <w:pPr>
        <w:spacing w:line="600" w:lineRule="exact"/>
        <w:ind w:firstLine="640" w:firstLineChars="200"/>
        <w:rPr>
          <w:rFonts w:hint="eastAsia"/>
          <w:b w:val="0"/>
          <w:bCs w:val="0"/>
          <w:color w:val="auto"/>
          <w:sz w:val="32"/>
          <w:szCs w:val="32"/>
          <w:lang w:val="en-US" w:eastAsia="zh-CN"/>
        </w:rPr>
      </w:pPr>
      <w:r>
        <w:rPr>
          <w:rFonts w:hint="eastAsia"/>
          <w:b w:val="0"/>
          <w:bCs w:val="0"/>
          <w:color w:val="auto"/>
          <w:sz w:val="32"/>
          <w:szCs w:val="32"/>
          <w:lang w:val="en-US" w:eastAsia="zh-CN"/>
        </w:rPr>
        <w:t>该模式兼具政府的指导性和市场的灵活性，既能充分发挥政府的宏观把控能力、获得资源支持与政策倾斜，也能撬动社会资本，有利于引入多元化投资主体，实施综合性、大规模开发项目或特色园区项目。同时，借助市场主体的市场化运营优势和项目经验，高效率推动园区的建设和运营管理。但该模式下，物流园区各功能区开发建设均基于企业自身利益出发，容易造成园区整体布局比较混乱，与政府规划设想产生出入，且不利于各物流设施的协作发展。</w:t>
      </w:r>
    </w:p>
    <w:p>
      <w:pPr>
        <w:pStyle w:val="5"/>
        <w:bidi w:val="0"/>
        <w:rPr>
          <w:rFonts w:hint="eastAsia"/>
          <w:color w:val="auto"/>
          <w:lang w:val="en-US" w:eastAsia="zh-CN"/>
        </w:rPr>
      </w:pPr>
      <w:r>
        <w:rPr>
          <w:rFonts w:hint="eastAsia"/>
          <w:color w:val="auto"/>
          <w:lang w:val="en-US" w:eastAsia="zh-CN"/>
        </w:rPr>
        <w:t>物流地产商模式</w:t>
      </w:r>
    </w:p>
    <w:p>
      <w:pPr>
        <w:spacing w:line="600" w:lineRule="exact"/>
        <w:ind w:firstLine="640"/>
        <w:rPr>
          <w:rFonts w:hint="eastAsia"/>
          <w:b w:val="0"/>
          <w:bCs w:val="0"/>
          <w:color w:val="auto"/>
          <w:sz w:val="32"/>
          <w:szCs w:val="32"/>
          <w:lang w:val="en-US" w:eastAsia="zh-CN"/>
        </w:rPr>
      </w:pPr>
      <w:r>
        <w:rPr>
          <w:rFonts w:hint="eastAsia"/>
          <w:b w:val="0"/>
          <w:bCs w:val="0"/>
          <w:color w:val="auto"/>
          <w:sz w:val="32"/>
          <w:szCs w:val="32"/>
          <w:lang w:val="en-US" w:eastAsia="zh-CN"/>
        </w:rPr>
        <w:t>物流地产商模式由物流地产商负责园区的物流设施、市政设施及配套设施的投资建设，并以租赁、转让等方式进行经营和管理。物流地产商开发完成以后一般不自营物流，而是出租或出售给物流公司运作，其收益一般来源于物流设施的出让、出租和管理费，能够快速回笼资金。目前，普洛斯、安博、嘉民等大型物流地产商在我国主要投资通用集散型物流园区。多式联运物流园区开发存在投资规模大、建设周期长、投资回收期长、协调政府与社会资源难度大、后期运营管理复杂、资金周转较慢且收益不稳定等问题，尚未有物流地产商参与多式联运物流园区开发，仅有一些提供单一运输方式物流服务的物流园区开发采用此种模式。</w:t>
      </w:r>
    </w:p>
    <w:p>
      <w:pPr>
        <w:pStyle w:val="7"/>
        <w:keepNext/>
        <w:keepLines w:val="0"/>
        <w:pageBreakBefore w:val="0"/>
        <w:widowControl w:val="0"/>
        <w:kinsoku/>
        <w:wordWrap/>
        <w:overflowPunct/>
        <w:topLinePunct w:val="0"/>
        <w:autoSpaceDE/>
        <w:autoSpaceDN/>
        <w:bidi w:val="0"/>
        <w:adjustRightInd w:val="0"/>
        <w:snapToGrid w:val="0"/>
        <w:textAlignment w:val="auto"/>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r>
        <w:rPr>
          <w:rFonts w:hint="eastAsia"/>
          <w:color w:val="auto"/>
          <w:lang w:val="en-US" w:eastAsia="zh-CN"/>
        </w:rPr>
        <w:t xml:space="preserve"> 基地开发模式对比分析</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2149"/>
        <w:gridCol w:w="1906"/>
        <w:gridCol w:w="2389"/>
        <w:gridCol w:w="2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blHeader/>
        </w:trPr>
        <w:tc>
          <w:tcPr>
            <w:tcW w:w="605"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开发模式</w:t>
            </w:r>
          </w:p>
        </w:tc>
        <w:tc>
          <w:tcPr>
            <w:tcW w:w="1026"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政府主导模式</w:t>
            </w:r>
          </w:p>
        </w:tc>
        <w:tc>
          <w:tcPr>
            <w:tcW w:w="910"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企业主导模式</w:t>
            </w:r>
          </w:p>
        </w:tc>
        <w:tc>
          <w:tcPr>
            <w:tcW w:w="1141"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政企合作模式</w:t>
            </w:r>
          </w:p>
        </w:tc>
        <w:tc>
          <w:tcPr>
            <w:tcW w:w="1316"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物流地产商模式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5" w:type="pct"/>
            <w:vAlign w:val="center"/>
          </w:tcPr>
          <w:p>
            <w:pPr>
              <w:keepNext/>
              <w:keepLines/>
              <w:pageBreakBefore w:val="0"/>
              <w:widowControl/>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基本情况</w:t>
            </w:r>
          </w:p>
        </w:tc>
        <w:tc>
          <w:tcPr>
            <w:tcW w:w="1026" w:type="pct"/>
            <w:vAlign w:val="center"/>
          </w:tcPr>
          <w:p>
            <w:pPr>
              <w:keepNext/>
              <w:keepLines/>
              <w:pageBreakBefore w:val="0"/>
              <w:widowControl/>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由地方政府做出物流园区规划并组成开发机构，通过招商引资等方式来开发建设物流园区</w:t>
            </w:r>
          </w:p>
        </w:tc>
        <w:tc>
          <w:tcPr>
            <w:tcW w:w="910" w:type="pct"/>
            <w:vAlign w:val="center"/>
          </w:tcPr>
          <w:p>
            <w:pPr>
              <w:keepNext/>
              <w:keepLines/>
              <w:pageBreakBefore w:val="0"/>
              <w:widowControl/>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由大型物流企业开发建设物流园区并率先在园区开展经营，带动和引导</w:t>
            </w:r>
            <w:r>
              <w:rPr>
                <w:rFonts w:hint="eastAsia"/>
                <w:b w:val="0"/>
                <w:bCs w:val="0"/>
                <w:color w:val="auto"/>
                <w:sz w:val="24"/>
                <w:szCs w:val="24"/>
                <w:vertAlign w:val="baseline"/>
                <w:lang w:val="en-US" w:eastAsia="zh-CN"/>
              </w:rPr>
              <w:t>其他</w:t>
            </w:r>
            <w:r>
              <w:rPr>
                <w:rFonts w:hint="eastAsia" w:ascii="Times New Roman" w:hAnsi="Times New Roman"/>
                <w:b w:val="0"/>
                <w:bCs w:val="0"/>
                <w:color w:val="auto"/>
                <w:sz w:val="24"/>
                <w:szCs w:val="24"/>
                <w:vertAlign w:val="baseline"/>
                <w:lang w:val="en-US" w:eastAsia="zh-CN"/>
              </w:rPr>
              <w:t>物流企业或相关企业入园经营</w:t>
            </w:r>
          </w:p>
        </w:tc>
        <w:tc>
          <w:tcPr>
            <w:tcW w:w="1141" w:type="pct"/>
            <w:vAlign w:val="center"/>
          </w:tcPr>
          <w:p>
            <w:pPr>
              <w:keepNext/>
              <w:keepLines/>
              <w:pageBreakBefore w:val="0"/>
              <w:widowControl/>
              <w:kinsoku/>
              <w:wordWrap/>
              <w:overflowPunct/>
              <w:topLinePunct w:val="0"/>
              <w:autoSpaceDE/>
              <w:autoSpaceDN/>
              <w:bidi w:val="0"/>
              <w:adjustRightInd w:val="0"/>
              <w:snapToGrid w:val="0"/>
              <w:spacing w:line="360" w:lineRule="exact"/>
              <w:ind w:firstLine="0" w:firstLineChars="0"/>
              <w:jc w:val="left"/>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政府相关部门从总体上对物流园区做出规划，通过招商引资等方式，由相关企业负责具体项目的开发，共同完成物流园区的开发建设</w:t>
            </w:r>
          </w:p>
        </w:tc>
        <w:tc>
          <w:tcPr>
            <w:tcW w:w="1316" w:type="pct"/>
            <w:vAlign w:val="center"/>
          </w:tcPr>
          <w:p>
            <w:pPr>
              <w:keepNext/>
              <w:keepLines/>
              <w:pageBreakBefore w:val="0"/>
              <w:widowControl/>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由物流地产商进行物流园区的道路、仓库和其他物流基础设施及基础性装备的建设和投资，然后以租赁、转让或合资、合作经营的方式进行物流园区的经营和管理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3" w:hRule="atLeast"/>
        </w:trPr>
        <w:tc>
          <w:tcPr>
            <w:tcW w:w="60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优势</w:t>
            </w:r>
          </w:p>
        </w:tc>
        <w:tc>
          <w:tcPr>
            <w:tcW w:w="1026"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地方政府统筹管理园区事务，园区规划、建设统一发展，园区内部功能结构清晰，内外交通衔接有序，招商引资力度大等</w:t>
            </w:r>
          </w:p>
        </w:tc>
        <w:tc>
          <w:tcPr>
            <w:tcW w:w="91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依托大型企业建设，能够带动区域相关产业集聚，收益见效快，能够给城市带来良好的经济效益</w:t>
            </w:r>
          </w:p>
        </w:tc>
        <w:tc>
          <w:tcPr>
            <w:tcW w:w="11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有利于发挥政府与企业的最大优势，实现优势互补</w:t>
            </w:r>
          </w:p>
        </w:tc>
        <w:tc>
          <w:tcPr>
            <w:tcW w:w="1316"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投资量很大，但统一建设可以使园区布局合理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trPr>
        <w:tc>
          <w:tcPr>
            <w:tcW w:w="60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劣势</w:t>
            </w:r>
          </w:p>
        </w:tc>
        <w:tc>
          <w:tcPr>
            <w:tcW w:w="1026"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地方政府为进行大规模基础设施建设，建设初期需政府垫付部分资金，对政府财政会产生一定压力</w:t>
            </w:r>
          </w:p>
        </w:tc>
        <w:tc>
          <w:tcPr>
            <w:tcW w:w="91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依托于大型企业上下游延伸而形成，产业相对单一；园区物流功能区整体布局比较混乱</w:t>
            </w:r>
          </w:p>
        </w:tc>
        <w:tc>
          <w:tcPr>
            <w:tcW w:w="11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由于各企业从自身利益出发，园区整体布局比较混乱，与政府规划设想相差甚远</w:t>
            </w:r>
          </w:p>
        </w:tc>
        <w:tc>
          <w:tcPr>
            <w:tcW w:w="1316"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多式联运基地投资规模大、建设周期长、投资回收期长，协调政府与社会资源难度大，后期运营管理复杂，资金周转较慢且收益不稳定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60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代表园区</w:t>
            </w:r>
          </w:p>
        </w:tc>
        <w:tc>
          <w:tcPr>
            <w:tcW w:w="1026"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default" w:ascii="Times New Roman" w:hAnsi="Times New Roman"/>
                <w:b w:val="0"/>
                <w:bCs w:val="0"/>
                <w:color w:val="auto"/>
                <w:sz w:val="24"/>
                <w:szCs w:val="24"/>
                <w:vertAlign w:val="baseline"/>
                <w:lang w:val="en-US" w:eastAsia="zh-CN"/>
              </w:rPr>
            </w:pPr>
            <w:r>
              <w:rPr>
                <w:rFonts w:hint="default" w:ascii="Times New Roman" w:hAnsi="Times New Roman"/>
                <w:b w:val="0"/>
                <w:bCs w:val="0"/>
                <w:color w:val="auto"/>
                <w:sz w:val="24"/>
                <w:szCs w:val="24"/>
                <w:vertAlign w:val="baseline"/>
                <w:lang w:val="en-US" w:eastAsia="zh-CN"/>
              </w:rPr>
              <w:t>宜昌白洋港物流园</w:t>
            </w:r>
            <w:r>
              <w:rPr>
                <w:rFonts w:hint="eastAsia" w:ascii="Times New Roman" w:hAnsi="Times New Roman"/>
                <w:b w:val="0"/>
                <w:bCs w:val="0"/>
                <w:color w:val="auto"/>
                <w:sz w:val="24"/>
                <w:szCs w:val="24"/>
                <w:vertAlign w:val="baseline"/>
                <w:lang w:val="en-US" w:eastAsia="zh-CN"/>
              </w:rPr>
              <w:t>、</w:t>
            </w:r>
            <w:r>
              <w:rPr>
                <w:rFonts w:hint="default" w:ascii="Times New Roman" w:hAnsi="Times New Roman"/>
                <w:b w:val="0"/>
                <w:bCs w:val="0"/>
                <w:color w:val="auto"/>
                <w:sz w:val="24"/>
                <w:szCs w:val="24"/>
                <w:vertAlign w:val="baseline"/>
                <w:lang w:val="en-US" w:eastAsia="zh-CN"/>
              </w:rPr>
              <w:t>郑州国际陆港、西安国际陆港</w:t>
            </w:r>
            <w:r>
              <w:rPr>
                <w:rFonts w:hint="eastAsia" w:ascii="Times New Roman" w:hAnsi="Times New Roman"/>
                <w:b w:val="0"/>
                <w:bCs w:val="0"/>
                <w:color w:val="auto"/>
                <w:sz w:val="24"/>
                <w:szCs w:val="24"/>
                <w:vertAlign w:val="baseline"/>
                <w:lang w:val="en-US" w:eastAsia="zh-CN"/>
              </w:rPr>
              <w:t>、兰州国际港务区</w:t>
            </w:r>
          </w:p>
        </w:tc>
        <w:tc>
          <w:tcPr>
            <w:tcW w:w="91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南宁国际铁路港、北部湾港、武汉黄石新港、山西中鼎物流园</w:t>
            </w:r>
          </w:p>
        </w:tc>
        <w:tc>
          <w:tcPr>
            <w:tcW w:w="11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重庆果园港物流枢纽、南充现代物流园、扬州六圩港口物流园、鄂州空港物流园</w:t>
            </w:r>
          </w:p>
        </w:tc>
        <w:tc>
          <w:tcPr>
            <w:tcW w:w="1316"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普洛斯、安博、嘉民等大型物流地产商主要投资的通用集散型物流园区</w:t>
            </w:r>
          </w:p>
        </w:tc>
      </w:tr>
    </w:tbl>
    <w:p>
      <w:pPr>
        <w:pStyle w:val="4"/>
        <w:rPr>
          <w:rFonts w:hint="default"/>
          <w:color w:val="auto"/>
          <w:lang w:val="en-US" w:eastAsia="zh-CN"/>
        </w:rPr>
      </w:pPr>
      <w:bookmarkStart w:id="105" w:name="_Toc9621"/>
      <w:bookmarkStart w:id="106" w:name="_Toc13447"/>
      <w:r>
        <w:rPr>
          <w:rFonts w:hint="eastAsia"/>
          <w:color w:val="auto"/>
          <w:lang w:val="en-US" w:eastAsia="zh-CN"/>
        </w:rPr>
        <w:t>枢纽案例</w:t>
      </w:r>
      <w:bookmarkEnd w:id="105"/>
      <w:bookmarkEnd w:id="106"/>
    </w:p>
    <w:p>
      <w:pPr>
        <w:rPr>
          <w:rFonts w:hint="default"/>
          <w:color w:val="auto"/>
          <w:lang w:val="en-US" w:eastAsia="zh-CN"/>
        </w:rPr>
      </w:pPr>
      <w:r>
        <w:rPr>
          <w:rFonts w:hint="eastAsia"/>
          <w:color w:val="auto"/>
          <w:szCs w:val="32"/>
        </w:rPr>
        <w:t>多式联运园区作为物流系统的重要节点</w:t>
      </w:r>
      <w:r>
        <w:rPr>
          <w:rFonts w:hint="eastAsia"/>
          <w:color w:val="auto"/>
          <w:szCs w:val="32"/>
          <w:lang w:eastAsia="zh-CN"/>
        </w:rPr>
        <w:t>，</w:t>
      </w:r>
      <w:r>
        <w:rPr>
          <w:rFonts w:hint="eastAsia"/>
          <w:color w:val="auto"/>
          <w:szCs w:val="32"/>
        </w:rPr>
        <w:t>在现代国际生产、贸易和物流中发挥着重要的战略作用。</w:t>
      </w:r>
      <w:r>
        <w:rPr>
          <w:rFonts w:hint="eastAsia"/>
          <w:color w:val="auto"/>
          <w:szCs w:val="32"/>
          <w:lang w:val="en-US" w:eastAsia="zh-CN"/>
        </w:rPr>
        <w:t>重庆</w:t>
      </w:r>
      <w:r>
        <w:rPr>
          <w:rFonts w:hint="eastAsia"/>
          <w:color w:val="auto"/>
          <w:szCs w:val="32"/>
        </w:rPr>
        <w:t>、</w:t>
      </w:r>
      <w:r>
        <w:rPr>
          <w:rFonts w:hint="eastAsia"/>
          <w:color w:val="auto"/>
          <w:szCs w:val="32"/>
          <w:lang w:val="en-US" w:eastAsia="zh-CN"/>
        </w:rPr>
        <w:t>宜昌</w:t>
      </w:r>
      <w:r>
        <w:rPr>
          <w:rFonts w:hint="eastAsia"/>
          <w:color w:val="auto"/>
          <w:szCs w:val="32"/>
        </w:rPr>
        <w:t>、</w:t>
      </w:r>
      <w:r>
        <w:rPr>
          <w:rFonts w:hint="eastAsia"/>
          <w:color w:val="auto"/>
          <w:szCs w:val="32"/>
          <w:lang w:val="en-US" w:eastAsia="zh-CN"/>
        </w:rPr>
        <w:t>扬州、南充</w:t>
      </w:r>
      <w:r>
        <w:rPr>
          <w:rFonts w:hint="eastAsia"/>
          <w:color w:val="auto"/>
          <w:szCs w:val="32"/>
        </w:rPr>
        <w:t>等</w:t>
      </w:r>
      <w:r>
        <w:rPr>
          <w:rFonts w:hint="eastAsia"/>
          <w:color w:val="auto"/>
          <w:szCs w:val="32"/>
          <w:lang w:val="en-US" w:eastAsia="zh-CN"/>
        </w:rPr>
        <w:t>城市</w:t>
      </w:r>
      <w:r>
        <w:rPr>
          <w:rFonts w:hint="eastAsia"/>
          <w:color w:val="auto"/>
          <w:szCs w:val="32"/>
        </w:rPr>
        <w:t>多式联运基地在</w:t>
      </w:r>
      <w:r>
        <w:rPr>
          <w:rFonts w:hint="eastAsia"/>
          <w:color w:val="auto"/>
          <w:szCs w:val="32"/>
          <w:lang w:val="en-US" w:eastAsia="zh-CN"/>
        </w:rPr>
        <w:t>规划、建设、运营</w:t>
      </w:r>
      <w:r>
        <w:rPr>
          <w:rFonts w:hint="eastAsia"/>
          <w:color w:val="auto"/>
          <w:szCs w:val="32"/>
        </w:rPr>
        <w:t>等方面取得显著进展，对打造绿色高效的现代物流系统、服务构建现代化产业体系等方面发挥了重要作用，其发展经验</w:t>
      </w:r>
      <w:r>
        <w:rPr>
          <w:rFonts w:hint="eastAsia"/>
          <w:color w:val="auto"/>
          <w:szCs w:val="32"/>
          <w:lang w:val="en-US" w:eastAsia="zh-CN"/>
        </w:rPr>
        <w:t>对于乐山打造</w:t>
      </w:r>
      <w:r>
        <w:rPr>
          <w:rFonts w:hint="eastAsia"/>
          <w:color w:val="auto"/>
          <w:szCs w:val="32"/>
        </w:rPr>
        <w:t>多式联运</w:t>
      </w:r>
      <w:r>
        <w:rPr>
          <w:rFonts w:hint="eastAsia"/>
          <w:color w:val="auto"/>
          <w:szCs w:val="32"/>
          <w:lang w:val="en-US" w:eastAsia="zh-CN"/>
        </w:rPr>
        <w:t>示范</w:t>
      </w:r>
      <w:r>
        <w:rPr>
          <w:rFonts w:hint="eastAsia"/>
          <w:color w:val="auto"/>
          <w:szCs w:val="32"/>
        </w:rPr>
        <w:t>基地</w:t>
      </w:r>
      <w:r>
        <w:rPr>
          <w:rFonts w:hint="eastAsia"/>
          <w:color w:val="auto"/>
          <w:szCs w:val="32"/>
          <w:lang w:val="en-US" w:eastAsia="zh-CN"/>
        </w:rPr>
        <w:t>具有重要借鉴意义</w:t>
      </w:r>
      <w:r>
        <w:rPr>
          <w:rFonts w:hint="eastAsia"/>
          <w:color w:val="auto"/>
          <w:szCs w:val="32"/>
        </w:rPr>
        <w:t>。</w:t>
      </w:r>
    </w:p>
    <w:p>
      <w:pPr>
        <w:pStyle w:val="5"/>
        <w:bidi w:val="0"/>
        <w:rPr>
          <w:rFonts w:hint="eastAsia"/>
          <w:color w:val="auto"/>
          <w:lang w:val="en-US" w:eastAsia="zh-CN"/>
        </w:rPr>
      </w:pPr>
      <w:r>
        <w:rPr>
          <w:rFonts w:hint="eastAsia"/>
          <w:color w:val="auto"/>
          <w:szCs w:val="32"/>
          <w:lang w:val="en-US" w:eastAsia="zh-CN"/>
        </w:rPr>
        <w:t>重庆</w:t>
      </w:r>
      <w:r>
        <w:rPr>
          <w:rFonts w:hint="eastAsia"/>
          <w:color w:val="auto"/>
          <w:szCs w:val="32"/>
          <w:lang w:eastAsia="zh-CN"/>
        </w:rPr>
        <w:t>果园港物流</w:t>
      </w:r>
      <w:r>
        <w:rPr>
          <w:rFonts w:hint="eastAsia"/>
          <w:color w:val="auto"/>
          <w:szCs w:val="32"/>
          <w:lang w:val="en-US" w:eastAsia="zh-CN"/>
        </w:rPr>
        <w:t>枢纽</w:t>
      </w:r>
    </w:p>
    <w:p>
      <w:pPr>
        <w:spacing w:line="600" w:lineRule="exact"/>
        <w:ind w:firstLine="640"/>
        <w:rPr>
          <w:rFonts w:hint="eastAsia"/>
          <w:color w:val="auto"/>
          <w:szCs w:val="32"/>
          <w:lang w:val="en-US" w:eastAsia="zh-CN"/>
        </w:rPr>
      </w:pPr>
      <w:r>
        <w:rPr>
          <w:rFonts w:hint="eastAsia"/>
          <w:color w:val="auto"/>
          <w:szCs w:val="32"/>
          <w:lang w:val="en-US" w:eastAsia="zh-CN"/>
        </w:rPr>
        <w:t>重庆</w:t>
      </w:r>
      <w:r>
        <w:rPr>
          <w:rFonts w:hint="eastAsia"/>
          <w:color w:val="auto"/>
          <w:szCs w:val="32"/>
          <w:lang w:eastAsia="zh-CN"/>
        </w:rPr>
        <w:t>果园港物流</w:t>
      </w:r>
      <w:r>
        <w:rPr>
          <w:rFonts w:hint="eastAsia"/>
          <w:color w:val="auto"/>
          <w:szCs w:val="32"/>
          <w:lang w:val="en-US" w:eastAsia="zh-CN"/>
        </w:rPr>
        <w:t>枢纽</w:t>
      </w:r>
      <w:r>
        <w:rPr>
          <w:rFonts w:hint="eastAsia"/>
          <w:color w:val="auto"/>
          <w:szCs w:val="32"/>
          <w:lang w:eastAsia="zh-CN"/>
        </w:rPr>
        <w:t>位于两江新区果园—鱼复片区，</w:t>
      </w:r>
      <w:r>
        <w:rPr>
          <w:rFonts w:hint="eastAsia"/>
          <w:color w:val="auto"/>
          <w:szCs w:val="32"/>
          <w:lang w:val="en-US" w:eastAsia="zh-CN"/>
        </w:rPr>
        <w:t>规划占地面积13.8平方公里，坐拥长江黄金水道深水港优势，是重庆港口型国家物流枢纽的承载区，也是我国内河最大的铁公水多式联运枢纽港，其定位为内陆型开放口岸、国际多式联运综合枢纽、大宗商品交易中心、中新（重庆）战略性互联互通物流示范区、内陆自由贸易港核心区，陆海新通道、中欧班列（重庆）和长江黄金水道在此汇聚，是国家建设“一带一路”和“长江经济带”的重要节点。</w:t>
      </w:r>
    </w:p>
    <w:p>
      <w:pPr>
        <w:pStyle w:val="27"/>
        <w:bidi w:val="0"/>
        <w:rPr>
          <w:color w:val="auto"/>
          <w:lang w:eastAsia="zh-CN"/>
        </w:rPr>
      </w:pPr>
      <w:r>
        <w:rPr>
          <w:color w:val="auto"/>
          <w:lang w:eastAsia="zh-CN"/>
        </w:rPr>
        <w:drawing>
          <wp:inline distT="0" distB="0" distL="0" distR="0">
            <wp:extent cx="5760085" cy="3996055"/>
            <wp:effectExtent l="9525" t="9525" r="21590" b="13970"/>
            <wp:docPr id="38" name="图片 38" descr="G:\二次修改\国际物流区范围0528_01_0530_003_C2K108N-Model 拷小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G:\二次修改\国际物流区范围0528_01_0530_003_C2K108N-Model 拷小的.jpg"/>
                    <pic:cNvPicPr>
                      <a:picLocks noChangeAspect="1" noChangeArrowheads="1"/>
                    </pic:cNvPicPr>
                  </pic:nvPicPr>
                  <pic:blipFill>
                    <a:blip r:embed="rId42" cstate="hqprint"/>
                    <a:srcRect/>
                    <a:stretch>
                      <a:fillRect/>
                    </a:stretch>
                  </pic:blipFill>
                  <pic:spPr>
                    <a:xfrm>
                      <a:off x="0" y="0"/>
                      <a:ext cx="5760085" cy="3996055"/>
                    </a:xfrm>
                    <a:prstGeom prst="rect">
                      <a:avLst/>
                    </a:prstGeom>
                    <a:noFill/>
                    <a:ln>
                      <a:solidFill>
                        <a:schemeClr val="bg2">
                          <a:lumMod val="90000"/>
                        </a:schemeClr>
                      </a:solidFill>
                    </a:ln>
                  </pic:spPr>
                </pic:pic>
              </a:graphicData>
            </a:graphic>
          </wp:inline>
        </w:drawing>
      </w:r>
    </w:p>
    <w:p>
      <w:pPr>
        <w:pStyle w:val="7"/>
        <w:bidi w:val="0"/>
        <w:rPr>
          <w:rFonts w:hint="eastAsia"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w:t>
      </w:r>
      <w:r>
        <w:rPr>
          <w:color w:val="auto"/>
        </w:rPr>
        <w:fldChar w:fldCharType="end"/>
      </w:r>
      <w:r>
        <w:rPr>
          <w:rFonts w:hint="eastAsia"/>
          <w:color w:val="auto"/>
          <w:lang w:val="en-US" w:eastAsia="zh-CN"/>
        </w:rPr>
        <w:t xml:space="preserve"> 果园港物流枢纽位置图</w:t>
      </w:r>
    </w:p>
    <w:p>
      <w:pPr>
        <w:keepNext/>
        <w:keepLines w:val="0"/>
        <w:pageBreakBefore w:val="0"/>
        <w:widowControl w:val="0"/>
        <w:kinsoku/>
        <w:wordWrap/>
        <w:overflowPunct/>
        <w:topLinePunct w:val="0"/>
        <w:autoSpaceDE/>
        <w:autoSpaceDN/>
        <w:bidi w:val="0"/>
        <w:adjustRightInd/>
        <w:snapToGrid/>
        <w:textAlignment w:val="auto"/>
        <w:rPr>
          <w:rFonts w:hint="eastAsia"/>
          <w:b/>
          <w:bCs/>
          <w:color w:val="auto"/>
          <w:lang w:val="en-US" w:eastAsia="zh-CN"/>
        </w:rPr>
      </w:pPr>
      <w:r>
        <w:rPr>
          <w:rFonts w:hint="eastAsia"/>
          <w:b/>
          <w:bCs/>
          <w:color w:val="auto"/>
          <w:lang w:val="en-US" w:eastAsia="zh-CN"/>
        </w:rPr>
        <w:t>1.规划功能布局</w:t>
      </w:r>
    </w:p>
    <w:p>
      <w:pPr>
        <w:spacing w:line="600" w:lineRule="exact"/>
        <w:ind w:firstLine="640"/>
        <w:rPr>
          <w:rFonts w:hint="eastAsia"/>
          <w:color w:val="auto"/>
          <w:szCs w:val="32"/>
          <w:lang w:val="en-US" w:eastAsia="zh-CN"/>
        </w:rPr>
      </w:pPr>
      <w:r>
        <w:rPr>
          <w:rFonts w:hint="eastAsia"/>
          <w:color w:val="auto"/>
          <w:szCs w:val="32"/>
          <w:lang w:val="en-US" w:eastAsia="zh-CN"/>
        </w:rPr>
        <w:t>果园港物流枢纽采用“前港后园”模式，前方为港口装卸区，后方为公路物流园、铁路专线、仓储物流园、临港产业园等，整体分为东港区、西港区及拓展区三大片区，其中东港区规划面积6.6平方公里，西港区规划面积4.7平方公里，拓展区规划面积2.5平方公里。</w:t>
      </w:r>
    </w:p>
    <w:p>
      <w:pPr>
        <w:spacing w:line="600" w:lineRule="exact"/>
        <w:ind w:firstLine="640"/>
        <w:rPr>
          <w:rFonts w:hint="default"/>
          <w:color w:val="auto"/>
          <w:szCs w:val="32"/>
          <w:lang w:val="en-US" w:eastAsia="zh-CN"/>
        </w:rPr>
      </w:pPr>
      <w:r>
        <w:rPr>
          <w:rFonts w:hint="eastAsia"/>
          <w:color w:val="auto"/>
          <w:szCs w:val="32"/>
          <w:lang w:val="en-US" w:eastAsia="zh-CN"/>
        </w:rPr>
        <w:t>东港区前方已建成5000吨级泊位16个，含多用途泊位10个，散货泊位3个，商品汽车滚装泊位3个，设计年吞吐能力3000万吨，同时集成铁路、水路等口岸功能，主要提供集装箱、大宗件杂物资、商品汽车的内贸及外贸运输服务。港区后方已开通铁路专用线14条，作业能力1000万吨；同步在铁路专用线旁建成大宗生产资料交易市场，含标准化仓库面积18万平方米、露天堆场12万平方米，主要服务西北、西南地区，交易品种包括铁矿石、煤炭、钢铁等大宗商品，市场交易方式以现货交易为主，可提供配套物流、保税、金融、期货交割等服务。</w:t>
      </w:r>
    </w:p>
    <w:p>
      <w:pPr>
        <w:spacing w:line="600" w:lineRule="exact"/>
        <w:ind w:firstLine="640"/>
        <w:rPr>
          <w:rFonts w:hint="eastAsia" w:ascii="仿宋_GB2312" w:hAnsi="仿宋_GB2312" w:eastAsia="仿宋_GB2312" w:cs="仿宋_GB2312"/>
          <w:color w:val="auto"/>
          <w:szCs w:val="32"/>
          <w:lang w:val="en-US" w:eastAsia="zh-CN"/>
        </w:rPr>
      </w:pPr>
      <w:r>
        <w:rPr>
          <w:rFonts w:hint="eastAsia"/>
          <w:color w:val="auto"/>
          <w:szCs w:val="32"/>
          <w:lang w:val="en-US" w:eastAsia="zh-CN"/>
        </w:rPr>
        <w:t>西港区前方已建成重大件、多用途两个公共码头泊位，其中大件码头主要服务重庆ABB公司生产的变压器等大件产品，多用途码头主要为国际中转和贸易组团入驻的企业提供集装箱、件杂货等港口装卸服务；同时建成两路果园港综合保税区（果园港片区），占地面积1170亩，主要聚集国际物流分拨、保税服务贸易、精密加工制造、保税研发、新型业态等功能。港区后方主要包含五大功能区，</w:t>
      </w:r>
      <w:r>
        <w:rPr>
          <w:rFonts w:hint="eastAsia" w:ascii="仿宋_GB2312" w:hAnsi="仿宋_GB2312" w:eastAsia="仿宋_GB2312" w:cs="仿宋_GB2312"/>
          <w:color w:val="auto"/>
          <w:szCs w:val="32"/>
          <w:lang w:val="en-US" w:eastAsia="zh-CN"/>
        </w:rPr>
        <w:t>一是鱼嘴铁路物流基地，占地923亩，其中北货场占地382亩，功能为内贸商品车物流分拨基地，是西南地区最大的商品车物流基地，开通了上海、广州、北京、成都等方向货运班列，通过集装箱常态化运行对汽车零部件、工程机械、建材等货品进行运输。南货场占地541亩，建成集装箱作业区、集装箱堆场等区域，规划功能为国际、国内集装箱班列到发场站。二是中新（重庆）多式联运示范基地，占地519.4亩，其中一期面积245亩，建设中新商贸物流总部、集拼仓库和集装箱堆场，已于2022年6月竣工投用；二期面积274.4亩，计划为定制仓储预留地块，将根据客户需求设计建设立体仓储、冷冻仓储、自动化配送等定制仓库，提升联动效率，与周边形成协同发展的新型运营格局。三是川渝物流合作区，占地348亩，是成渝物流一体化的突破口和合作区，重点吸引成渝两地企业联合开发建设，主要为在果园港物流园内港口、铁路等开展铁水联运、水水中转的四川等中西部物流企业提供物流增值服务。四是渝新欧物流园，占地235亩，主要依托国际铁路联运通道和果园港物流园优势，建设智能仓储区、拼拆箱作业区、集装箱堆场、市场交易区、国际班列“一站式”服务中心等，提供新兴消费品商贸服务、金融服务、商品体验展示服务等，形成以仓储、中转、加工、包装、冷藏、销售、配送、市场交易为一体的新兴消费品全产业链园区。五是智慧公路物流区，占地750亩，包含辉联埔程物流园、重庆民生物流园等，主要为果园港物流园入驻企业提供公路汽车运输服务。</w:t>
      </w:r>
    </w:p>
    <w:p>
      <w:pPr>
        <w:spacing w:line="600" w:lineRule="exact"/>
        <w:ind w:firstLine="640"/>
        <w:rPr>
          <w:rFonts w:hint="eastAsia" w:ascii="仿宋_GB2312" w:hAnsi="仿宋_GB2312" w:eastAsia="仿宋_GB2312" w:cs="仿宋_GB2312"/>
          <w:color w:val="auto"/>
          <w:szCs w:val="32"/>
          <w:lang w:val="en-US" w:eastAsia="zh-CN"/>
        </w:rPr>
      </w:pPr>
      <w:r>
        <w:rPr>
          <w:rFonts w:hint="eastAsia" w:ascii="仿宋_GB2312" w:hAnsi="仿宋_GB2312" w:eastAsia="仿宋_GB2312" w:cs="仿宋_GB2312"/>
          <w:color w:val="auto"/>
          <w:szCs w:val="32"/>
          <w:lang w:val="en-US" w:eastAsia="zh-CN"/>
        </w:rPr>
        <w:t>功能拓展区为远期预留发展用地，主要预留三大功能区，一是智慧物流装备研发基地，占地235亩，重点依托重庆智慧产业、大数据产业优势，进行多式联运中转设备、新型运载单元（新型集装箱、冷链设备）、智能仓储设备（智慧分拣系统、仓库机器人、无人分拣站、智能设备无人化改造）等产品和技术的研发和设计，打造有影响力的智慧物流设计服务研发平台。二是物流装备制造区，占地501亩，重点依托智慧物流装备研发基地，主要进行多式联运中转设备、智慧冷链设施设备、存储系统、堆垛系统、输送系统、搬运分拣系统以及配套自动化设备的生产制造。三是物流装备展示交易区，占地327亩，面向应用市场，为存储系统、堆垛系统、输送系统、搬运分拣系统以及配套自动化设备提供交易展示空间，提供系统解决方案、物流设备销售、售后运维等服务。</w:t>
      </w:r>
    </w:p>
    <w:p>
      <w:pPr>
        <w:spacing w:line="600" w:lineRule="exact"/>
        <w:ind w:firstLine="640"/>
        <w:rPr>
          <w:rFonts w:hint="eastAsia" w:ascii="仿宋_GB2312" w:hAnsi="仿宋_GB2312" w:eastAsia="仿宋_GB2312" w:cs="仿宋_GB2312"/>
          <w:color w:val="auto"/>
          <w:szCs w:val="32"/>
          <w:lang w:val="en-US" w:eastAsia="zh-CN"/>
        </w:rPr>
      </w:pPr>
      <w:r>
        <w:rPr>
          <w:rFonts w:hint="eastAsia" w:ascii="仿宋_GB2312" w:hAnsi="仿宋_GB2312" w:eastAsia="仿宋_GB2312" w:cs="仿宋_GB2312"/>
          <w:color w:val="auto"/>
          <w:szCs w:val="32"/>
          <w:lang w:val="en-US" w:eastAsia="zh-CN"/>
        </w:rPr>
        <w:t>此外，在东港区和西港区之间规划建设高端商务配套服务设施，主要包含三大功能区，一是生活配套服务区，重点利用已建成鱼嘴镇住宅及公共设施，完善交通配套、休闲娱乐、餐饮、商业配套等设施，为入住果园港物流园的企业员工提供日常的生活服务。二是物流产学研用基地，占地123亩，规划联合新加坡、重庆等地高等职业院校，建设两江物流职业培训中心，为果园港物流园培养各类型物流人才。三是综合信息服务中心，占地97亩，为果园港物流园入驻物流企业提供多式联运信息、资质资格、认证认可、报关报检、税收征缴、金融商务、信用评价等综合信息配套服务。</w:t>
      </w:r>
    </w:p>
    <w:p>
      <w:pPr>
        <w:spacing w:line="600" w:lineRule="exact"/>
        <w:ind w:firstLine="640"/>
        <w:rPr>
          <w:rFonts w:hint="eastAsia" w:ascii="仿宋_GB2312" w:hAnsi="仿宋_GB2312" w:eastAsia="仿宋_GB2312" w:cs="仿宋_GB2312"/>
          <w:color w:val="auto"/>
          <w:szCs w:val="32"/>
          <w:lang w:val="en-US" w:eastAsia="zh-CN"/>
        </w:rPr>
        <w:sectPr>
          <w:headerReference r:id="rId15" w:type="default"/>
          <w:pgSz w:w="23811" w:h="16838" w:orient="landscape"/>
          <w:pgMar w:top="1800" w:right="1440" w:bottom="1800" w:left="1440" w:header="851" w:footer="992" w:gutter="0"/>
          <w:pgNumType w:fmt="decimal"/>
          <w:cols w:equalWidth="0" w:num="2">
            <w:col w:w="10253" w:space="425"/>
            <w:col w:w="10253"/>
          </w:cols>
          <w:docGrid w:type="lines" w:linePitch="312" w:charSpace="0"/>
        </w:sectPr>
      </w:pPr>
    </w:p>
    <w:p>
      <w:pPr>
        <w:pStyle w:val="27"/>
        <w:bidi w:val="0"/>
        <w:rPr>
          <w:color w:val="auto"/>
          <w:lang w:eastAsia="zh-CN"/>
        </w:rPr>
      </w:pPr>
      <w:r>
        <w:rPr>
          <w:rFonts w:ascii="Times New Roman" w:hAnsi="Times New Roman"/>
          <w:color w:val="auto"/>
          <w:lang w:eastAsia="zh-CN"/>
        </w:rPr>
        <w:drawing>
          <wp:inline distT="0" distB="0" distL="0" distR="0">
            <wp:extent cx="12763500" cy="7255510"/>
            <wp:effectExtent l="0" t="0" r="0" b="2540"/>
            <wp:docPr id="87" name="图片 87" descr="H:\工作（2019年3月19日）\横向项目相关\果园港国家级物流枢纽申报\港口集群建设方案\新申报书\图片制作\修图后\重庆果园港物流枢纽规划示意图20190529-标隧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H:\工作（2019年3月19日）\横向项目相关\果园港国家级物流枢纽申报\港口集群建设方案\新申报书\图片制作\修图后\重庆果园港物流枢纽规划示意图20190529-标隧道.jpg"/>
                    <pic:cNvPicPr>
                      <a:picLocks noChangeAspect="1" noChangeArrowheads="1"/>
                    </pic:cNvPicPr>
                  </pic:nvPicPr>
                  <pic:blipFill>
                    <a:blip r:embed="rId43" cstate="hqprint"/>
                    <a:srcRect/>
                    <a:stretch>
                      <a:fillRect/>
                    </a:stretch>
                  </pic:blipFill>
                  <pic:spPr>
                    <a:xfrm>
                      <a:off x="0" y="0"/>
                      <a:ext cx="12763500" cy="7255510"/>
                    </a:xfrm>
                    <a:prstGeom prst="rect">
                      <a:avLst/>
                    </a:prstGeom>
                    <a:noFill/>
                    <a:ln>
                      <a:noFill/>
                    </a:ln>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2</w:t>
      </w:r>
      <w:r>
        <w:rPr>
          <w:color w:val="auto"/>
        </w:rPr>
        <w:fldChar w:fldCharType="end"/>
      </w:r>
      <w:r>
        <w:rPr>
          <w:rFonts w:hint="eastAsia"/>
          <w:color w:val="auto"/>
          <w:lang w:val="en-US" w:eastAsia="zh-CN"/>
        </w:rPr>
        <w:t xml:space="preserve"> 重庆果园港物流枢纽功能布局图</w:t>
      </w:r>
    </w:p>
    <w:p>
      <w:pPr>
        <w:spacing w:line="600" w:lineRule="exact"/>
        <w:ind w:firstLine="640"/>
        <w:rPr>
          <w:rFonts w:hint="default"/>
          <w:color w:val="auto"/>
          <w:szCs w:val="32"/>
          <w:lang w:val="en-US" w:eastAsia="zh-CN"/>
        </w:rPr>
        <w:sectPr>
          <w:pgSz w:w="23811" w:h="16838" w:orient="landscape"/>
          <w:pgMar w:top="1800" w:right="1440" w:bottom="1800" w:left="1440" w:header="851" w:footer="992" w:gutter="0"/>
          <w:pgNumType w:fmt="decimal"/>
          <w:cols w:space="425" w:num="1"/>
          <w:docGrid w:type="lines" w:linePitch="312" w:charSpace="0"/>
        </w:sectPr>
      </w:pPr>
    </w:p>
    <w:p>
      <w:pPr>
        <w:bidi w:val="0"/>
        <w:rPr>
          <w:rFonts w:hint="eastAsia"/>
          <w:b/>
          <w:bCs/>
          <w:color w:val="auto"/>
          <w:lang w:val="en-US" w:eastAsia="zh-CN"/>
        </w:rPr>
      </w:pPr>
      <w:r>
        <w:rPr>
          <w:rFonts w:hint="eastAsia"/>
          <w:b/>
          <w:bCs/>
          <w:color w:val="auto"/>
          <w:lang w:val="en-US" w:eastAsia="zh-CN"/>
        </w:rPr>
        <w:t>2.建设运营</w:t>
      </w:r>
    </w:p>
    <w:p>
      <w:pPr>
        <w:rPr>
          <w:rFonts w:hint="default"/>
          <w:b/>
          <w:bCs/>
          <w:color w:val="auto"/>
          <w:lang w:val="en-US" w:eastAsia="zh-CN"/>
        </w:rPr>
      </w:pPr>
      <w:r>
        <w:rPr>
          <w:rFonts w:hint="eastAsia"/>
          <w:b/>
          <w:bCs/>
          <w:color w:val="auto"/>
          <w:lang w:val="en-US" w:eastAsia="zh-CN"/>
        </w:rPr>
        <w:t>（1）开发建设模式</w:t>
      </w:r>
    </w:p>
    <w:p>
      <w:pPr>
        <w:rPr>
          <w:rFonts w:hint="eastAsia"/>
          <w:color w:val="auto"/>
          <w:lang w:val="en-US" w:eastAsia="zh-CN"/>
        </w:rPr>
      </w:pPr>
      <w:r>
        <w:rPr>
          <w:rFonts w:hint="eastAsia"/>
          <w:color w:val="auto"/>
          <w:lang w:val="en-US" w:eastAsia="zh-CN"/>
        </w:rPr>
        <w:t>重庆果园港枢纽采取政企合作模式进行开发建设，即政府主导规划建设、市场主体负责运营。两江新区管委会对枢纽进行统一规划和基础建设，采用自主开发、招商开发两种开发模式，枢纽内规划的基础设施（果园港、综合保税区、多式联运信息平台等）由政府平台公司自主开发建设；其他功能区则通过招商引资等方式，由中新（重庆）多式联运物流发展有限公司、渝新欧（重庆）供应链管理有限公司、中远海运物流有限公司等入驻企业负责建设和运营。</w:t>
      </w:r>
    </w:p>
    <w:p>
      <w:pPr>
        <w:rPr>
          <w:rFonts w:hint="default"/>
          <w:b/>
          <w:bCs/>
          <w:color w:val="auto"/>
          <w:lang w:val="en-US" w:eastAsia="zh-CN"/>
        </w:rPr>
      </w:pPr>
      <w:r>
        <w:rPr>
          <w:rFonts w:hint="eastAsia"/>
          <w:b/>
          <w:bCs/>
          <w:color w:val="auto"/>
          <w:lang w:val="en-US" w:eastAsia="zh-CN"/>
        </w:rPr>
        <w:t>（2）智慧化运营模式</w:t>
      </w:r>
    </w:p>
    <w:p>
      <w:pPr>
        <w:rPr>
          <w:rFonts w:hint="eastAsia"/>
          <w:color w:val="auto"/>
          <w:lang w:val="en-US" w:eastAsia="zh-CN"/>
        </w:rPr>
      </w:pPr>
      <w:r>
        <w:rPr>
          <w:rFonts w:hint="eastAsia"/>
          <w:color w:val="auto"/>
          <w:lang w:val="en-US" w:eastAsia="zh-CN"/>
        </w:rPr>
        <w:t>果园港重点推动枢纽内作业设施设备的智能化、数字化发展，致力于打造现代化智慧港口枢纽。数智化设施方面，港区内已全部更新应用高速智慧场桥，实现在中控室同步远程操控多座场桥作业；投运6辆新能源无人驾驶智能集卡，实现从岸线与堆场间全程智能化、自动化运输装卸集装箱。信息平台方面，打造集装箱系统与“无纸化”平台、智能闸口系统配合升级优化后的集装箱系统智能算法，实现集装箱生产作业全流程管理、单证电子化、道闸无人化、服务自助化；正在打造智慧多式联运信息服务平台，集成班轮、班列、视频、流程跟踪等信息。</w:t>
      </w:r>
    </w:p>
    <w:p>
      <w:pPr>
        <w:pStyle w:val="5"/>
        <w:bidi w:val="0"/>
        <w:rPr>
          <w:rFonts w:hint="eastAsia"/>
          <w:color w:val="auto"/>
          <w:lang w:val="en-US" w:eastAsia="zh-CN"/>
        </w:rPr>
      </w:pPr>
      <w:r>
        <w:rPr>
          <w:rFonts w:hint="eastAsia"/>
          <w:color w:val="auto"/>
          <w:lang w:val="en-US" w:eastAsia="zh-CN"/>
        </w:rPr>
        <w:t>宜昌白洋港物流园</w:t>
      </w:r>
    </w:p>
    <w:p>
      <w:pPr>
        <w:bidi w:val="0"/>
        <w:rPr>
          <w:rFonts w:hint="eastAsia"/>
          <w:color w:val="auto"/>
          <w:lang w:val="en-US" w:eastAsia="zh-CN"/>
        </w:rPr>
      </w:pPr>
      <w:r>
        <w:rPr>
          <w:rFonts w:hint="eastAsia"/>
          <w:color w:val="auto"/>
          <w:lang w:val="en-US" w:eastAsia="zh-CN"/>
        </w:rPr>
        <w:t>宜昌白洋港物流园位于宜昌三峡坝下约70公里的宜昌白洋港后方，规划占地面积约3平方公里（另有前方白洋港作业区0.5平方公里，累计3.5平方公里），是宜昌国家物流枢纽的核心承载区，地处国家东西向沿江物流大通道与南北向呼南物流大通道的重要交汇点，依托以长江黄金水道为核心的综合立体交通走廊，可有效串接长江经济带沿线各枢纽港，具有承东启西、纵贯南北的重要作用。</w:t>
      </w:r>
    </w:p>
    <w:p>
      <w:pPr>
        <w:pStyle w:val="27"/>
        <w:bidi w:val="0"/>
        <w:rPr>
          <w:rFonts w:hint="eastAsia" w:eastAsia="宋体"/>
          <w:color w:val="auto"/>
          <w:lang w:eastAsia="zh-CN"/>
        </w:rPr>
      </w:pPr>
      <w:r>
        <w:rPr>
          <w:rFonts w:hint="eastAsia" w:eastAsia="宋体"/>
          <w:color w:val="auto"/>
          <w:lang w:eastAsia="zh-CN"/>
        </w:rPr>
        <w:drawing>
          <wp:inline distT="0" distB="0" distL="114300" distR="114300">
            <wp:extent cx="5760085" cy="2980690"/>
            <wp:effectExtent l="0" t="0" r="12065" b="10160"/>
            <wp:docPr id="39" name="图片 39" descr="55785926cc790603d9c52fc9f2d603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55785926cc790603d9c52fc9f2d603bb"/>
                    <pic:cNvPicPr>
                      <a:picLocks noChangeAspect="1"/>
                    </pic:cNvPicPr>
                  </pic:nvPicPr>
                  <pic:blipFill>
                    <a:blip r:embed="rId44"/>
                    <a:stretch>
                      <a:fillRect/>
                    </a:stretch>
                  </pic:blipFill>
                  <pic:spPr>
                    <a:xfrm>
                      <a:off x="0" y="0"/>
                      <a:ext cx="5760085" cy="2980690"/>
                    </a:xfrm>
                    <a:prstGeom prst="rect">
                      <a:avLst/>
                    </a:prstGeom>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3</w:t>
      </w:r>
      <w:r>
        <w:rPr>
          <w:color w:val="auto"/>
        </w:rPr>
        <w:fldChar w:fldCharType="end"/>
      </w:r>
      <w:r>
        <w:rPr>
          <w:rFonts w:hint="eastAsia"/>
          <w:color w:val="auto"/>
          <w:lang w:val="en-US" w:eastAsia="zh-CN"/>
        </w:rPr>
        <w:t xml:space="preserve"> 宜昌白洋港物流园位置图</w:t>
      </w:r>
    </w:p>
    <w:p>
      <w:pPr>
        <w:bidi w:val="0"/>
        <w:rPr>
          <w:rFonts w:hint="eastAsia"/>
          <w:b/>
          <w:bCs/>
          <w:color w:val="auto"/>
          <w:lang w:val="en-US" w:eastAsia="zh-CN"/>
        </w:rPr>
      </w:pPr>
      <w:r>
        <w:rPr>
          <w:rFonts w:hint="eastAsia"/>
          <w:b/>
          <w:bCs/>
          <w:color w:val="auto"/>
          <w:lang w:val="en-US" w:eastAsia="zh-CN"/>
        </w:rPr>
        <w:t>1.规划功能布局</w:t>
      </w:r>
    </w:p>
    <w:p>
      <w:pPr>
        <w:bidi w:val="0"/>
        <w:rPr>
          <w:rFonts w:hint="default"/>
          <w:color w:val="auto"/>
          <w:lang w:val="en-US" w:eastAsia="zh-CN"/>
        </w:rPr>
      </w:pPr>
      <w:r>
        <w:rPr>
          <w:rFonts w:hint="default"/>
          <w:color w:val="auto"/>
          <w:lang w:val="en-US" w:eastAsia="zh-CN"/>
        </w:rPr>
        <w:t>白洋</w:t>
      </w:r>
      <w:r>
        <w:rPr>
          <w:rFonts w:hint="eastAsia"/>
          <w:color w:val="auto"/>
          <w:lang w:val="en-US" w:eastAsia="zh-CN"/>
        </w:rPr>
        <w:t>港物流</w:t>
      </w:r>
      <w:r>
        <w:rPr>
          <w:rFonts w:hint="default"/>
          <w:color w:val="auto"/>
          <w:lang w:val="en-US" w:eastAsia="zh-CN"/>
        </w:rPr>
        <w:t>园区共</w:t>
      </w:r>
      <w:r>
        <w:rPr>
          <w:rFonts w:hint="eastAsia"/>
          <w:color w:val="auto"/>
          <w:lang w:val="en-US" w:eastAsia="zh-CN"/>
        </w:rPr>
        <w:t>设置</w:t>
      </w:r>
      <w:r>
        <w:rPr>
          <w:rFonts w:hint="default"/>
          <w:color w:val="auto"/>
          <w:lang w:val="en-US" w:eastAsia="zh-CN"/>
        </w:rPr>
        <w:t>大宗商品交易区、应急物流区、水运口岸与国际保税物流区、集装箱多式联运区、仓储和分拨配送区、商品汽车分拨中心、智能公路港、航运交易与物流云运营中心、冷链物流区、铁路多式联运区、发展预留区等11大功能区。</w:t>
      </w:r>
    </w:p>
    <w:p>
      <w:pPr>
        <w:bidi w:val="0"/>
        <w:rPr>
          <w:rFonts w:hint="default"/>
          <w:b/>
          <w:bCs/>
          <w:color w:val="auto"/>
          <w:lang w:val="en-US" w:eastAsia="zh-CN"/>
        </w:rPr>
      </w:pPr>
      <w:r>
        <w:rPr>
          <w:rFonts w:hint="eastAsia"/>
          <w:b/>
          <w:bCs/>
          <w:color w:val="auto"/>
          <w:lang w:val="en-US" w:eastAsia="zh-CN"/>
        </w:rPr>
        <w:t>（1）大</w:t>
      </w:r>
      <w:r>
        <w:rPr>
          <w:rFonts w:hint="default"/>
          <w:b/>
          <w:bCs/>
          <w:color w:val="auto"/>
          <w:lang w:val="en-US" w:eastAsia="zh-CN"/>
        </w:rPr>
        <w:t>宗商品交易区</w:t>
      </w:r>
    </w:p>
    <w:p>
      <w:pPr>
        <w:bidi w:val="0"/>
        <w:rPr>
          <w:rFonts w:hint="default"/>
          <w:color w:val="auto"/>
          <w:lang w:val="en-US" w:eastAsia="zh-CN"/>
        </w:rPr>
      </w:pPr>
      <w:r>
        <w:rPr>
          <w:rFonts w:hint="default"/>
          <w:color w:val="auto"/>
          <w:lang w:val="en-US" w:eastAsia="zh-CN"/>
        </w:rPr>
        <w:t>位于白洋大道以南、桂湖路以东、水铁联运上</w:t>
      </w:r>
      <w:r>
        <w:rPr>
          <w:rFonts w:hint="eastAsia"/>
          <w:color w:val="auto"/>
          <w:lang w:val="en-US" w:eastAsia="zh-CN"/>
        </w:rPr>
        <w:t>跨</w:t>
      </w:r>
      <w:r>
        <w:rPr>
          <w:rFonts w:hint="default"/>
          <w:color w:val="auto"/>
          <w:lang w:val="en-US" w:eastAsia="zh-CN"/>
        </w:rPr>
        <w:t>桥以西的区域，</w:t>
      </w:r>
      <w:r>
        <w:rPr>
          <w:rFonts w:hint="eastAsia"/>
          <w:color w:val="auto"/>
          <w:lang w:val="en-US" w:eastAsia="zh-CN"/>
        </w:rPr>
        <w:t>占地256亩，</w:t>
      </w:r>
      <w:r>
        <w:rPr>
          <w:rFonts w:hint="default"/>
          <w:color w:val="auto"/>
          <w:lang w:val="en-US" w:eastAsia="zh-CN"/>
        </w:rPr>
        <w:t>主要布置展示交易中心，为大宗商品货物提供展示、交易等服务功能，配套建设配送仓库、综合仓库等相关设施。</w:t>
      </w:r>
    </w:p>
    <w:p>
      <w:pPr>
        <w:bidi w:val="0"/>
        <w:rPr>
          <w:rFonts w:hint="default"/>
          <w:b/>
          <w:bCs/>
          <w:color w:val="auto"/>
          <w:lang w:val="en-US" w:eastAsia="zh-CN"/>
        </w:rPr>
      </w:pPr>
      <w:r>
        <w:rPr>
          <w:rFonts w:hint="eastAsia"/>
          <w:b/>
          <w:bCs/>
          <w:color w:val="auto"/>
          <w:lang w:val="en-US" w:eastAsia="zh-CN"/>
        </w:rPr>
        <w:t>（2）</w:t>
      </w:r>
      <w:r>
        <w:rPr>
          <w:rFonts w:hint="default"/>
          <w:b/>
          <w:bCs/>
          <w:color w:val="auto"/>
          <w:lang w:val="en-US" w:eastAsia="zh-CN"/>
        </w:rPr>
        <w:t>应急物流区</w:t>
      </w:r>
    </w:p>
    <w:p>
      <w:pPr>
        <w:bidi w:val="0"/>
        <w:rPr>
          <w:rFonts w:hint="default"/>
          <w:color w:val="auto"/>
          <w:lang w:val="en-US" w:eastAsia="zh-CN"/>
        </w:rPr>
      </w:pPr>
      <w:r>
        <w:rPr>
          <w:rFonts w:hint="default"/>
          <w:color w:val="auto"/>
          <w:lang w:val="en-US" w:eastAsia="zh-CN"/>
        </w:rPr>
        <w:t>位于大宗商品交易区以南、紧邻松岗二路和桂湖路的区域，</w:t>
      </w:r>
      <w:r>
        <w:rPr>
          <w:rFonts w:hint="eastAsia"/>
          <w:color w:val="auto"/>
          <w:lang w:val="en-US" w:eastAsia="zh-CN"/>
        </w:rPr>
        <w:t>占地116亩，</w:t>
      </w:r>
      <w:r>
        <w:rPr>
          <w:rFonts w:hint="default"/>
          <w:color w:val="auto"/>
          <w:lang w:val="en-US" w:eastAsia="zh-CN"/>
        </w:rPr>
        <w:t>重点布局应急物资的仓储，配套建设应急办公等设施。</w:t>
      </w:r>
    </w:p>
    <w:p>
      <w:pPr>
        <w:bidi w:val="0"/>
        <w:rPr>
          <w:rFonts w:hint="default"/>
          <w:b/>
          <w:bCs/>
          <w:color w:val="auto"/>
          <w:lang w:val="en-US" w:eastAsia="zh-CN"/>
        </w:rPr>
      </w:pPr>
      <w:r>
        <w:rPr>
          <w:rFonts w:hint="eastAsia"/>
          <w:b/>
          <w:bCs/>
          <w:color w:val="auto"/>
          <w:lang w:val="en-US" w:eastAsia="zh-CN"/>
        </w:rPr>
        <w:t>（3）</w:t>
      </w:r>
      <w:r>
        <w:rPr>
          <w:rFonts w:hint="default"/>
          <w:b/>
          <w:bCs/>
          <w:color w:val="auto"/>
          <w:lang w:val="en-US" w:eastAsia="zh-CN"/>
        </w:rPr>
        <w:t>水运口岸与国际保税物流区</w:t>
      </w:r>
    </w:p>
    <w:p>
      <w:pPr>
        <w:bidi w:val="0"/>
        <w:rPr>
          <w:rFonts w:hint="default"/>
          <w:color w:val="auto"/>
          <w:lang w:val="en-US" w:eastAsia="zh-CN"/>
        </w:rPr>
      </w:pPr>
      <w:r>
        <w:rPr>
          <w:rFonts w:hint="default"/>
          <w:color w:val="auto"/>
          <w:lang w:val="en-US" w:eastAsia="zh-CN"/>
        </w:rPr>
        <w:t>位于松岗二路南侧靠东部区域，</w:t>
      </w:r>
      <w:r>
        <w:rPr>
          <w:rFonts w:hint="eastAsia"/>
          <w:color w:val="auto"/>
          <w:lang w:val="en-US" w:eastAsia="zh-CN"/>
        </w:rPr>
        <w:t>占地482亩，</w:t>
      </w:r>
      <w:r>
        <w:rPr>
          <w:rFonts w:hint="default"/>
          <w:color w:val="auto"/>
          <w:lang w:val="en-US" w:eastAsia="zh-CN"/>
        </w:rPr>
        <w:t>主要从事进出口货物及其他未办结海关手续货物存储</w:t>
      </w:r>
      <w:r>
        <w:rPr>
          <w:rFonts w:hint="eastAsia"/>
          <w:color w:val="auto"/>
          <w:lang w:val="en-US" w:eastAsia="zh-CN"/>
        </w:rPr>
        <w:t>，</w:t>
      </w:r>
      <w:r>
        <w:rPr>
          <w:rFonts w:hint="default"/>
          <w:color w:val="auto"/>
          <w:lang w:val="en-US" w:eastAsia="zh-CN"/>
        </w:rPr>
        <w:t>对所存货物开展流通性简单加工和增值服务、进出口贸易及转口贸易、国际采购、分销和配送、国际中转、检测、维修</w:t>
      </w:r>
      <w:r>
        <w:rPr>
          <w:rFonts w:hint="eastAsia"/>
          <w:color w:val="auto"/>
          <w:lang w:val="en-US" w:eastAsia="zh-CN"/>
        </w:rPr>
        <w:t>、</w:t>
      </w:r>
      <w:r>
        <w:rPr>
          <w:rFonts w:hint="default"/>
          <w:color w:val="auto"/>
          <w:lang w:val="en-US" w:eastAsia="zh-CN"/>
        </w:rPr>
        <w:t>商品展示等相关国际物流业务，并布设相应设施。</w:t>
      </w:r>
    </w:p>
    <w:p>
      <w:pPr>
        <w:bidi w:val="0"/>
        <w:rPr>
          <w:rFonts w:hint="default"/>
          <w:b/>
          <w:bCs/>
          <w:color w:val="auto"/>
          <w:lang w:val="en-US" w:eastAsia="zh-CN"/>
        </w:rPr>
      </w:pPr>
      <w:r>
        <w:rPr>
          <w:rFonts w:hint="eastAsia"/>
          <w:b/>
          <w:bCs/>
          <w:color w:val="auto"/>
          <w:lang w:val="en-US" w:eastAsia="zh-CN"/>
        </w:rPr>
        <w:t>（4）</w:t>
      </w:r>
      <w:r>
        <w:rPr>
          <w:rFonts w:hint="default"/>
          <w:b/>
          <w:bCs/>
          <w:color w:val="auto"/>
          <w:lang w:val="en-US" w:eastAsia="zh-CN"/>
        </w:rPr>
        <w:t>集装箱多式联运区</w:t>
      </w:r>
    </w:p>
    <w:p>
      <w:pPr>
        <w:bidi w:val="0"/>
        <w:rPr>
          <w:rFonts w:hint="default"/>
          <w:color w:val="auto"/>
          <w:lang w:val="en-US" w:eastAsia="zh-CN"/>
        </w:rPr>
      </w:pPr>
      <w:r>
        <w:rPr>
          <w:rFonts w:hint="default"/>
          <w:color w:val="auto"/>
          <w:lang w:val="en-US" w:eastAsia="zh-CN"/>
        </w:rPr>
        <w:t>位于沙湾路东侧临近港口作业区的区域，</w:t>
      </w:r>
      <w:r>
        <w:rPr>
          <w:rFonts w:hint="eastAsia"/>
          <w:color w:val="auto"/>
          <w:lang w:val="en-US" w:eastAsia="zh-CN"/>
        </w:rPr>
        <w:t>占地246亩，</w:t>
      </w:r>
      <w:r>
        <w:rPr>
          <w:rFonts w:hint="default"/>
          <w:color w:val="auto"/>
          <w:lang w:val="en-US" w:eastAsia="zh-CN"/>
        </w:rPr>
        <w:t>主要面向食品加工、纺织、生物医药等开展集装箱多式联运业务，布置集装箱堆场、集装箱处理区、集装箱流通加工区、辅助作业区和停车场，以及拆装箱库和洗修箱场地等</w:t>
      </w:r>
      <w:r>
        <w:rPr>
          <w:rFonts w:hint="eastAsia"/>
          <w:color w:val="auto"/>
          <w:lang w:val="en-US" w:eastAsia="zh-CN"/>
        </w:rPr>
        <w:t>功能</w:t>
      </w:r>
      <w:r>
        <w:rPr>
          <w:rFonts w:hint="default"/>
          <w:color w:val="auto"/>
          <w:lang w:val="en-US" w:eastAsia="zh-CN"/>
        </w:rPr>
        <w:t>设施。</w:t>
      </w:r>
    </w:p>
    <w:p>
      <w:pPr>
        <w:bidi w:val="0"/>
        <w:rPr>
          <w:rFonts w:hint="default"/>
          <w:b/>
          <w:bCs/>
          <w:color w:val="auto"/>
          <w:lang w:val="en-US" w:eastAsia="zh-CN"/>
        </w:rPr>
      </w:pPr>
      <w:r>
        <w:rPr>
          <w:rFonts w:hint="eastAsia"/>
          <w:b/>
          <w:bCs/>
          <w:color w:val="auto"/>
          <w:lang w:val="en-US" w:eastAsia="zh-CN"/>
        </w:rPr>
        <w:t>（5）</w:t>
      </w:r>
      <w:r>
        <w:rPr>
          <w:rFonts w:hint="default"/>
          <w:b/>
          <w:bCs/>
          <w:color w:val="auto"/>
          <w:lang w:val="en-US" w:eastAsia="zh-CN"/>
        </w:rPr>
        <w:t>仓储和分拨配送区</w:t>
      </w:r>
    </w:p>
    <w:p>
      <w:pPr>
        <w:bidi w:val="0"/>
        <w:rPr>
          <w:rFonts w:hint="default"/>
          <w:color w:val="auto"/>
          <w:lang w:val="en-US" w:eastAsia="zh-CN"/>
        </w:rPr>
      </w:pPr>
      <w:r>
        <w:rPr>
          <w:rFonts w:hint="default"/>
          <w:color w:val="auto"/>
          <w:lang w:val="en-US" w:eastAsia="zh-CN"/>
        </w:rPr>
        <w:t>位于白洋大道以南、沙湾路以东区域，</w:t>
      </w:r>
      <w:r>
        <w:rPr>
          <w:rFonts w:hint="eastAsia"/>
          <w:color w:val="auto"/>
          <w:lang w:val="en-US" w:eastAsia="zh-CN"/>
        </w:rPr>
        <w:t>占地317亩，</w:t>
      </w:r>
      <w:r>
        <w:rPr>
          <w:rFonts w:hint="default"/>
          <w:color w:val="auto"/>
          <w:lang w:val="en-US" w:eastAsia="zh-CN"/>
        </w:rPr>
        <w:t>主要布置件杂堆场、货物仓储、加工厂房、货物集散、配送、停车场等功能设施。</w:t>
      </w:r>
    </w:p>
    <w:p>
      <w:pPr>
        <w:bidi w:val="0"/>
        <w:rPr>
          <w:rFonts w:hint="default"/>
          <w:b/>
          <w:bCs/>
          <w:color w:val="auto"/>
          <w:lang w:val="en-US" w:eastAsia="zh-CN"/>
        </w:rPr>
      </w:pPr>
      <w:r>
        <w:rPr>
          <w:rFonts w:hint="eastAsia"/>
          <w:b/>
          <w:bCs/>
          <w:color w:val="auto"/>
          <w:lang w:val="en-US" w:eastAsia="zh-CN"/>
        </w:rPr>
        <w:t>（6）</w:t>
      </w:r>
      <w:r>
        <w:rPr>
          <w:rFonts w:hint="default"/>
          <w:b/>
          <w:bCs/>
          <w:color w:val="auto"/>
          <w:lang w:val="en-US" w:eastAsia="zh-CN"/>
        </w:rPr>
        <w:t>商品汽车分拨中心</w:t>
      </w:r>
    </w:p>
    <w:p>
      <w:pPr>
        <w:bidi w:val="0"/>
        <w:rPr>
          <w:rFonts w:hint="default"/>
          <w:color w:val="auto"/>
          <w:lang w:val="en-US" w:eastAsia="zh-CN"/>
        </w:rPr>
      </w:pPr>
      <w:r>
        <w:rPr>
          <w:rFonts w:hint="default"/>
          <w:color w:val="auto"/>
          <w:lang w:val="en-US" w:eastAsia="zh-CN"/>
        </w:rPr>
        <w:t>位于港区大道以南、紧邻港口作业区，</w:t>
      </w:r>
      <w:r>
        <w:rPr>
          <w:rFonts w:hint="eastAsia"/>
          <w:color w:val="auto"/>
          <w:lang w:val="en-US" w:eastAsia="zh-CN"/>
        </w:rPr>
        <w:t>占地182亩，</w:t>
      </w:r>
      <w:r>
        <w:rPr>
          <w:rFonts w:hint="default"/>
          <w:color w:val="auto"/>
          <w:lang w:val="en-US" w:eastAsia="zh-CN"/>
        </w:rPr>
        <w:t>重点布置商品汽车的装卸、分拨、中转、仓储等功能设施。</w:t>
      </w:r>
    </w:p>
    <w:p>
      <w:pPr>
        <w:bidi w:val="0"/>
        <w:rPr>
          <w:rFonts w:hint="default"/>
          <w:b/>
          <w:bCs/>
          <w:color w:val="auto"/>
          <w:lang w:val="en-US" w:eastAsia="zh-CN"/>
        </w:rPr>
      </w:pPr>
      <w:r>
        <w:rPr>
          <w:rFonts w:hint="eastAsia"/>
          <w:b/>
          <w:bCs/>
          <w:color w:val="auto"/>
          <w:lang w:val="en-US" w:eastAsia="zh-CN"/>
        </w:rPr>
        <w:t>（7）</w:t>
      </w:r>
      <w:r>
        <w:rPr>
          <w:rFonts w:hint="default"/>
          <w:b/>
          <w:bCs/>
          <w:color w:val="auto"/>
          <w:lang w:val="en-US" w:eastAsia="zh-CN"/>
        </w:rPr>
        <w:t>智能公路港</w:t>
      </w:r>
    </w:p>
    <w:p>
      <w:pPr>
        <w:bidi w:val="0"/>
        <w:rPr>
          <w:rFonts w:hint="default"/>
          <w:color w:val="auto"/>
          <w:lang w:val="en-US" w:eastAsia="zh-CN"/>
        </w:rPr>
      </w:pPr>
      <w:r>
        <w:rPr>
          <w:rFonts w:hint="default"/>
          <w:color w:val="auto"/>
          <w:lang w:val="en-US" w:eastAsia="zh-CN"/>
        </w:rPr>
        <w:t>位于白洋大道北侧区域，</w:t>
      </w:r>
      <w:r>
        <w:rPr>
          <w:rFonts w:hint="eastAsia"/>
          <w:color w:val="auto"/>
          <w:lang w:val="en-US" w:eastAsia="zh-CN"/>
        </w:rPr>
        <w:t>占地183亩，布置</w:t>
      </w:r>
      <w:r>
        <w:rPr>
          <w:rFonts w:hint="default"/>
          <w:color w:val="auto"/>
          <w:lang w:val="en-US" w:eastAsia="zh-CN"/>
        </w:rPr>
        <w:t>智能化货运集散中心，建设运输、仓储、转运、配送等物流功能设施，配套建设餐饮、住宿、加油加气、充电桩、汽车维修、停车场、汽车交易等设施。</w:t>
      </w:r>
    </w:p>
    <w:p>
      <w:pPr>
        <w:bidi w:val="0"/>
        <w:rPr>
          <w:rFonts w:hint="default"/>
          <w:b/>
          <w:bCs/>
          <w:color w:val="auto"/>
          <w:lang w:val="en-US" w:eastAsia="zh-CN"/>
        </w:rPr>
      </w:pPr>
      <w:r>
        <w:rPr>
          <w:rFonts w:hint="eastAsia"/>
          <w:b/>
          <w:bCs/>
          <w:color w:val="auto"/>
          <w:lang w:val="en-US" w:eastAsia="zh-CN"/>
        </w:rPr>
        <w:t>（8）</w:t>
      </w:r>
      <w:r>
        <w:rPr>
          <w:rFonts w:hint="default"/>
          <w:b/>
          <w:bCs/>
          <w:color w:val="auto"/>
          <w:lang w:val="en-US" w:eastAsia="zh-CN"/>
        </w:rPr>
        <w:t>航运交易与物流云运营中心</w:t>
      </w:r>
    </w:p>
    <w:p>
      <w:pPr>
        <w:bidi w:val="0"/>
        <w:rPr>
          <w:rFonts w:hint="default"/>
          <w:color w:val="auto"/>
          <w:lang w:val="en-US" w:eastAsia="zh-CN"/>
        </w:rPr>
      </w:pPr>
      <w:r>
        <w:rPr>
          <w:rFonts w:hint="default"/>
          <w:color w:val="auto"/>
          <w:lang w:val="en-US" w:eastAsia="zh-CN"/>
        </w:rPr>
        <w:t>位于白洋大道南侧中段，</w:t>
      </w:r>
      <w:r>
        <w:rPr>
          <w:rFonts w:hint="eastAsia"/>
          <w:color w:val="auto"/>
          <w:lang w:val="en-US" w:eastAsia="zh-CN"/>
        </w:rPr>
        <w:t>占地59亩，</w:t>
      </w:r>
      <w:r>
        <w:rPr>
          <w:rFonts w:hint="default"/>
          <w:color w:val="auto"/>
          <w:lang w:val="en-US" w:eastAsia="zh-CN"/>
        </w:rPr>
        <w:t>主要布置综合管理与物流信息中心、停车场及生活配套区。重点建设航运交易及物流信息大楼，并设置商务小车出入口，物流信息大楼设有大型地下停车场。</w:t>
      </w:r>
    </w:p>
    <w:p>
      <w:pPr>
        <w:bidi w:val="0"/>
        <w:rPr>
          <w:rFonts w:hint="default"/>
          <w:b/>
          <w:bCs/>
          <w:color w:val="auto"/>
          <w:lang w:val="en-US" w:eastAsia="zh-CN"/>
        </w:rPr>
      </w:pPr>
      <w:r>
        <w:rPr>
          <w:rFonts w:hint="eastAsia"/>
          <w:b/>
          <w:bCs/>
          <w:color w:val="auto"/>
          <w:lang w:val="en-US" w:eastAsia="zh-CN"/>
        </w:rPr>
        <w:t>（9）</w:t>
      </w:r>
      <w:r>
        <w:rPr>
          <w:rFonts w:hint="default"/>
          <w:b/>
          <w:bCs/>
          <w:color w:val="auto"/>
          <w:lang w:val="en-US" w:eastAsia="zh-CN"/>
        </w:rPr>
        <w:t>冷链物流区</w:t>
      </w:r>
    </w:p>
    <w:p>
      <w:pPr>
        <w:bidi w:val="0"/>
        <w:rPr>
          <w:rFonts w:hint="default"/>
          <w:color w:val="auto"/>
          <w:lang w:val="en-US" w:eastAsia="zh-CN"/>
        </w:rPr>
      </w:pPr>
      <w:r>
        <w:rPr>
          <w:rFonts w:hint="default"/>
          <w:color w:val="auto"/>
          <w:lang w:val="en-US" w:eastAsia="zh-CN"/>
        </w:rPr>
        <w:t>位于白洋大道中段以北区域，</w:t>
      </w:r>
      <w:r>
        <w:rPr>
          <w:rFonts w:hint="eastAsia"/>
          <w:color w:val="auto"/>
          <w:lang w:val="en-US" w:eastAsia="zh-CN"/>
        </w:rPr>
        <w:t>占地面积137亩，</w:t>
      </w:r>
      <w:r>
        <w:rPr>
          <w:rFonts w:hint="default"/>
          <w:color w:val="auto"/>
          <w:lang w:val="en-US" w:eastAsia="zh-CN"/>
        </w:rPr>
        <w:t>主要面向食品、生物医药等冷链业务。根据用地条件，在西部区域主要布置3座双层冷库，东部区域主要布置停车场和辅助区。</w:t>
      </w:r>
    </w:p>
    <w:p>
      <w:pPr>
        <w:bidi w:val="0"/>
        <w:rPr>
          <w:rFonts w:hint="default"/>
          <w:b/>
          <w:bCs/>
          <w:color w:val="auto"/>
          <w:lang w:val="en-US" w:eastAsia="zh-CN"/>
        </w:rPr>
      </w:pPr>
      <w:r>
        <w:rPr>
          <w:rFonts w:hint="eastAsia"/>
          <w:b/>
          <w:bCs/>
          <w:color w:val="auto"/>
          <w:lang w:val="en-US" w:eastAsia="zh-CN"/>
        </w:rPr>
        <w:t>（10）</w:t>
      </w:r>
      <w:r>
        <w:rPr>
          <w:rFonts w:hint="default"/>
          <w:b/>
          <w:bCs/>
          <w:color w:val="auto"/>
          <w:lang w:val="en-US" w:eastAsia="zh-CN"/>
        </w:rPr>
        <w:t>铁路多式联运区</w:t>
      </w:r>
    </w:p>
    <w:p>
      <w:pPr>
        <w:bidi w:val="0"/>
        <w:rPr>
          <w:rFonts w:hint="default"/>
          <w:color w:val="auto"/>
          <w:lang w:val="en-US" w:eastAsia="zh-CN"/>
        </w:rPr>
      </w:pPr>
      <w:r>
        <w:rPr>
          <w:rFonts w:hint="eastAsia"/>
          <w:color w:val="auto"/>
          <w:lang w:val="en-US" w:eastAsia="zh-CN"/>
        </w:rPr>
        <w:t>占地面积872亩，</w:t>
      </w:r>
      <w:r>
        <w:rPr>
          <w:rFonts w:hint="default"/>
          <w:color w:val="auto"/>
          <w:lang w:val="en-US" w:eastAsia="zh-CN"/>
        </w:rPr>
        <w:t>该功能区依托沙湾货场，集聚货物集散、仓储、配送、流通加工、多式联运等功能，开展仓储、流通加工、配送等物流服务</w:t>
      </w:r>
      <w:r>
        <w:rPr>
          <w:rFonts w:hint="eastAsia"/>
          <w:color w:val="auto"/>
          <w:lang w:val="en-US" w:eastAsia="zh-CN"/>
        </w:rPr>
        <w:t>，</w:t>
      </w:r>
      <w:r>
        <w:rPr>
          <w:rFonts w:hint="default"/>
          <w:color w:val="auto"/>
          <w:lang w:val="en-US" w:eastAsia="zh-CN"/>
        </w:rPr>
        <w:t>设6条货物装卸线，物流仓库1座。</w:t>
      </w:r>
    </w:p>
    <w:p>
      <w:pPr>
        <w:bidi w:val="0"/>
        <w:rPr>
          <w:rFonts w:hint="default"/>
          <w:b/>
          <w:bCs/>
          <w:color w:val="auto"/>
          <w:lang w:val="en-US" w:eastAsia="zh-CN"/>
        </w:rPr>
      </w:pPr>
      <w:r>
        <w:rPr>
          <w:rFonts w:hint="eastAsia"/>
          <w:b/>
          <w:bCs/>
          <w:color w:val="auto"/>
          <w:lang w:val="en-US" w:eastAsia="zh-CN"/>
        </w:rPr>
        <w:t>（11）</w:t>
      </w:r>
      <w:r>
        <w:rPr>
          <w:rFonts w:hint="default"/>
          <w:b/>
          <w:bCs/>
          <w:color w:val="auto"/>
          <w:lang w:val="en-US" w:eastAsia="zh-CN"/>
        </w:rPr>
        <w:t>发展预留区</w:t>
      </w:r>
    </w:p>
    <w:p>
      <w:pPr>
        <w:bidi w:val="0"/>
        <w:rPr>
          <w:rFonts w:hint="default"/>
          <w:color w:val="auto"/>
          <w:lang w:val="en-US" w:eastAsia="zh-CN"/>
        </w:rPr>
      </w:pPr>
      <w:r>
        <w:rPr>
          <w:rFonts w:hint="default"/>
          <w:color w:val="auto"/>
          <w:lang w:val="en-US" w:eastAsia="zh-CN"/>
        </w:rPr>
        <w:t>位于桂湖路以西、万福路以东区域，</w:t>
      </w:r>
      <w:r>
        <w:rPr>
          <w:rFonts w:hint="eastAsia"/>
          <w:color w:val="auto"/>
          <w:lang w:val="en-US" w:eastAsia="zh-CN"/>
        </w:rPr>
        <w:t>占地面积1100亩，</w:t>
      </w:r>
      <w:r>
        <w:rPr>
          <w:rFonts w:hint="default"/>
          <w:color w:val="auto"/>
          <w:lang w:val="en-US" w:eastAsia="zh-CN"/>
        </w:rPr>
        <w:t>北靠328国道，南临沙湾路，为白洋园区的功能拓展区域。</w:t>
      </w:r>
    </w:p>
    <w:p>
      <w:pPr>
        <w:pStyle w:val="27"/>
        <w:bidi w:val="0"/>
        <w:rPr>
          <w:color w:val="auto"/>
        </w:rPr>
      </w:pPr>
      <w:r>
        <w:rPr>
          <w:color w:val="auto"/>
        </w:rPr>
        <w:drawing>
          <wp:inline distT="0" distB="0" distL="114300" distR="114300">
            <wp:extent cx="5760085" cy="3541395"/>
            <wp:effectExtent l="9525" t="9525" r="21590" b="11430"/>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45"/>
                    <a:stretch>
                      <a:fillRect/>
                    </a:stretch>
                  </pic:blipFill>
                  <pic:spPr>
                    <a:xfrm>
                      <a:off x="0" y="0"/>
                      <a:ext cx="5760085" cy="3541395"/>
                    </a:xfrm>
                    <a:prstGeom prst="rect">
                      <a:avLst/>
                    </a:prstGeom>
                    <a:noFill/>
                    <a:ln>
                      <a:solidFill>
                        <a:schemeClr val="bg2">
                          <a:lumMod val="90000"/>
                        </a:schemeClr>
                      </a:solidFill>
                    </a:ln>
                  </pic:spPr>
                </pic:pic>
              </a:graphicData>
            </a:graphic>
          </wp:inline>
        </w:drawing>
      </w:r>
    </w:p>
    <w:p>
      <w:pPr>
        <w:pStyle w:val="7"/>
        <w:bidi w:val="0"/>
        <w:rPr>
          <w:rFonts w:hint="eastAsia"/>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4</w:t>
      </w:r>
      <w:r>
        <w:rPr>
          <w:color w:val="auto"/>
        </w:rPr>
        <w:fldChar w:fldCharType="end"/>
      </w:r>
      <w:r>
        <w:rPr>
          <w:rFonts w:hint="eastAsia"/>
          <w:color w:val="auto"/>
          <w:lang w:val="en-US" w:eastAsia="zh-CN"/>
        </w:rPr>
        <w:t xml:space="preserve"> 宜昌白洋港物流园功能布局图</w:t>
      </w:r>
    </w:p>
    <w:p>
      <w:pPr>
        <w:bidi w:val="0"/>
        <w:rPr>
          <w:rFonts w:hint="eastAsia"/>
          <w:b/>
          <w:bCs/>
          <w:color w:val="auto"/>
          <w:lang w:val="en-US" w:eastAsia="zh-CN"/>
        </w:rPr>
      </w:pPr>
      <w:r>
        <w:rPr>
          <w:rFonts w:hint="eastAsia"/>
          <w:b/>
          <w:bCs/>
          <w:color w:val="auto"/>
          <w:lang w:val="en-US" w:eastAsia="zh-CN"/>
        </w:rPr>
        <w:t>2.建设运营</w:t>
      </w:r>
    </w:p>
    <w:p>
      <w:pPr>
        <w:keepNext w:val="0"/>
        <w:keepLines w:val="0"/>
        <w:pageBreakBefore w:val="0"/>
        <w:widowControl/>
        <w:kinsoku/>
        <w:wordWrap/>
        <w:overflowPunct/>
        <w:topLinePunct w:val="0"/>
        <w:autoSpaceDE/>
        <w:autoSpaceDN/>
        <w:bidi w:val="0"/>
        <w:adjustRightInd/>
        <w:snapToGrid/>
        <w:spacing w:line="600" w:lineRule="exact"/>
        <w:ind w:firstLine="643" w:firstLineChars="200"/>
        <w:jc w:val="left"/>
        <w:textAlignment w:val="auto"/>
        <w:rPr>
          <w:rFonts w:hint="default" w:ascii="仿宋_GB2312" w:hAnsi="仿宋_GB2312" w:eastAsia="仿宋_GB2312" w:cs="仿宋_GB2312"/>
          <w:b/>
          <w:bCs/>
          <w:color w:val="auto"/>
          <w:sz w:val="32"/>
          <w:szCs w:val="32"/>
          <w:lang w:val="en-US" w:eastAsia="zh-CN"/>
        </w:rPr>
      </w:pPr>
      <w:r>
        <w:rPr>
          <w:rFonts w:hint="eastAsia" w:ascii="仿宋_GB2312" w:hAnsi="仿宋_GB2312" w:cs="仿宋_GB2312"/>
          <w:b/>
          <w:bCs/>
          <w:color w:val="auto"/>
          <w:sz w:val="32"/>
          <w:szCs w:val="32"/>
          <w:lang w:val="en-US" w:eastAsia="zh-CN"/>
        </w:rPr>
        <w:t>（1）开发建设模式</w:t>
      </w:r>
    </w:p>
    <w:p>
      <w:pPr>
        <w:keepNext w:val="0"/>
        <w:keepLines w:val="0"/>
        <w:pageBreakBefore w:val="0"/>
        <w:widowControl/>
        <w:kinsoku/>
        <w:wordWrap/>
        <w:overflowPunct/>
        <w:topLinePunct w:val="0"/>
        <w:autoSpaceDE/>
        <w:autoSpaceDN/>
        <w:bidi w:val="0"/>
        <w:adjustRightInd/>
        <w:snapToGrid/>
        <w:spacing w:line="600" w:lineRule="exact"/>
        <w:ind w:firstLine="640" w:firstLineChars="200"/>
        <w:jc w:val="left"/>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白洋港</w:t>
      </w:r>
      <w:r>
        <w:rPr>
          <w:rFonts w:hint="eastAsia" w:ascii="仿宋_GB2312" w:hAnsi="仿宋_GB2312" w:cs="仿宋_GB2312"/>
          <w:color w:val="auto"/>
          <w:sz w:val="32"/>
          <w:szCs w:val="32"/>
          <w:lang w:val="en-US" w:eastAsia="zh-CN"/>
        </w:rPr>
        <w:t>开发模式为政府主导型模式，白洋港由白洋港区和白洋港物流园区组成。其中，白洋港区由宜昌市交通投资建设管理有限公司开发建设，由宜昌上港公司租赁经营白洋港区，宜昌上港公司的控股公司之一城发集团将其经营权委托给湖北省港口集团有限公司，</w:t>
      </w:r>
      <w:r>
        <w:rPr>
          <w:rFonts w:hint="eastAsia" w:ascii="仿宋_GB2312" w:hAnsi="仿宋_GB2312" w:eastAsia="仿宋_GB2312" w:cs="仿宋_GB2312"/>
          <w:color w:val="auto"/>
          <w:sz w:val="32"/>
          <w:szCs w:val="32"/>
          <w:lang w:val="en-US" w:eastAsia="zh-CN"/>
        </w:rPr>
        <w:t>湖北</w:t>
      </w:r>
      <w:r>
        <w:rPr>
          <w:rFonts w:hint="eastAsia" w:ascii="仿宋_GB2312" w:hAnsi="仿宋_GB2312" w:cs="仿宋_GB2312"/>
          <w:color w:val="auto"/>
          <w:sz w:val="32"/>
          <w:szCs w:val="32"/>
          <w:lang w:val="en-US" w:eastAsia="zh-CN"/>
        </w:rPr>
        <w:t>省</w:t>
      </w:r>
      <w:r>
        <w:rPr>
          <w:rFonts w:hint="eastAsia" w:ascii="仿宋_GB2312" w:hAnsi="仿宋_GB2312" w:eastAsia="仿宋_GB2312" w:cs="仿宋_GB2312"/>
          <w:color w:val="auto"/>
          <w:sz w:val="32"/>
          <w:szCs w:val="32"/>
          <w:lang w:val="en-US" w:eastAsia="zh-CN"/>
        </w:rPr>
        <w:t>港口集团</w:t>
      </w:r>
      <w:r>
        <w:rPr>
          <w:rFonts w:hint="eastAsia" w:ascii="仿宋_GB2312" w:hAnsi="仿宋_GB2312" w:cs="仿宋_GB2312"/>
          <w:color w:val="auto"/>
          <w:sz w:val="32"/>
          <w:szCs w:val="32"/>
          <w:lang w:val="en-US" w:eastAsia="zh-CN"/>
        </w:rPr>
        <w:t>有限公司</w:t>
      </w:r>
      <w:r>
        <w:rPr>
          <w:rFonts w:hint="eastAsia" w:ascii="仿宋_GB2312" w:hAnsi="仿宋_GB2312" w:eastAsia="仿宋_GB2312" w:cs="仿宋_GB2312"/>
          <w:color w:val="auto"/>
          <w:sz w:val="32"/>
          <w:szCs w:val="32"/>
          <w:lang w:val="en-US" w:eastAsia="zh-CN"/>
        </w:rPr>
        <w:t>下属宜昌港务集团</w:t>
      </w:r>
      <w:r>
        <w:rPr>
          <w:rFonts w:hint="eastAsia" w:ascii="仿宋_GB2312" w:hAnsi="仿宋_GB2312" w:cs="仿宋_GB2312"/>
          <w:color w:val="auto"/>
          <w:sz w:val="32"/>
          <w:szCs w:val="32"/>
          <w:lang w:val="en-US" w:eastAsia="zh-CN"/>
        </w:rPr>
        <w:t>则</w:t>
      </w:r>
      <w:r>
        <w:rPr>
          <w:rFonts w:hint="eastAsia" w:ascii="仿宋_GB2312" w:hAnsi="仿宋_GB2312" w:eastAsia="仿宋_GB2312" w:cs="仿宋_GB2312"/>
          <w:color w:val="auto"/>
          <w:sz w:val="32"/>
          <w:szCs w:val="32"/>
          <w:lang w:val="en-US" w:eastAsia="zh-CN"/>
        </w:rPr>
        <w:t>受托经营</w:t>
      </w:r>
      <w:r>
        <w:rPr>
          <w:rFonts w:hint="eastAsia" w:ascii="仿宋_GB2312" w:hAnsi="仿宋_GB2312" w:cs="仿宋_GB2312"/>
          <w:color w:val="auto"/>
          <w:sz w:val="32"/>
          <w:szCs w:val="32"/>
          <w:lang w:val="en-US" w:eastAsia="zh-CN"/>
        </w:rPr>
        <w:t>宜昌上港</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白洋港物流园区则按照建设运营一体化模式发展，由宜昌市城发集团统一建设和运营，其中经营权委托给下属三峡物流集团，</w:t>
      </w:r>
      <w:r>
        <w:rPr>
          <w:rFonts w:hint="eastAsia" w:ascii="仿宋_GB2312" w:hAnsi="仿宋_GB2312" w:eastAsia="仿宋_GB2312" w:cs="仿宋_GB2312"/>
          <w:color w:val="auto"/>
          <w:sz w:val="32"/>
          <w:szCs w:val="32"/>
          <w:lang w:val="en-US" w:eastAsia="zh-CN"/>
        </w:rPr>
        <w:t>并专门成立白洋物流园公司管理。但由于“前港”经营主体和“后园”经营主体不统一，在货源和运输组织方面协作能力较差，影响公水、铁水等多式联运发展。</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auto"/>
        </w:rPr>
      </w:pPr>
      <w:r>
        <w:rPr>
          <w:color w:val="auto"/>
        </w:rPr>
        <w:drawing>
          <wp:inline distT="0" distB="0" distL="114300" distR="114300">
            <wp:extent cx="5760085" cy="4815840"/>
            <wp:effectExtent l="9525" t="9525" r="21590" b="1333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46"/>
                    <a:srcRect t="3053" b="3213"/>
                    <a:stretch>
                      <a:fillRect/>
                    </a:stretch>
                  </pic:blipFill>
                  <pic:spPr>
                    <a:xfrm>
                      <a:off x="0" y="0"/>
                      <a:ext cx="5760085" cy="4815840"/>
                    </a:xfrm>
                    <a:prstGeom prst="rect">
                      <a:avLst/>
                    </a:prstGeom>
                    <a:noFill/>
                    <a:ln>
                      <a:solidFill>
                        <a:schemeClr val="bg2">
                          <a:lumMod val="90000"/>
                        </a:schemeClr>
                      </a:solidFill>
                    </a:ln>
                  </pic:spPr>
                </pic:pic>
              </a:graphicData>
            </a:graphic>
          </wp:inline>
        </w:drawing>
      </w:r>
    </w:p>
    <w:p>
      <w:pPr>
        <w:pStyle w:val="7"/>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5</w:t>
      </w:r>
      <w:r>
        <w:rPr>
          <w:color w:val="auto"/>
        </w:rPr>
        <w:fldChar w:fldCharType="end"/>
      </w:r>
      <w:r>
        <w:rPr>
          <w:rFonts w:hint="eastAsia"/>
          <w:color w:val="auto"/>
          <w:lang w:val="en-US" w:eastAsia="zh-CN"/>
        </w:rPr>
        <w:t xml:space="preserve"> 宜昌白洋港一期建设运营主体构成</w:t>
      </w:r>
    </w:p>
    <w:p>
      <w:pPr>
        <w:rPr>
          <w:rFonts w:hint="default"/>
          <w:b/>
          <w:bCs/>
          <w:color w:val="auto"/>
          <w:lang w:val="en-US" w:eastAsia="zh-CN"/>
        </w:rPr>
      </w:pPr>
      <w:r>
        <w:rPr>
          <w:rFonts w:hint="eastAsia"/>
          <w:b/>
          <w:bCs/>
          <w:color w:val="auto"/>
          <w:lang w:val="en-US" w:eastAsia="zh-CN"/>
        </w:rPr>
        <w:t>（2）运营组织模式</w:t>
      </w:r>
    </w:p>
    <w:p>
      <w:pPr>
        <w:spacing w:line="560" w:lineRule="exact"/>
        <w:ind w:firstLine="640" w:firstLineChars="200"/>
        <w:rPr>
          <w:rFonts w:hint="default"/>
          <w:b w:val="0"/>
          <w:bCs w:val="0"/>
          <w:color w:val="auto"/>
          <w:sz w:val="32"/>
          <w:szCs w:val="32"/>
          <w:lang w:val="en-US" w:eastAsia="zh-CN"/>
        </w:rPr>
      </w:pPr>
      <w:r>
        <w:rPr>
          <w:rFonts w:hint="eastAsia" w:ascii="仿宋_GB2312" w:hAnsi="仿宋_GB2312" w:cs="仿宋_GB2312"/>
          <w:color w:val="auto"/>
          <w:sz w:val="32"/>
          <w:szCs w:val="32"/>
          <w:lang w:val="en-US" w:eastAsia="zh-CN"/>
        </w:rPr>
        <w:t>宜昌市枢纽的运营注重“多港联动”，统筹全市港口作业区布局，形成了以白洋港为集装箱作业母港，云池港、宜都港、枝城港为辅港的港口布局</w:t>
      </w:r>
      <w:r>
        <w:rPr>
          <w:rFonts w:hint="eastAsia" w:ascii="仿宋_GB2312" w:hAnsi="仿宋_GB2312" w:eastAsia="仿宋_GB2312" w:cs="仿宋_GB2312"/>
          <w:color w:val="auto"/>
          <w:sz w:val="32"/>
          <w:szCs w:val="32"/>
          <w:lang w:val="en-US" w:eastAsia="zh-CN"/>
        </w:rPr>
        <w:t>。围绕长江干线港口联动发展，以服务外贸进出口为主开行宜昌—武汉、宜昌—上海（太仓）、宜昌—岳阳等集装箱始发班轮航线，开行宜昌—宜宾集装箱始发班轮航线，实现煤炭、化肥等产品入川、乐山磷矿出川入鄂。围绕三峡区域港口协同发展，构建以白洋港为核心的集装箱运输体系，开辟三峡地区港口至白洋港集装箱钟摆航线</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串联下游的姚家港、荆州车阳河港，以及上游的枝城港、红花套港</w:t>
      </w:r>
      <w:r>
        <w:rPr>
          <w:rFonts w:hint="eastAsia" w:ascii="仿宋_GB2312" w:hAnsi="仿宋_GB2312" w:cs="仿宋_GB2312"/>
          <w:color w:val="auto"/>
          <w:sz w:val="32"/>
          <w:szCs w:val="32"/>
          <w:lang w:val="en-US" w:eastAsia="zh-CN"/>
        </w:rPr>
        <w:t>，以政府和港口运营企业共同补贴的形式减免集装箱周边港区至白洋港水上短驳中转费用，推动宜昌港集装箱作业功能区集中发展、各港口作业区差异化发展。</w:t>
      </w:r>
    </w:p>
    <w:p>
      <w:pPr>
        <w:spacing w:line="240" w:lineRule="auto"/>
        <w:ind w:firstLine="0" w:firstLineChars="0"/>
        <w:jc w:val="center"/>
        <w:rPr>
          <w:rFonts w:hint="eastAsia" w:ascii="Times New Roman" w:hAnsi="Times New Roman" w:eastAsia="仿宋_GB2312"/>
          <w:b w:val="0"/>
          <w:bCs w:val="0"/>
          <w:color w:val="auto"/>
          <w:sz w:val="32"/>
          <w:szCs w:val="32"/>
          <w:lang w:val="en-US" w:eastAsia="zh-CN"/>
        </w:rPr>
      </w:pPr>
      <w:r>
        <w:rPr>
          <w:color w:val="auto"/>
        </w:rPr>
        <w:drawing>
          <wp:inline distT="0" distB="0" distL="114300" distR="114300">
            <wp:extent cx="5760085" cy="4127500"/>
            <wp:effectExtent l="0" t="0" r="12065" b="635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47"/>
                    <a:srcRect l="10816" t="6769" r="11202" b="1776"/>
                    <a:stretch>
                      <a:fillRect/>
                    </a:stretch>
                  </pic:blipFill>
                  <pic:spPr>
                    <a:xfrm>
                      <a:off x="0" y="0"/>
                      <a:ext cx="5760085" cy="4127500"/>
                    </a:xfrm>
                    <a:prstGeom prst="rect">
                      <a:avLst/>
                    </a:prstGeom>
                    <a:noFill/>
                    <a:ln>
                      <a:noFill/>
                    </a:ln>
                  </pic:spPr>
                </pic:pic>
              </a:graphicData>
            </a:graphic>
          </wp:inline>
        </w:drawing>
      </w:r>
    </w:p>
    <w:p>
      <w:pPr>
        <w:pStyle w:val="7"/>
        <w:spacing w:line="240" w:lineRule="auto"/>
        <w:ind w:firstLine="0" w:firstLineChars="0"/>
        <w:rPr>
          <w:rFonts w:hint="eastAsia" w:ascii="Times New Roman" w:hAnsi="Times New Roman" w:eastAsia="楷体"/>
          <w:b w:val="0"/>
          <w:bCs w:val="0"/>
          <w:color w:val="auto"/>
          <w:sz w:val="32"/>
          <w:szCs w:val="32"/>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6</w:t>
      </w:r>
      <w:r>
        <w:rPr>
          <w:color w:val="auto"/>
        </w:rPr>
        <w:fldChar w:fldCharType="end"/>
      </w:r>
      <w:r>
        <w:rPr>
          <w:rFonts w:hint="eastAsia"/>
          <w:color w:val="auto"/>
          <w:lang w:val="en-US" w:eastAsia="zh-CN"/>
        </w:rPr>
        <w:t xml:space="preserve"> 宜昌市内港口集装箱钟摆航线</w:t>
      </w:r>
    </w:p>
    <w:p>
      <w:pPr>
        <w:pStyle w:val="5"/>
        <w:bidi w:val="0"/>
        <w:rPr>
          <w:rFonts w:hint="eastAsia"/>
          <w:color w:val="auto"/>
          <w:lang w:val="en-US" w:eastAsia="zh-CN"/>
        </w:rPr>
      </w:pPr>
      <w:r>
        <w:rPr>
          <w:rFonts w:hint="eastAsia" w:ascii="Times New Roman" w:hAnsi="Times New Roman" w:eastAsia="仿宋_GB2312"/>
          <w:color w:val="auto"/>
          <w:sz w:val="32"/>
          <w:szCs w:val="32"/>
          <w:lang w:val="en-US" w:eastAsia="zh-CN"/>
        </w:rPr>
        <w:t>扬州</w:t>
      </w:r>
      <w:r>
        <w:rPr>
          <w:rFonts w:hint="eastAsia"/>
          <w:color w:val="auto"/>
          <w:sz w:val="32"/>
          <w:szCs w:val="32"/>
          <w:lang w:val="en-US" w:eastAsia="zh-CN"/>
        </w:rPr>
        <w:t>六圩港口物流园</w:t>
      </w:r>
    </w:p>
    <w:p>
      <w:pPr>
        <w:keepNext w:val="0"/>
        <w:keepLines w:val="0"/>
        <w:widowControl/>
        <w:suppressLineNumbers w:val="0"/>
        <w:jc w:val="left"/>
        <w:rPr>
          <w:color w:val="auto"/>
        </w:rPr>
      </w:pPr>
      <w:r>
        <w:rPr>
          <w:rFonts w:hint="eastAsia" w:ascii="Times New Roman" w:hAnsi="Times New Roman" w:eastAsia="仿宋_GB2312"/>
          <w:color w:val="auto"/>
          <w:sz w:val="32"/>
          <w:szCs w:val="32"/>
          <w:lang w:val="en-US" w:eastAsia="zh-CN"/>
        </w:rPr>
        <w:t>扬州</w:t>
      </w:r>
      <w:r>
        <w:rPr>
          <w:rFonts w:hint="eastAsia"/>
          <w:color w:val="auto"/>
          <w:sz w:val="32"/>
          <w:szCs w:val="32"/>
          <w:lang w:val="en-US" w:eastAsia="zh-CN"/>
        </w:rPr>
        <w:t>六圩港口物流园位于长江与京杭大运河交汇处，规划占地面积约10平方公里，以提供集装箱运输为主，兼顾件杂货和散货运输，重点打造江淮区域集装箱枢纽港，发展海江河联运、公水联运，主要为扬州市及周边腹地经济发展和临港工业发展服务。</w:t>
      </w:r>
    </w:p>
    <w:p>
      <w:pPr>
        <w:pStyle w:val="27"/>
        <w:bidi w:val="0"/>
        <w:rPr>
          <w:rFonts w:hint="default"/>
          <w:color w:val="auto"/>
          <w:lang w:val="en-US" w:eastAsia="zh-CN"/>
        </w:rPr>
      </w:pPr>
      <w:r>
        <w:rPr>
          <w:rFonts w:hint="default"/>
          <w:color w:val="auto"/>
          <w:lang w:val="en-US" w:eastAsia="zh-CN"/>
        </w:rPr>
        <w:drawing>
          <wp:inline distT="0" distB="0" distL="114300" distR="114300">
            <wp:extent cx="5760085" cy="3811905"/>
            <wp:effectExtent l="0" t="0" r="0" b="0"/>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
                    <pic:cNvPicPr>
                      <a:picLocks noChangeAspect="1"/>
                    </pic:cNvPicPr>
                  </pic:nvPicPr>
                  <pic:blipFill>
                    <a:blip r:embed="rId48"/>
                    <a:srcRect l="4003" t="12369" r="4787" b="7153"/>
                    <a:stretch>
                      <a:fillRect/>
                    </a:stretch>
                  </pic:blipFill>
                  <pic:spPr>
                    <a:xfrm>
                      <a:off x="0" y="0"/>
                      <a:ext cx="5760085" cy="3811905"/>
                    </a:xfrm>
                    <a:prstGeom prst="rect">
                      <a:avLst/>
                    </a:prstGeom>
                  </pic:spPr>
                </pic:pic>
              </a:graphicData>
            </a:graphic>
          </wp:inline>
        </w:drawing>
      </w:r>
    </w:p>
    <w:p>
      <w:pPr>
        <w:pStyle w:val="7"/>
        <w:bidi w:val="0"/>
        <w:rPr>
          <w:rFonts w:hint="eastAsia"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7</w:t>
      </w:r>
      <w:r>
        <w:rPr>
          <w:color w:val="auto"/>
        </w:rPr>
        <w:fldChar w:fldCharType="end"/>
      </w:r>
      <w:r>
        <w:rPr>
          <w:rFonts w:hint="eastAsia"/>
          <w:color w:val="auto"/>
          <w:lang w:val="en-US" w:eastAsia="zh-CN"/>
        </w:rPr>
        <w:t xml:space="preserve"> </w:t>
      </w:r>
      <w:r>
        <w:rPr>
          <w:rFonts w:hint="eastAsia" w:ascii="Times New Roman" w:hAnsi="Times New Roman"/>
          <w:color w:val="auto"/>
          <w:sz w:val="32"/>
          <w:szCs w:val="32"/>
          <w:lang w:val="en-US" w:eastAsia="zh-CN"/>
        </w:rPr>
        <w:t>扬州六圩</w:t>
      </w:r>
      <w:r>
        <w:rPr>
          <w:rFonts w:hint="eastAsia"/>
          <w:color w:val="auto"/>
          <w:sz w:val="32"/>
          <w:szCs w:val="32"/>
          <w:lang w:val="en-US" w:eastAsia="zh-CN"/>
        </w:rPr>
        <w:t>港口物流园</w:t>
      </w:r>
    </w:p>
    <w:p>
      <w:pPr>
        <w:bidi w:val="0"/>
        <w:rPr>
          <w:rFonts w:hint="default"/>
          <w:b/>
          <w:bCs/>
          <w:color w:val="auto"/>
          <w:lang w:val="en-US" w:eastAsia="zh-CN"/>
        </w:rPr>
      </w:pPr>
      <w:r>
        <w:rPr>
          <w:rFonts w:hint="eastAsia"/>
          <w:b/>
          <w:bCs/>
          <w:color w:val="auto"/>
          <w:lang w:val="en-US" w:eastAsia="zh-CN"/>
        </w:rPr>
        <w:t>1.规划功能布局</w:t>
      </w:r>
    </w:p>
    <w:p>
      <w:pPr>
        <w:spacing w:line="600" w:lineRule="exact"/>
        <w:ind w:firstLine="640" w:firstLineChars="200"/>
        <w:rPr>
          <w:rFonts w:hint="default"/>
          <w:color w:val="auto"/>
          <w:sz w:val="32"/>
          <w:szCs w:val="32"/>
          <w:lang w:val="en-US" w:eastAsia="zh-CN"/>
        </w:rPr>
      </w:pPr>
      <w:r>
        <w:rPr>
          <w:rFonts w:hint="eastAsia"/>
          <w:color w:val="auto"/>
          <w:sz w:val="32"/>
          <w:szCs w:val="32"/>
          <w:lang w:val="en-US" w:eastAsia="zh-CN"/>
        </w:rPr>
        <w:t>六圩港口物流园总体按照“前港中仓后园”的理念进行统筹规划，前方布局港口作业区，中间规划布局大件仓储物流区、煤炭仓储物流区、件散货仓储物流区、粮食仓储物流区、集装箱仓储物流区、公路仓储物流区、钢材运贸区、综合保税物流区等8大功能区，且在功能区周边布局有各类适水运输生产园区。同时，为了适应未来物流发展需求，在港口后方超前预留一定物流发展用地。</w:t>
      </w:r>
    </w:p>
    <w:p>
      <w:pPr>
        <w:spacing w:line="600" w:lineRule="exact"/>
        <w:ind w:firstLine="643" w:firstLineChars="200"/>
        <w:rPr>
          <w:rFonts w:hint="default"/>
          <w:b/>
          <w:bCs/>
          <w:color w:val="auto"/>
          <w:sz w:val="32"/>
          <w:szCs w:val="32"/>
          <w:lang w:val="en-US" w:eastAsia="zh-CN"/>
        </w:rPr>
      </w:pPr>
      <w:r>
        <w:rPr>
          <w:rFonts w:hint="eastAsia"/>
          <w:b/>
          <w:bCs/>
          <w:color w:val="auto"/>
          <w:sz w:val="32"/>
          <w:szCs w:val="32"/>
          <w:lang w:val="en-US" w:eastAsia="zh-CN"/>
        </w:rPr>
        <w:t>（1）大件仓储物流区</w:t>
      </w:r>
    </w:p>
    <w:p>
      <w:pPr>
        <w:spacing w:line="600" w:lineRule="exact"/>
        <w:ind w:firstLine="640" w:firstLineChars="200"/>
        <w:rPr>
          <w:rFonts w:hint="default"/>
          <w:color w:val="auto"/>
          <w:lang w:val="en-US" w:eastAsia="zh-CN"/>
        </w:rPr>
      </w:pPr>
      <w:r>
        <w:rPr>
          <w:rFonts w:hint="default"/>
          <w:color w:val="auto"/>
          <w:lang w:val="en-US" w:eastAsia="zh-CN"/>
        </w:rPr>
        <w:t>位于</w:t>
      </w:r>
      <w:r>
        <w:rPr>
          <w:rFonts w:hint="eastAsia"/>
          <w:color w:val="auto"/>
          <w:lang w:val="en-US" w:eastAsia="zh-CN"/>
        </w:rPr>
        <w:t>扬子江南路西侧，占地580亩，</w:t>
      </w:r>
      <w:r>
        <w:rPr>
          <w:rFonts w:hint="default"/>
          <w:color w:val="auto"/>
          <w:lang w:val="en-US" w:eastAsia="zh-CN"/>
        </w:rPr>
        <w:t>重点布局设置</w:t>
      </w:r>
      <w:r>
        <w:rPr>
          <w:rFonts w:hint="eastAsia"/>
          <w:color w:val="auto"/>
          <w:lang w:val="en-US" w:eastAsia="zh-CN"/>
        </w:rPr>
        <w:t>风电装备</w:t>
      </w:r>
      <w:r>
        <w:rPr>
          <w:rFonts w:hint="default"/>
          <w:color w:val="auto"/>
          <w:lang w:val="en-US" w:eastAsia="zh-CN"/>
        </w:rPr>
        <w:t>的装卸、分拨、中转、仓储等功能设施</w:t>
      </w:r>
      <w:r>
        <w:rPr>
          <w:rFonts w:hint="eastAsia"/>
          <w:color w:val="auto"/>
          <w:lang w:val="en-US" w:eastAsia="zh-CN"/>
        </w:rPr>
        <w:t>，主要服务北侧</w:t>
      </w:r>
      <w:r>
        <w:rPr>
          <w:rFonts w:hint="default"/>
          <w:color w:val="auto"/>
          <w:lang w:val="en-US" w:eastAsia="zh-CN"/>
        </w:rPr>
        <w:t>扬州泰胜风能装备有限公司</w:t>
      </w:r>
      <w:r>
        <w:rPr>
          <w:rFonts w:hint="eastAsia"/>
          <w:color w:val="auto"/>
          <w:lang w:val="en-US" w:eastAsia="zh-CN"/>
        </w:rPr>
        <w:t>等企业。</w:t>
      </w:r>
    </w:p>
    <w:p>
      <w:pPr>
        <w:keepNext/>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default"/>
          <w:b/>
          <w:bCs/>
          <w:color w:val="auto"/>
          <w:sz w:val="32"/>
          <w:szCs w:val="32"/>
          <w:lang w:val="en-US" w:eastAsia="zh-CN"/>
        </w:rPr>
      </w:pPr>
      <w:r>
        <w:rPr>
          <w:rFonts w:hint="eastAsia"/>
          <w:b/>
          <w:bCs/>
          <w:color w:val="auto"/>
          <w:sz w:val="32"/>
          <w:szCs w:val="32"/>
          <w:lang w:val="en-US" w:eastAsia="zh-CN"/>
        </w:rPr>
        <w:t>（2）煤炭仓储物流区</w:t>
      </w:r>
    </w:p>
    <w:p>
      <w:pPr>
        <w:spacing w:line="600" w:lineRule="exact"/>
        <w:ind w:firstLine="640" w:firstLineChars="200"/>
        <w:rPr>
          <w:rFonts w:hint="eastAsia"/>
          <w:color w:val="auto"/>
          <w:lang w:val="en-US" w:eastAsia="zh-CN"/>
        </w:rPr>
      </w:pPr>
      <w:r>
        <w:rPr>
          <w:rFonts w:hint="default"/>
          <w:color w:val="auto"/>
          <w:lang w:val="en-US" w:eastAsia="zh-CN"/>
        </w:rPr>
        <w:t>位于</w:t>
      </w:r>
      <w:r>
        <w:rPr>
          <w:rFonts w:hint="eastAsia"/>
          <w:color w:val="auto"/>
          <w:lang w:val="en-US" w:eastAsia="zh-CN"/>
        </w:rPr>
        <w:t>滨江路南侧，占地330亩，</w:t>
      </w:r>
      <w:r>
        <w:rPr>
          <w:rFonts w:hint="default"/>
          <w:color w:val="auto"/>
          <w:lang w:val="en-US" w:eastAsia="zh-CN"/>
        </w:rPr>
        <w:t>重点布局设置</w:t>
      </w:r>
      <w:r>
        <w:rPr>
          <w:rFonts w:hint="eastAsia"/>
          <w:color w:val="auto"/>
          <w:lang w:val="en-US" w:eastAsia="zh-CN"/>
        </w:rPr>
        <w:t>煤炭的</w:t>
      </w:r>
      <w:r>
        <w:rPr>
          <w:rFonts w:hint="default"/>
          <w:color w:val="auto"/>
          <w:lang w:val="en-US" w:eastAsia="zh-CN"/>
        </w:rPr>
        <w:t>装卸、分拨、中转、仓储等功能设施</w:t>
      </w:r>
      <w:r>
        <w:rPr>
          <w:rFonts w:hint="eastAsia"/>
          <w:color w:val="auto"/>
          <w:lang w:val="en-US" w:eastAsia="zh-CN"/>
        </w:rPr>
        <w:t>，主要服务</w:t>
      </w:r>
      <w:r>
        <w:rPr>
          <w:rFonts w:hint="default"/>
          <w:color w:val="auto"/>
          <w:lang w:val="en-US" w:eastAsia="zh-CN"/>
        </w:rPr>
        <w:t>扬州</w:t>
      </w:r>
      <w:r>
        <w:rPr>
          <w:rFonts w:hint="eastAsia"/>
          <w:color w:val="auto"/>
          <w:lang w:val="en-US" w:eastAsia="zh-CN"/>
        </w:rPr>
        <w:t>第二发电</w:t>
      </w:r>
      <w:r>
        <w:rPr>
          <w:rFonts w:hint="default"/>
          <w:color w:val="auto"/>
          <w:lang w:val="en-US" w:eastAsia="zh-CN"/>
        </w:rPr>
        <w:t>公司</w:t>
      </w:r>
      <w:r>
        <w:rPr>
          <w:rFonts w:hint="eastAsia"/>
          <w:color w:val="auto"/>
          <w:lang w:val="en-US" w:eastAsia="zh-CN"/>
        </w:rPr>
        <w:t>等。</w:t>
      </w:r>
    </w:p>
    <w:p>
      <w:pPr>
        <w:spacing w:line="600" w:lineRule="exact"/>
        <w:ind w:firstLine="643" w:firstLineChars="200"/>
        <w:rPr>
          <w:rFonts w:hint="default"/>
          <w:b/>
          <w:bCs/>
          <w:color w:val="auto"/>
          <w:sz w:val="32"/>
          <w:szCs w:val="32"/>
          <w:lang w:val="en-US" w:eastAsia="zh-CN"/>
        </w:rPr>
      </w:pPr>
      <w:r>
        <w:rPr>
          <w:rFonts w:hint="eastAsia"/>
          <w:b/>
          <w:bCs/>
          <w:color w:val="auto"/>
          <w:sz w:val="32"/>
          <w:szCs w:val="32"/>
          <w:lang w:val="en-US" w:eastAsia="zh-CN"/>
        </w:rPr>
        <w:t>（3）件散货仓储物流区</w:t>
      </w:r>
    </w:p>
    <w:p>
      <w:pPr>
        <w:spacing w:line="600" w:lineRule="exact"/>
        <w:ind w:firstLine="640" w:firstLineChars="200"/>
        <w:rPr>
          <w:rFonts w:hint="eastAsia"/>
          <w:color w:val="auto"/>
          <w:lang w:val="en-US" w:eastAsia="zh-CN"/>
        </w:rPr>
      </w:pPr>
      <w:r>
        <w:rPr>
          <w:rFonts w:hint="default"/>
          <w:color w:val="auto"/>
          <w:lang w:val="en-US" w:eastAsia="zh-CN"/>
        </w:rPr>
        <w:t>位于</w:t>
      </w:r>
      <w:r>
        <w:rPr>
          <w:rFonts w:hint="eastAsia"/>
          <w:color w:val="auto"/>
          <w:lang w:val="en-US" w:eastAsia="zh-CN"/>
        </w:rPr>
        <w:t>滨江路北侧，占地650亩，</w:t>
      </w:r>
      <w:r>
        <w:rPr>
          <w:rFonts w:hint="default"/>
          <w:color w:val="auto"/>
          <w:lang w:val="en-US" w:eastAsia="zh-CN"/>
        </w:rPr>
        <w:t>重点布局设置</w:t>
      </w:r>
      <w:r>
        <w:rPr>
          <w:rFonts w:hint="eastAsia"/>
          <w:color w:val="auto"/>
          <w:lang w:val="en-US" w:eastAsia="zh-CN"/>
        </w:rPr>
        <w:t>煤炭、汽车零部件的</w:t>
      </w:r>
      <w:r>
        <w:rPr>
          <w:rFonts w:hint="default"/>
          <w:color w:val="auto"/>
          <w:lang w:val="en-US" w:eastAsia="zh-CN"/>
        </w:rPr>
        <w:t>装卸、分拨、中转、仓储等功能设施</w:t>
      </w:r>
      <w:r>
        <w:rPr>
          <w:rFonts w:hint="eastAsia"/>
          <w:color w:val="auto"/>
          <w:lang w:val="en-US" w:eastAsia="zh-CN"/>
        </w:rPr>
        <w:t>，主要服务扬州经开区相关制造业企业等。</w:t>
      </w:r>
    </w:p>
    <w:p>
      <w:pPr>
        <w:spacing w:line="600" w:lineRule="exact"/>
        <w:ind w:firstLine="643" w:firstLineChars="200"/>
        <w:rPr>
          <w:rFonts w:hint="default"/>
          <w:b/>
          <w:bCs/>
          <w:color w:val="auto"/>
          <w:sz w:val="32"/>
          <w:szCs w:val="32"/>
          <w:lang w:val="en-US" w:eastAsia="zh-CN"/>
        </w:rPr>
      </w:pPr>
      <w:r>
        <w:rPr>
          <w:rFonts w:hint="eastAsia"/>
          <w:b/>
          <w:bCs/>
          <w:color w:val="auto"/>
          <w:sz w:val="32"/>
          <w:szCs w:val="32"/>
          <w:lang w:val="en-US" w:eastAsia="zh-CN"/>
        </w:rPr>
        <w:t>（4）粮食仓储物流区</w:t>
      </w:r>
    </w:p>
    <w:p>
      <w:pPr>
        <w:spacing w:line="600" w:lineRule="exact"/>
        <w:ind w:firstLine="640" w:firstLineChars="200"/>
        <w:rPr>
          <w:rFonts w:hint="eastAsia"/>
          <w:color w:val="auto"/>
          <w:lang w:val="en-US" w:eastAsia="zh-CN"/>
        </w:rPr>
      </w:pPr>
      <w:r>
        <w:rPr>
          <w:rFonts w:hint="default"/>
          <w:color w:val="auto"/>
          <w:lang w:val="en-US" w:eastAsia="zh-CN"/>
        </w:rPr>
        <w:t>位于</w:t>
      </w:r>
      <w:r>
        <w:rPr>
          <w:rFonts w:hint="eastAsia"/>
          <w:color w:val="auto"/>
          <w:lang w:val="en-US" w:eastAsia="zh-CN"/>
        </w:rPr>
        <w:t>扬子江南路东侧，占地310亩，</w:t>
      </w:r>
      <w:r>
        <w:rPr>
          <w:rFonts w:hint="default"/>
          <w:color w:val="auto"/>
          <w:lang w:val="en-US" w:eastAsia="zh-CN"/>
        </w:rPr>
        <w:t>重点布局设置</w:t>
      </w:r>
      <w:r>
        <w:rPr>
          <w:rFonts w:hint="eastAsia"/>
          <w:color w:val="auto"/>
          <w:lang w:val="en-US" w:eastAsia="zh-CN"/>
        </w:rPr>
        <w:t>粮食的</w:t>
      </w:r>
      <w:r>
        <w:rPr>
          <w:rFonts w:hint="default"/>
          <w:color w:val="auto"/>
          <w:lang w:val="en-US" w:eastAsia="zh-CN"/>
        </w:rPr>
        <w:t>装卸、分拨、仓储等功能设施</w:t>
      </w:r>
      <w:r>
        <w:rPr>
          <w:rFonts w:hint="eastAsia"/>
          <w:color w:val="auto"/>
          <w:lang w:val="en-US" w:eastAsia="zh-CN"/>
        </w:rPr>
        <w:t>，主要服务中储粮公司。</w:t>
      </w:r>
    </w:p>
    <w:p>
      <w:pPr>
        <w:spacing w:line="600" w:lineRule="exact"/>
        <w:ind w:firstLine="643" w:firstLineChars="200"/>
        <w:rPr>
          <w:rFonts w:hint="default"/>
          <w:b/>
          <w:bCs/>
          <w:color w:val="auto"/>
          <w:sz w:val="32"/>
          <w:szCs w:val="32"/>
          <w:lang w:val="en-US" w:eastAsia="zh-CN"/>
        </w:rPr>
      </w:pPr>
      <w:r>
        <w:rPr>
          <w:rFonts w:hint="eastAsia"/>
          <w:b/>
          <w:bCs/>
          <w:color w:val="auto"/>
          <w:sz w:val="32"/>
          <w:szCs w:val="32"/>
          <w:lang w:val="en-US" w:eastAsia="zh-CN"/>
        </w:rPr>
        <w:t>（5）集装箱物流区</w:t>
      </w:r>
    </w:p>
    <w:p>
      <w:pPr>
        <w:spacing w:line="600" w:lineRule="exact"/>
        <w:ind w:firstLine="640" w:firstLineChars="200"/>
        <w:rPr>
          <w:rFonts w:hint="eastAsia"/>
          <w:color w:val="auto"/>
          <w:lang w:val="en-US" w:eastAsia="zh-CN"/>
        </w:rPr>
      </w:pPr>
      <w:r>
        <w:rPr>
          <w:rFonts w:hint="eastAsia"/>
          <w:color w:val="auto"/>
          <w:lang w:val="en-US" w:eastAsia="zh-CN"/>
        </w:rPr>
        <w:t>包含A区和B区，其中A区已建成，</w:t>
      </w:r>
      <w:r>
        <w:rPr>
          <w:rFonts w:hint="default"/>
          <w:color w:val="auto"/>
          <w:lang w:val="en-US" w:eastAsia="zh-CN"/>
        </w:rPr>
        <w:t>位于</w:t>
      </w:r>
      <w:r>
        <w:rPr>
          <w:rFonts w:hint="eastAsia"/>
          <w:color w:val="auto"/>
          <w:lang w:val="en-US" w:eastAsia="zh-CN"/>
        </w:rPr>
        <w:t>古渡路南侧，占地700亩，B区为规划待建区，占地4000亩，</w:t>
      </w:r>
      <w:r>
        <w:rPr>
          <w:rFonts w:hint="default"/>
          <w:color w:val="auto"/>
          <w:lang w:val="en-US" w:eastAsia="zh-CN"/>
        </w:rPr>
        <w:t>重点布局集装箱堆场、集装箱处理区、集装箱流通加工区</w:t>
      </w:r>
      <w:r>
        <w:rPr>
          <w:rFonts w:hint="eastAsia"/>
          <w:color w:val="auto"/>
          <w:lang w:val="en-US" w:eastAsia="zh-CN"/>
        </w:rPr>
        <w:t>，主要服务扬州经开区汽车及新能源相关制造业企业等。</w:t>
      </w:r>
    </w:p>
    <w:p>
      <w:pPr>
        <w:spacing w:line="600" w:lineRule="exact"/>
        <w:ind w:firstLine="643" w:firstLineChars="200"/>
        <w:rPr>
          <w:rFonts w:hint="eastAsia"/>
          <w:b/>
          <w:bCs/>
          <w:color w:val="auto"/>
          <w:sz w:val="32"/>
          <w:szCs w:val="32"/>
          <w:lang w:val="en-US" w:eastAsia="zh-CN"/>
        </w:rPr>
      </w:pPr>
      <w:r>
        <w:rPr>
          <w:rFonts w:hint="eastAsia"/>
          <w:b/>
          <w:bCs/>
          <w:color w:val="auto"/>
          <w:sz w:val="32"/>
          <w:szCs w:val="32"/>
          <w:lang w:val="en-US" w:eastAsia="zh-CN"/>
        </w:rPr>
        <w:t>（6）公路仓储物流区</w:t>
      </w:r>
    </w:p>
    <w:p>
      <w:pPr>
        <w:spacing w:line="600" w:lineRule="exact"/>
        <w:ind w:firstLine="640" w:firstLineChars="200"/>
        <w:rPr>
          <w:rFonts w:hint="eastAsia"/>
          <w:color w:val="auto"/>
          <w:sz w:val="32"/>
          <w:szCs w:val="32"/>
          <w:lang w:val="en-US" w:eastAsia="zh-CN"/>
        </w:rPr>
      </w:pPr>
      <w:r>
        <w:rPr>
          <w:rFonts w:hint="eastAsia"/>
          <w:color w:val="auto"/>
          <w:sz w:val="32"/>
          <w:szCs w:val="32"/>
          <w:lang w:val="en-US" w:eastAsia="zh-CN"/>
        </w:rPr>
        <w:t>位于春江路南侧，占地610亩，已入驻普洛斯等知名物流企业，重点为扬州经开区的生产制造企业提供高效、便捷的公路运输服务。</w:t>
      </w:r>
    </w:p>
    <w:p>
      <w:pPr>
        <w:spacing w:line="600" w:lineRule="exact"/>
        <w:ind w:firstLine="643" w:firstLineChars="200"/>
        <w:rPr>
          <w:rFonts w:hint="eastAsia"/>
          <w:b/>
          <w:bCs/>
          <w:color w:val="auto"/>
          <w:sz w:val="32"/>
          <w:szCs w:val="32"/>
          <w:lang w:val="en-US" w:eastAsia="zh-CN"/>
        </w:rPr>
      </w:pPr>
      <w:r>
        <w:rPr>
          <w:rFonts w:hint="eastAsia"/>
          <w:b/>
          <w:bCs/>
          <w:color w:val="auto"/>
          <w:sz w:val="32"/>
          <w:szCs w:val="32"/>
          <w:lang w:val="en-US" w:eastAsia="zh-CN"/>
        </w:rPr>
        <w:t>（7）钢材运贸区</w:t>
      </w:r>
    </w:p>
    <w:p>
      <w:pPr>
        <w:spacing w:line="600" w:lineRule="exact"/>
        <w:ind w:firstLine="640" w:firstLineChars="200"/>
        <w:rPr>
          <w:rFonts w:hint="eastAsia"/>
          <w:color w:val="auto"/>
          <w:sz w:val="32"/>
          <w:szCs w:val="32"/>
          <w:lang w:val="en-US" w:eastAsia="zh-CN"/>
        </w:rPr>
      </w:pPr>
      <w:r>
        <w:rPr>
          <w:rFonts w:hint="eastAsia"/>
          <w:color w:val="auto"/>
          <w:sz w:val="32"/>
          <w:szCs w:val="32"/>
          <w:lang w:val="en-US" w:eastAsia="zh-CN"/>
        </w:rPr>
        <w:t>位于春江路南侧，占地280亩，重点布局钢材产品的仓储、转运、装卸设施，同时拓展期货交割仓、贸易加工仓等功能。</w:t>
      </w:r>
    </w:p>
    <w:p>
      <w:pPr>
        <w:spacing w:line="600" w:lineRule="exact"/>
        <w:ind w:firstLine="643" w:firstLineChars="200"/>
        <w:rPr>
          <w:rFonts w:hint="eastAsia"/>
          <w:b/>
          <w:bCs/>
          <w:color w:val="auto"/>
          <w:sz w:val="32"/>
          <w:szCs w:val="32"/>
          <w:lang w:val="en-US" w:eastAsia="zh-CN"/>
        </w:rPr>
      </w:pPr>
      <w:r>
        <w:rPr>
          <w:rFonts w:hint="eastAsia"/>
          <w:b/>
          <w:bCs/>
          <w:color w:val="auto"/>
          <w:sz w:val="32"/>
          <w:szCs w:val="32"/>
          <w:lang w:val="en-US" w:eastAsia="zh-CN"/>
        </w:rPr>
        <w:t>（8）综合保税物流区</w:t>
      </w:r>
    </w:p>
    <w:p>
      <w:pPr>
        <w:spacing w:line="600" w:lineRule="exact"/>
        <w:ind w:firstLine="640" w:firstLineChars="200"/>
        <w:rPr>
          <w:rFonts w:hint="eastAsia"/>
          <w:color w:val="auto"/>
          <w:sz w:val="32"/>
          <w:szCs w:val="32"/>
          <w:lang w:val="en-US" w:eastAsia="zh-CN"/>
        </w:rPr>
      </w:pPr>
      <w:r>
        <w:rPr>
          <w:rFonts w:hint="eastAsia"/>
          <w:color w:val="auto"/>
          <w:sz w:val="32"/>
          <w:szCs w:val="32"/>
          <w:lang w:val="en-US" w:eastAsia="zh-CN"/>
        </w:rPr>
        <w:t>依托扬州综合保税区，积极发展面向汽车零部件、新能源装备等产业的国际中转、国际采购、国际配送、国际分拨以及国际转口贸易服务。</w:t>
      </w:r>
    </w:p>
    <w:p>
      <w:pPr>
        <w:pStyle w:val="27"/>
        <w:bidi w:val="0"/>
        <w:rPr>
          <w:color w:val="auto"/>
        </w:rPr>
      </w:pPr>
      <w:r>
        <w:rPr>
          <w:color w:val="auto"/>
        </w:rPr>
        <w:drawing>
          <wp:inline distT="0" distB="0" distL="114300" distR="114300">
            <wp:extent cx="5760085" cy="3563620"/>
            <wp:effectExtent l="0" t="0" r="12065" b="1778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9"/>
                    <a:stretch>
                      <a:fillRect/>
                    </a:stretch>
                  </pic:blipFill>
                  <pic:spPr>
                    <a:xfrm>
                      <a:off x="0" y="0"/>
                      <a:ext cx="5760085" cy="3563620"/>
                    </a:xfrm>
                    <a:prstGeom prst="rect">
                      <a:avLst/>
                    </a:prstGeom>
                    <a:noFill/>
                    <a:ln>
                      <a:noFill/>
                    </a:ln>
                  </pic:spPr>
                </pic:pic>
              </a:graphicData>
            </a:graphic>
          </wp:inline>
        </w:drawing>
      </w:r>
    </w:p>
    <w:p>
      <w:pPr>
        <w:pStyle w:val="7"/>
        <w:bidi w:val="0"/>
        <w:rPr>
          <w:rFonts w:hint="default"/>
          <w:color w:val="auto"/>
          <w:lang w:val="en-US" w:eastAsia="zh-CN"/>
        </w:rPr>
      </w:pPr>
      <w:r>
        <w:rPr>
          <w:rFonts w:hint="eastAsia"/>
          <w:color w:val="auto"/>
          <w:lang w:val="en-US" w:eastAsia="zh-CN"/>
        </w:rPr>
        <w:t xml:space="preserve">图 </w:t>
      </w:r>
      <w:r>
        <w:rPr>
          <w:rFonts w:hint="eastAsia"/>
          <w:color w:val="auto"/>
          <w:lang w:val="en-US" w:eastAsia="zh-CN"/>
        </w:rPr>
        <w:fldChar w:fldCharType="begin"/>
      </w:r>
      <w:r>
        <w:rPr>
          <w:rFonts w:hint="eastAsia"/>
          <w:color w:val="auto"/>
          <w:lang w:val="en-US" w:eastAsia="zh-CN"/>
        </w:rPr>
        <w:instrText xml:space="preserve"> STYLEREF 1 \s </w:instrText>
      </w:r>
      <w:r>
        <w:rPr>
          <w:rFonts w:hint="eastAsia"/>
          <w:color w:val="auto"/>
          <w:lang w:val="en-US" w:eastAsia="zh-CN"/>
        </w:rPr>
        <w:fldChar w:fldCharType="separate"/>
      </w:r>
      <w:r>
        <w:rPr>
          <w:rFonts w:hint="eastAsia"/>
          <w:color w:val="auto"/>
          <w:lang w:val="en-US" w:eastAsia="zh-CN"/>
        </w:rPr>
        <w:t>4</w:t>
      </w:r>
      <w:r>
        <w:rPr>
          <w:rFonts w:hint="eastAsia"/>
          <w:color w:val="auto"/>
          <w:lang w:val="en-US" w:eastAsia="zh-CN"/>
        </w:rPr>
        <w:fldChar w:fldCharType="end"/>
      </w:r>
      <w:r>
        <w:rPr>
          <w:rFonts w:hint="eastAsia"/>
          <w:color w:val="auto"/>
          <w:lang w:val="en-US" w:eastAsia="zh-CN"/>
        </w:rPr>
        <w:t>-</w:t>
      </w:r>
      <w:r>
        <w:rPr>
          <w:rFonts w:hint="eastAsia"/>
          <w:color w:val="auto"/>
          <w:lang w:val="en-US" w:eastAsia="zh-CN"/>
        </w:rPr>
        <w:fldChar w:fldCharType="begin"/>
      </w:r>
      <w:r>
        <w:rPr>
          <w:rFonts w:hint="eastAsia"/>
          <w:color w:val="auto"/>
          <w:lang w:val="en-US" w:eastAsia="zh-CN"/>
        </w:rPr>
        <w:instrText xml:space="preserve"> SEQ 图 \* ARABIC \s 1 </w:instrText>
      </w:r>
      <w:r>
        <w:rPr>
          <w:rFonts w:hint="eastAsia"/>
          <w:color w:val="auto"/>
          <w:lang w:val="en-US" w:eastAsia="zh-CN"/>
        </w:rPr>
        <w:fldChar w:fldCharType="separate"/>
      </w:r>
      <w:r>
        <w:rPr>
          <w:rFonts w:hint="eastAsia"/>
          <w:color w:val="auto"/>
          <w:lang w:val="en-US" w:eastAsia="zh-CN"/>
        </w:rPr>
        <w:t>8</w:t>
      </w:r>
      <w:r>
        <w:rPr>
          <w:rFonts w:hint="eastAsia"/>
          <w:color w:val="auto"/>
          <w:lang w:val="en-US" w:eastAsia="zh-CN"/>
        </w:rPr>
        <w:fldChar w:fldCharType="end"/>
      </w:r>
      <w:r>
        <w:rPr>
          <w:rFonts w:hint="eastAsia"/>
          <w:color w:val="auto"/>
          <w:lang w:val="en-US" w:eastAsia="zh-CN"/>
        </w:rPr>
        <w:t xml:space="preserve"> 扬州六圩港口物流园功能布局图</w:t>
      </w:r>
    </w:p>
    <w:p>
      <w:pPr>
        <w:bidi w:val="0"/>
        <w:rPr>
          <w:rFonts w:hint="eastAsia"/>
          <w:b/>
          <w:bCs/>
          <w:color w:val="auto"/>
          <w:lang w:val="en-US" w:eastAsia="zh-CN"/>
        </w:rPr>
      </w:pPr>
      <w:r>
        <w:rPr>
          <w:rFonts w:hint="eastAsia"/>
          <w:b/>
          <w:bCs/>
          <w:color w:val="auto"/>
          <w:lang w:val="en-US" w:eastAsia="zh-CN"/>
        </w:rPr>
        <w:t>2.建设运营</w:t>
      </w:r>
    </w:p>
    <w:p>
      <w:pPr>
        <w:ind w:firstLine="643" w:firstLineChars="200"/>
        <w:jc w:val="both"/>
        <w:rPr>
          <w:rFonts w:hint="default" w:ascii="仿宋_GB2312" w:hAnsi="仿宋_GB2312" w:eastAsia="仿宋_GB2312" w:cs="仿宋_GB2312"/>
          <w:b/>
          <w:bCs/>
          <w:color w:val="auto"/>
          <w:sz w:val="32"/>
          <w:szCs w:val="32"/>
          <w:lang w:val="en-US" w:eastAsia="zh-CN"/>
        </w:rPr>
      </w:pPr>
      <w:r>
        <w:rPr>
          <w:rFonts w:hint="eastAsia" w:ascii="仿宋_GB2312" w:hAnsi="仿宋_GB2312" w:cs="仿宋_GB2312"/>
          <w:b/>
          <w:bCs/>
          <w:color w:val="auto"/>
          <w:sz w:val="32"/>
          <w:szCs w:val="32"/>
          <w:lang w:val="en-US" w:eastAsia="zh-CN"/>
        </w:rPr>
        <w:t>（1）开发建设模式</w:t>
      </w:r>
    </w:p>
    <w:p>
      <w:pPr>
        <w:ind w:firstLine="640" w:firstLineChars="200"/>
        <w:jc w:val="both"/>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扬州港区由政府统一规划、省市合作开发建设，在扬州市与江苏省港口集团的战略合作框架协议下，江苏省港口集团与扬州经开区共同出资成立了扬州港口开发有限公司，作为整合全市港口、岸线及临港土地资源的市场化主体。扬州港务集团作为扬州港的运营单位，与扬州港口开发有限公司实行“一套班子、两块牌子”，基本实现扬州港区统一规划、建设和运营，有利于港口资源整合、产业聚集发展。同时港区开发建设与运营应秉持“先与运营方达成协议，再进行开发建设”的基本原则，最大化保障港口物流园区的开发利用率。</w:t>
      </w:r>
    </w:p>
    <w:p>
      <w:pPr>
        <w:pStyle w:val="12"/>
        <w:spacing w:line="240" w:lineRule="auto"/>
        <w:ind w:left="0" w:leftChars="0" w:firstLine="0" w:firstLineChars="0"/>
        <w:jc w:val="center"/>
        <w:rPr>
          <w:color w:val="auto"/>
        </w:rPr>
      </w:pPr>
      <w:r>
        <w:rPr>
          <w:color w:val="auto"/>
        </w:rPr>
        <w:drawing>
          <wp:inline distT="0" distB="0" distL="114300" distR="114300">
            <wp:extent cx="5400040" cy="4811395"/>
            <wp:effectExtent l="9525" t="9525" r="19685" b="1778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50"/>
                    <a:srcRect l="3278" t="4340" r="3588" b="3665"/>
                    <a:stretch>
                      <a:fillRect/>
                    </a:stretch>
                  </pic:blipFill>
                  <pic:spPr>
                    <a:xfrm>
                      <a:off x="0" y="0"/>
                      <a:ext cx="5400040" cy="4811395"/>
                    </a:xfrm>
                    <a:prstGeom prst="rect">
                      <a:avLst/>
                    </a:prstGeom>
                    <a:noFill/>
                    <a:ln>
                      <a:solidFill>
                        <a:schemeClr val="bg2">
                          <a:lumMod val="90000"/>
                        </a:schemeClr>
                      </a:solidFill>
                    </a:ln>
                  </pic:spPr>
                </pic:pic>
              </a:graphicData>
            </a:graphic>
          </wp:inline>
        </w:drawing>
      </w:r>
    </w:p>
    <w:p>
      <w:pPr>
        <w:pStyle w:val="7"/>
        <w:tabs>
          <w:tab w:val="center" w:pos="4153"/>
          <w:tab w:val="right" w:pos="8306"/>
        </w:tabs>
        <w:spacing w:line="240" w:lineRule="auto"/>
        <w:ind w:left="0" w:leftChars="0" w:firstLine="0" w:firstLineChars="0"/>
        <w:jc w:val="center"/>
        <w:rPr>
          <w:rFonts w:hint="eastAsia"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9</w:t>
      </w:r>
      <w:r>
        <w:rPr>
          <w:color w:val="auto"/>
        </w:rPr>
        <w:fldChar w:fldCharType="end"/>
      </w:r>
      <w:r>
        <w:rPr>
          <w:rFonts w:hint="eastAsia"/>
          <w:color w:val="auto"/>
          <w:lang w:val="en-US" w:eastAsia="zh-CN"/>
        </w:rPr>
        <w:t xml:space="preserve"> 扬州港六圩港口物流园建设运营主体构成</w:t>
      </w:r>
    </w:p>
    <w:p>
      <w:pPr>
        <w:pStyle w:val="12"/>
        <w:keepNext/>
        <w:keepLines w:val="0"/>
        <w:pageBreakBefore w:val="0"/>
        <w:widowControl w:val="0"/>
        <w:kinsoku/>
        <w:wordWrap/>
        <w:overflowPunct/>
        <w:topLinePunct w:val="0"/>
        <w:autoSpaceDE/>
        <w:autoSpaceDN/>
        <w:bidi w:val="0"/>
        <w:adjustRightInd/>
        <w:snapToGrid w:val="0"/>
        <w:textAlignment w:val="auto"/>
        <w:rPr>
          <w:rFonts w:hint="default" w:ascii="仿宋_GB2312" w:hAnsi="仿宋_GB2312" w:cs="仿宋_GB2312"/>
          <w:b/>
          <w:bCs/>
          <w:color w:val="auto"/>
          <w:sz w:val="32"/>
          <w:szCs w:val="32"/>
          <w:lang w:val="en-US" w:eastAsia="zh-CN"/>
        </w:rPr>
      </w:pPr>
      <w:r>
        <w:rPr>
          <w:rFonts w:hint="eastAsia" w:ascii="仿宋_GB2312" w:hAnsi="仿宋_GB2312" w:cs="仿宋_GB2312"/>
          <w:b/>
          <w:bCs/>
          <w:color w:val="auto"/>
          <w:sz w:val="32"/>
          <w:szCs w:val="32"/>
          <w:lang w:val="en-US" w:eastAsia="zh-CN"/>
        </w:rPr>
        <w:t>（2）运营发展思路</w:t>
      </w:r>
    </w:p>
    <w:p>
      <w:pPr>
        <w:rPr>
          <w:rFonts w:hint="default"/>
          <w:color w:val="auto"/>
          <w:lang w:val="en-US" w:eastAsia="zh-CN"/>
        </w:rPr>
      </w:pPr>
      <w:r>
        <w:rPr>
          <w:rFonts w:hint="default"/>
          <w:color w:val="auto"/>
          <w:lang w:val="en-US" w:eastAsia="zh-CN"/>
        </w:rPr>
        <w:t>在初期规划建设阶段，扬州市政府高度重视，由扬州市经济开发区管委会成立港口物流产业园办公室，专职</w:t>
      </w:r>
      <w:r>
        <w:rPr>
          <w:rFonts w:hint="eastAsia"/>
          <w:color w:val="auto"/>
          <w:lang w:val="en-US" w:eastAsia="zh-CN"/>
        </w:rPr>
        <w:t>协调</w:t>
      </w:r>
      <w:r>
        <w:rPr>
          <w:rFonts w:hint="default"/>
          <w:color w:val="auto"/>
          <w:lang w:val="en-US" w:eastAsia="zh-CN"/>
        </w:rPr>
        <w:t>港口建设发展中土地、资金、政策等瓶颈和困难。</w:t>
      </w:r>
      <w:r>
        <w:rPr>
          <w:rFonts w:hint="eastAsia"/>
          <w:color w:val="auto"/>
          <w:lang w:val="en-US" w:eastAsia="zh-CN"/>
        </w:rPr>
        <w:t>建设运营阶段，</w:t>
      </w:r>
      <w:r>
        <w:rPr>
          <w:rFonts w:hint="default"/>
          <w:color w:val="auto"/>
          <w:lang w:val="en-US" w:eastAsia="zh-CN"/>
        </w:rPr>
        <w:t>政府部门牵头组织</w:t>
      </w:r>
      <w:r>
        <w:rPr>
          <w:rFonts w:hint="eastAsia"/>
          <w:color w:val="auto"/>
          <w:lang w:val="en-US" w:eastAsia="zh-CN"/>
        </w:rPr>
        <w:t>，由建设单位和运营单位共同</w:t>
      </w:r>
      <w:r>
        <w:rPr>
          <w:rFonts w:hint="default"/>
          <w:color w:val="auto"/>
          <w:lang w:val="en-US" w:eastAsia="zh-CN"/>
        </w:rPr>
        <w:t>开展全市生产制造企业物流需求调研，掌握当地货物品类、流量流向</w:t>
      </w:r>
      <w:r>
        <w:rPr>
          <w:rFonts w:hint="eastAsia"/>
          <w:color w:val="auto"/>
          <w:lang w:val="en-US" w:eastAsia="zh-CN"/>
        </w:rPr>
        <w:t>和物流</w:t>
      </w:r>
      <w:r>
        <w:rPr>
          <w:rFonts w:hint="default"/>
          <w:color w:val="auto"/>
          <w:lang w:val="en-US" w:eastAsia="zh-CN"/>
        </w:rPr>
        <w:t>功能需求</w:t>
      </w:r>
      <w:r>
        <w:rPr>
          <w:rFonts w:hint="eastAsia"/>
          <w:color w:val="auto"/>
          <w:lang w:val="en-US" w:eastAsia="zh-CN"/>
        </w:rPr>
        <w:t>，进而针对性地布局物流功能区、</w:t>
      </w:r>
      <w:r>
        <w:rPr>
          <w:rFonts w:hint="default"/>
          <w:color w:val="auto"/>
          <w:lang w:val="en-US" w:eastAsia="zh-CN"/>
        </w:rPr>
        <w:t>谋划重大物流项目</w:t>
      </w:r>
      <w:r>
        <w:rPr>
          <w:rFonts w:hint="eastAsia"/>
          <w:color w:val="auto"/>
          <w:lang w:val="en-US" w:eastAsia="zh-CN"/>
        </w:rPr>
        <w:t>；</w:t>
      </w:r>
      <w:r>
        <w:rPr>
          <w:rFonts w:hint="default"/>
          <w:color w:val="auto"/>
          <w:lang w:val="en-US" w:eastAsia="zh-CN"/>
        </w:rPr>
        <w:t>在政府部门的指导建议下，港口运营企业制定“一企一策一方案”，为适港企业提供定制化、专业化的物流服务，结合适港生产企业的物流需求，</w:t>
      </w:r>
      <w:r>
        <w:rPr>
          <w:rFonts w:hint="eastAsia"/>
          <w:color w:val="auto"/>
          <w:lang w:val="en-US" w:eastAsia="zh-CN"/>
        </w:rPr>
        <w:t>协商签订“量价互保”</w:t>
      </w:r>
      <w:r>
        <w:rPr>
          <w:rFonts w:hint="default"/>
          <w:color w:val="auto"/>
          <w:lang w:val="en-US" w:eastAsia="zh-CN"/>
        </w:rPr>
        <w:t>协议，</w:t>
      </w:r>
      <w:r>
        <w:rPr>
          <w:rFonts w:hint="eastAsia"/>
          <w:color w:val="auto"/>
          <w:lang w:val="en-US" w:eastAsia="zh-CN"/>
        </w:rPr>
        <w:t>并为生产企业在</w:t>
      </w:r>
      <w:r>
        <w:rPr>
          <w:rFonts w:hint="default"/>
          <w:color w:val="auto"/>
          <w:lang w:val="en-US" w:eastAsia="zh-CN"/>
        </w:rPr>
        <w:t>港口规划</w:t>
      </w:r>
      <w:r>
        <w:rPr>
          <w:rFonts w:hint="eastAsia"/>
          <w:color w:val="auto"/>
          <w:lang w:val="en-US" w:eastAsia="zh-CN"/>
        </w:rPr>
        <w:t>建设</w:t>
      </w:r>
      <w:r>
        <w:rPr>
          <w:rFonts w:hint="default"/>
          <w:color w:val="auto"/>
          <w:lang w:val="en-US" w:eastAsia="zh-CN"/>
        </w:rPr>
        <w:t>配套物流设施。</w:t>
      </w:r>
    </w:p>
    <w:p>
      <w:pPr>
        <w:pStyle w:val="5"/>
        <w:bidi w:val="0"/>
        <w:rPr>
          <w:rFonts w:hint="default"/>
          <w:color w:val="auto"/>
          <w:lang w:val="en-US" w:eastAsia="zh-CN"/>
        </w:rPr>
      </w:pPr>
      <w:r>
        <w:rPr>
          <w:rFonts w:hint="eastAsia"/>
          <w:color w:val="auto"/>
          <w:lang w:val="en-US" w:eastAsia="zh-CN"/>
        </w:rPr>
        <w:t>南充现代物流园</w:t>
      </w:r>
    </w:p>
    <w:p>
      <w:pPr>
        <w:rPr>
          <w:rFonts w:hint="eastAsia"/>
          <w:color w:val="auto"/>
          <w:lang w:val="en-US" w:eastAsia="zh-CN"/>
        </w:rPr>
      </w:pPr>
      <w:r>
        <w:rPr>
          <w:rFonts w:hint="eastAsia"/>
          <w:color w:val="auto"/>
          <w:lang w:val="en-US" w:eastAsia="zh-CN"/>
        </w:rPr>
        <w:t>南充现代物流园位于南充市高坪区，距南充嘉陵江都京港区10公里、高坪机场5公里，规划占地面积12.2平方公里（其中各类物流用地合计约6.2平方公里，其余为生活配套用地及绿化用地等），目前建成面积达10.8平方公里，仓储面积达290万平方米，获评国家级示范物流园区，是川东北物流集散中心、区域快递分拨中心和区域最大进出口基地。</w:t>
      </w:r>
    </w:p>
    <w:p>
      <w:pPr>
        <w:pStyle w:val="27"/>
        <w:bidi w:val="0"/>
        <w:rPr>
          <w:rFonts w:hint="eastAsia" w:eastAsia="宋体"/>
          <w:color w:val="auto"/>
          <w:lang w:eastAsia="zh-CN"/>
        </w:rPr>
      </w:pPr>
      <w:r>
        <w:rPr>
          <w:rFonts w:hint="eastAsia" w:eastAsia="宋体"/>
          <w:color w:val="auto"/>
          <w:lang w:eastAsia="zh-CN"/>
        </w:rPr>
        <w:drawing>
          <wp:inline distT="0" distB="0" distL="114300" distR="114300">
            <wp:extent cx="5760085" cy="3458845"/>
            <wp:effectExtent l="0" t="0" r="0" b="0"/>
            <wp:docPr id="50" name="图片 50" descr="3e533059b6343f13729888b3f262b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3e533059b6343f13729888b3f262b599"/>
                    <pic:cNvPicPr>
                      <a:picLocks noChangeAspect="1"/>
                    </pic:cNvPicPr>
                  </pic:nvPicPr>
                  <pic:blipFill>
                    <a:blip r:embed="rId51"/>
                    <a:srcRect b="-8"/>
                    <a:stretch>
                      <a:fillRect/>
                    </a:stretch>
                  </pic:blipFill>
                  <pic:spPr>
                    <a:xfrm>
                      <a:off x="0" y="0"/>
                      <a:ext cx="5760085" cy="3458845"/>
                    </a:xfrm>
                    <a:prstGeom prst="rect">
                      <a:avLst/>
                    </a:prstGeom>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10</w:t>
      </w:r>
      <w:r>
        <w:rPr>
          <w:color w:val="auto"/>
        </w:rPr>
        <w:fldChar w:fldCharType="end"/>
      </w:r>
      <w:r>
        <w:rPr>
          <w:rFonts w:hint="eastAsia"/>
          <w:color w:val="auto"/>
          <w:lang w:val="en-US" w:eastAsia="zh-CN"/>
        </w:rPr>
        <w:t xml:space="preserve"> 南充现代物流园</w:t>
      </w:r>
    </w:p>
    <w:p>
      <w:pPr>
        <w:keepNext/>
        <w:bidi w:val="0"/>
        <w:rPr>
          <w:rFonts w:hint="eastAsia"/>
          <w:b/>
          <w:bCs/>
          <w:color w:val="auto"/>
          <w:lang w:val="en-US" w:eastAsia="zh-CN"/>
        </w:rPr>
      </w:pPr>
      <w:r>
        <w:rPr>
          <w:rFonts w:hint="eastAsia"/>
          <w:b/>
          <w:bCs/>
          <w:color w:val="auto"/>
          <w:lang w:val="en-US" w:eastAsia="zh-CN"/>
        </w:rPr>
        <w:t>1.规划功能布局</w:t>
      </w:r>
    </w:p>
    <w:p>
      <w:pPr>
        <w:rPr>
          <w:rFonts w:hint="eastAsia"/>
          <w:color w:val="auto"/>
          <w:sz w:val="32"/>
          <w:szCs w:val="32"/>
          <w:lang w:val="en-US" w:eastAsia="zh-CN"/>
        </w:rPr>
      </w:pPr>
      <w:r>
        <w:rPr>
          <w:rFonts w:hint="eastAsia"/>
          <w:color w:val="auto"/>
          <w:sz w:val="32"/>
          <w:szCs w:val="32"/>
          <w:lang w:val="en-US" w:eastAsia="zh-CN"/>
        </w:rPr>
        <w:t>南充现代物流园共设置进出口物流功能区、多式联运功能区、公路集散物流功能区、城际配送区、电商快递功能区、医药物流功能区和生活配套功能区等7大功能区。</w:t>
      </w:r>
    </w:p>
    <w:p>
      <w:pPr>
        <w:rPr>
          <w:rFonts w:hint="default"/>
          <w:b/>
          <w:bCs/>
          <w:color w:val="auto"/>
          <w:sz w:val="32"/>
          <w:szCs w:val="32"/>
          <w:lang w:val="en-US" w:eastAsia="zh-CN"/>
        </w:rPr>
      </w:pPr>
      <w:r>
        <w:rPr>
          <w:rFonts w:hint="eastAsia"/>
          <w:b/>
          <w:bCs/>
          <w:color w:val="auto"/>
          <w:sz w:val="32"/>
          <w:szCs w:val="32"/>
          <w:lang w:val="en-US" w:eastAsia="zh-CN"/>
        </w:rPr>
        <w:t>（1）进出口物流功能区</w:t>
      </w:r>
    </w:p>
    <w:p>
      <w:pPr>
        <w:rPr>
          <w:rFonts w:hint="eastAsia"/>
          <w:color w:val="auto"/>
          <w:sz w:val="32"/>
          <w:szCs w:val="32"/>
          <w:lang w:val="en-US" w:eastAsia="zh-CN"/>
        </w:rPr>
      </w:pPr>
      <w:r>
        <w:rPr>
          <w:rFonts w:hint="eastAsia"/>
          <w:color w:val="auto"/>
          <w:sz w:val="32"/>
          <w:szCs w:val="32"/>
          <w:lang w:val="en-US" w:eastAsia="zh-CN"/>
        </w:rPr>
        <w:t>位于火车东站南侧，占地310亩，已建成川东北唯一保税物流中心（B型），现入驻31家外贸企业和19家跨境电商企业，开通了中欧班列、中老班列和国际卡班。</w:t>
      </w:r>
    </w:p>
    <w:p>
      <w:pPr>
        <w:rPr>
          <w:rFonts w:hint="default"/>
          <w:b/>
          <w:bCs/>
          <w:color w:val="auto"/>
          <w:sz w:val="32"/>
          <w:szCs w:val="32"/>
          <w:lang w:val="en-US" w:eastAsia="zh-CN"/>
        </w:rPr>
      </w:pPr>
      <w:r>
        <w:rPr>
          <w:rFonts w:hint="eastAsia"/>
          <w:b/>
          <w:bCs/>
          <w:color w:val="auto"/>
          <w:sz w:val="32"/>
          <w:szCs w:val="32"/>
          <w:lang w:val="en-US" w:eastAsia="zh-CN"/>
        </w:rPr>
        <w:t>（2）多式联运功能区</w:t>
      </w:r>
    </w:p>
    <w:p>
      <w:pPr>
        <w:keepNext w:val="0"/>
        <w:keepLines w:val="0"/>
        <w:pageBreakBefore w:val="0"/>
        <w:widowControl w:val="0"/>
        <w:kinsoku/>
        <w:wordWrap/>
        <w:overflowPunct/>
        <w:topLinePunct w:val="0"/>
        <w:autoSpaceDE/>
        <w:autoSpaceDN/>
        <w:bidi w:val="0"/>
        <w:adjustRightInd/>
        <w:snapToGrid/>
        <w:spacing w:line="558" w:lineRule="exact"/>
        <w:ind w:firstLine="640" w:firstLineChars="200"/>
        <w:textAlignment w:val="auto"/>
        <w:rPr>
          <w:rFonts w:hint="default"/>
          <w:color w:val="auto"/>
          <w:sz w:val="32"/>
          <w:szCs w:val="32"/>
          <w:lang w:val="en-US" w:eastAsia="zh-CN"/>
        </w:rPr>
      </w:pPr>
      <w:r>
        <w:rPr>
          <w:rFonts w:hint="eastAsia"/>
          <w:color w:val="auto"/>
          <w:sz w:val="32"/>
          <w:szCs w:val="32"/>
          <w:lang w:val="en-US" w:eastAsia="zh-CN"/>
        </w:rPr>
        <w:t>位于火车东站东侧，占地2800亩，已建成</w:t>
      </w:r>
      <w:r>
        <w:rPr>
          <w:rFonts w:hint="default"/>
          <w:color w:val="auto"/>
          <w:sz w:val="32"/>
          <w:szCs w:val="32"/>
          <w:lang w:val="en-US" w:eastAsia="zh-CN"/>
        </w:rPr>
        <w:t>川东北规模最大的建材城</w:t>
      </w:r>
      <w:r>
        <w:rPr>
          <w:rFonts w:hint="eastAsia"/>
          <w:color w:val="auto"/>
          <w:sz w:val="32"/>
          <w:szCs w:val="32"/>
          <w:lang w:val="en-US" w:eastAsia="zh-CN"/>
        </w:rPr>
        <w:t>和</w:t>
      </w:r>
      <w:r>
        <w:rPr>
          <w:rFonts w:hint="default"/>
          <w:color w:val="auto"/>
          <w:sz w:val="32"/>
          <w:szCs w:val="32"/>
          <w:lang w:val="en-US" w:eastAsia="zh-CN"/>
        </w:rPr>
        <w:t>川东北规模最大的粮食仓储中心。</w:t>
      </w:r>
      <w:r>
        <w:rPr>
          <w:rFonts w:hint="eastAsia"/>
          <w:color w:val="auto"/>
          <w:sz w:val="32"/>
          <w:szCs w:val="32"/>
          <w:lang w:val="en-US" w:eastAsia="zh-CN"/>
        </w:rPr>
        <w:t>建材城依托</w:t>
      </w:r>
      <w:r>
        <w:rPr>
          <w:rFonts w:hint="default"/>
          <w:color w:val="auto"/>
          <w:sz w:val="32"/>
          <w:szCs w:val="32"/>
          <w:lang w:val="en-US" w:eastAsia="zh-CN"/>
        </w:rPr>
        <w:t>南鑫商贸物流城</w:t>
      </w:r>
      <w:r>
        <w:rPr>
          <w:rFonts w:hint="eastAsia"/>
          <w:color w:val="auto"/>
          <w:sz w:val="32"/>
          <w:szCs w:val="32"/>
          <w:lang w:val="en-US" w:eastAsia="zh-CN"/>
        </w:rPr>
        <w:t>（600亩），</w:t>
      </w:r>
      <w:r>
        <w:rPr>
          <w:rFonts w:hint="default"/>
          <w:color w:val="auto"/>
          <w:sz w:val="32"/>
          <w:szCs w:val="32"/>
          <w:lang w:val="en-US" w:eastAsia="zh-CN"/>
        </w:rPr>
        <w:t>整合南充当地99%的铁运钢材产品入园，汇集超过35个钢厂品牌，是川东北最大的钢材交易中心，入驻企业及商家700余户。粮食仓储中心</w:t>
      </w:r>
      <w:r>
        <w:rPr>
          <w:rFonts w:hint="eastAsia"/>
          <w:color w:val="auto"/>
          <w:sz w:val="32"/>
          <w:szCs w:val="32"/>
          <w:lang w:val="en-US" w:eastAsia="zh-CN"/>
        </w:rPr>
        <w:t>（530亩）入驻</w:t>
      </w:r>
      <w:r>
        <w:rPr>
          <w:rFonts w:hint="default"/>
          <w:color w:val="auto"/>
          <w:sz w:val="32"/>
          <w:szCs w:val="32"/>
          <w:lang w:val="en-US" w:eastAsia="zh-CN"/>
        </w:rPr>
        <w:t>以中储粮为龙头的粮油仓储、加工、配送企业10家，年加工及购销粮油近40万吨、仓储粮油达35万吨。</w:t>
      </w:r>
      <w:r>
        <w:rPr>
          <w:rFonts w:hint="eastAsia"/>
          <w:color w:val="auto"/>
          <w:sz w:val="32"/>
          <w:szCs w:val="32"/>
          <w:lang w:val="en-US" w:eastAsia="zh-CN"/>
        </w:rPr>
        <w:t>此外，园区正加快中石油储备库等重点项目建设。</w:t>
      </w:r>
    </w:p>
    <w:p>
      <w:pPr>
        <w:keepNext w:val="0"/>
        <w:keepLines w:val="0"/>
        <w:pageBreakBefore w:val="0"/>
        <w:widowControl w:val="0"/>
        <w:kinsoku/>
        <w:wordWrap/>
        <w:overflowPunct/>
        <w:topLinePunct w:val="0"/>
        <w:autoSpaceDE/>
        <w:autoSpaceDN/>
        <w:bidi w:val="0"/>
        <w:adjustRightInd/>
        <w:snapToGrid/>
        <w:spacing w:line="558" w:lineRule="exact"/>
        <w:ind w:firstLine="643" w:firstLineChars="200"/>
        <w:textAlignment w:val="auto"/>
        <w:rPr>
          <w:rFonts w:hint="default"/>
          <w:b/>
          <w:bCs/>
          <w:color w:val="auto"/>
          <w:sz w:val="32"/>
          <w:szCs w:val="32"/>
          <w:lang w:val="en-US" w:eastAsia="zh-CN"/>
        </w:rPr>
      </w:pPr>
      <w:r>
        <w:rPr>
          <w:rFonts w:hint="eastAsia"/>
          <w:b/>
          <w:bCs/>
          <w:color w:val="auto"/>
          <w:sz w:val="32"/>
          <w:szCs w:val="32"/>
          <w:lang w:val="en-US" w:eastAsia="zh-CN"/>
        </w:rPr>
        <w:t>（3）公路集散物流功能区</w:t>
      </w:r>
    </w:p>
    <w:p>
      <w:pPr>
        <w:rPr>
          <w:rFonts w:hint="default"/>
          <w:color w:val="auto"/>
          <w:sz w:val="32"/>
          <w:szCs w:val="32"/>
          <w:lang w:val="en-US" w:eastAsia="zh-CN"/>
        </w:rPr>
      </w:pPr>
      <w:r>
        <w:rPr>
          <w:rFonts w:hint="eastAsia"/>
          <w:color w:val="auto"/>
          <w:sz w:val="32"/>
          <w:szCs w:val="32"/>
          <w:lang w:val="en-US" w:eastAsia="zh-CN"/>
        </w:rPr>
        <w:t>位于园区主干道物流大道南侧，占地770亩，重点</w:t>
      </w:r>
      <w:r>
        <w:rPr>
          <w:rFonts w:hint="default"/>
          <w:color w:val="auto"/>
          <w:sz w:val="32"/>
          <w:szCs w:val="32"/>
          <w:lang w:val="en-US" w:eastAsia="zh-CN"/>
        </w:rPr>
        <w:t>依托传化公路港，布局建设仓储配送中心、</w:t>
      </w:r>
      <w:r>
        <w:rPr>
          <w:rFonts w:hint="eastAsia"/>
          <w:color w:val="auto"/>
          <w:sz w:val="32"/>
          <w:szCs w:val="32"/>
          <w:lang w:val="en-US" w:eastAsia="zh-CN"/>
        </w:rPr>
        <w:t>卡车贸易</w:t>
      </w:r>
      <w:r>
        <w:rPr>
          <w:rFonts w:hint="default"/>
          <w:color w:val="auto"/>
          <w:sz w:val="32"/>
          <w:szCs w:val="32"/>
          <w:lang w:val="en-US" w:eastAsia="zh-CN"/>
        </w:rPr>
        <w:t>交易中心，并配套加油站、检测站</w:t>
      </w:r>
      <w:r>
        <w:rPr>
          <w:rFonts w:hint="eastAsia"/>
          <w:color w:val="auto"/>
          <w:sz w:val="32"/>
          <w:szCs w:val="32"/>
          <w:lang w:val="en-US" w:eastAsia="zh-CN"/>
        </w:rPr>
        <w:t>，</w:t>
      </w:r>
      <w:r>
        <w:rPr>
          <w:rFonts w:hint="default"/>
          <w:color w:val="auto"/>
          <w:sz w:val="32"/>
          <w:szCs w:val="32"/>
          <w:lang w:val="en-US" w:eastAsia="zh-CN"/>
        </w:rPr>
        <w:t>现入驻</w:t>
      </w:r>
      <w:r>
        <w:rPr>
          <w:rFonts w:hint="eastAsia"/>
          <w:color w:val="auto"/>
          <w:sz w:val="32"/>
          <w:szCs w:val="32"/>
          <w:lang w:val="en-US" w:eastAsia="zh-CN"/>
        </w:rPr>
        <w:t>物流和商贸各类</w:t>
      </w:r>
      <w:r>
        <w:rPr>
          <w:rFonts w:hint="default"/>
          <w:color w:val="auto"/>
          <w:sz w:val="32"/>
          <w:szCs w:val="32"/>
          <w:lang w:val="en-US" w:eastAsia="zh-CN"/>
        </w:rPr>
        <w:t>企业300余户，有效整合货运车辆20000余辆</w:t>
      </w:r>
      <w:r>
        <w:rPr>
          <w:rFonts w:hint="eastAsia"/>
          <w:color w:val="auto"/>
          <w:sz w:val="32"/>
          <w:szCs w:val="32"/>
          <w:lang w:val="en-US" w:eastAsia="zh-CN"/>
        </w:rPr>
        <w:t>。</w:t>
      </w:r>
    </w:p>
    <w:p>
      <w:pPr>
        <w:keepNext/>
        <w:keepLines w:val="0"/>
        <w:pageBreakBefore w:val="0"/>
        <w:widowControl w:val="0"/>
        <w:kinsoku/>
        <w:wordWrap/>
        <w:overflowPunct/>
        <w:topLinePunct w:val="0"/>
        <w:autoSpaceDE/>
        <w:autoSpaceDN/>
        <w:bidi w:val="0"/>
        <w:adjustRightInd/>
        <w:snapToGrid/>
        <w:textAlignment w:val="auto"/>
        <w:rPr>
          <w:rFonts w:hint="default"/>
          <w:b/>
          <w:bCs/>
          <w:color w:val="auto"/>
          <w:sz w:val="32"/>
          <w:szCs w:val="32"/>
          <w:lang w:val="en-US" w:eastAsia="zh-CN"/>
        </w:rPr>
      </w:pPr>
      <w:r>
        <w:rPr>
          <w:rFonts w:hint="eastAsia"/>
          <w:b/>
          <w:bCs/>
          <w:color w:val="auto"/>
          <w:sz w:val="32"/>
          <w:szCs w:val="32"/>
          <w:lang w:val="en-US" w:eastAsia="zh-CN"/>
        </w:rPr>
        <w:t>（4）城际配送区</w:t>
      </w:r>
    </w:p>
    <w:p>
      <w:pPr>
        <w:rPr>
          <w:rFonts w:hint="default"/>
          <w:color w:val="auto"/>
          <w:sz w:val="32"/>
          <w:szCs w:val="32"/>
          <w:lang w:val="en-US" w:eastAsia="zh-CN"/>
        </w:rPr>
      </w:pPr>
      <w:r>
        <w:rPr>
          <w:rFonts w:hint="eastAsia"/>
          <w:color w:val="auto"/>
          <w:sz w:val="32"/>
          <w:szCs w:val="32"/>
          <w:lang w:val="en-US" w:eastAsia="zh-CN"/>
        </w:rPr>
        <w:t>位于园区主干道物流大道南侧，占地1300亩，已建成</w:t>
      </w:r>
      <w:r>
        <w:rPr>
          <w:rFonts w:hint="default"/>
          <w:color w:val="auto"/>
          <w:sz w:val="32"/>
          <w:szCs w:val="32"/>
          <w:lang w:val="en-US" w:eastAsia="zh-CN"/>
        </w:rPr>
        <w:t>川东北规模最大的农产品交易中心</w:t>
      </w:r>
      <w:r>
        <w:rPr>
          <w:rFonts w:hint="eastAsia"/>
          <w:color w:val="auto"/>
          <w:sz w:val="32"/>
          <w:szCs w:val="32"/>
          <w:lang w:val="en-US" w:eastAsia="zh-CN"/>
        </w:rPr>
        <w:t>—</w:t>
      </w:r>
      <w:r>
        <w:rPr>
          <w:rFonts w:hint="default"/>
          <w:color w:val="auto"/>
          <w:sz w:val="32"/>
          <w:szCs w:val="32"/>
          <w:lang w:val="en-US" w:eastAsia="zh-CN"/>
        </w:rPr>
        <w:t>友信龙农产品交易中心</w:t>
      </w:r>
      <w:r>
        <w:rPr>
          <w:rFonts w:hint="eastAsia"/>
          <w:color w:val="auto"/>
          <w:sz w:val="32"/>
          <w:szCs w:val="32"/>
          <w:lang w:val="en-US" w:eastAsia="zh-CN"/>
        </w:rPr>
        <w:t>（500亩）</w:t>
      </w:r>
      <w:r>
        <w:rPr>
          <w:rFonts w:hint="default"/>
          <w:color w:val="auto"/>
          <w:sz w:val="32"/>
          <w:szCs w:val="32"/>
          <w:lang w:val="en-US" w:eastAsia="zh-CN"/>
        </w:rPr>
        <w:t>，招引蔬菜、水果、粮油副食等商户1100余家，日均交易量2000余吨，年交易量达75万吨</w:t>
      </w:r>
      <w:r>
        <w:rPr>
          <w:rFonts w:hint="eastAsia"/>
          <w:color w:val="auto"/>
          <w:sz w:val="32"/>
          <w:szCs w:val="32"/>
          <w:lang w:val="en-US" w:eastAsia="zh-CN"/>
        </w:rPr>
        <w:t>。同时，入驻中国物流、蜀道物流等各类龙头物流企业，提供专业化第三方物流运输服务。</w:t>
      </w:r>
    </w:p>
    <w:p>
      <w:pPr>
        <w:rPr>
          <w:rFonts w:hint="eastAsia"/>
          <w:b/>
          <w:bCs/>
          <w:color w:val="auto"/>
          <w:sz w:val="32"/>
          <w:szCs w:val="32"/>
          <w:lang w:val="en-US" w:eastAsia="zh-CN"/>
        </w:rPr>
      </w:pPr>
      <w:r>
        <w:rPr>
          <w:rFonts w:hint="eastAsia"/>
          <w:b/>
          <w:bCs/>
          <w:color w:val="auto"/>
          <w:sz w:val="32"/>
          <w:szCs w:val="32"/>
          <w:lang w:val="en-US" w:eastAsia="zh-CN"/>
        </w:rPr>
        <w:t>（5）电商快递功能区</w:t>
      </w:r>
    </w:p>
    <w:p>
      <w:pPr>
        <w:rPr>
          <w:rFonts w:hint="default"/>
          <w:color w:val="auto"/>
          <w:sz w:val="32"/>
          <w:szCs w:val="32"/>
          <w:lang w:val="en-US" w:eastAsia="zh-CN"/>
        </w:rPr>
      </w:pPr>
      <w:r>
        <w:rPr>
          <w:rFonts w:hint="eastAsia"/>
          <w:color w:val="auto"/>
          <w:sz w:val="32"/>
          <w:szCs w:val="32"/>
          <w:lang w:val="en-US" w:eastAsia="zh-CN"/>
        </w:rPr>
        <w:t>位于园区主干道物源大道南侧，占地1260亩，</w:t>
      </w:r>
      <w:r>
        <w:rPr>
          <w:rFonts w:hint="default"/>
          <w:color w:val="auto"/>
          <w:sz w:val="32"/>
          <w:szCs w:val="32"/>
          <w:lang w:val="en-US" w:eastAsia="zh-CN"/>
        </w:rPr>
        <w:t>现有中通、圆通、极兔、申通、顺丰、京东等快递物流企业10余户、日分拨快件600万件</w:t>
      </w:r>
      <w:r>
        <w:rPr>
          <w:rFonts w:hint="eastAsia"/>
          <w:color w:val="auto"/>
          <w:sz w:val="32"/>
          <w:szCs w:val="32"/>
          <w:lang w:val="en-US" w:eastAsia="zh-CN"/>
        </w:rPr>
        <w:t>，承载着川东北快递分拨集散功能。</w:t>
      </w:r>
    </w:p>
    <w:p>
      <w:pPr>
        <w:rPr>
          <w:rFonts w:hint="eastAsia"/>
          <w:b/>
          <w:bCs/>
          <w:color w:val="auto"/>
          <w:sz w:val="32"/>
          <w:szCs w:val="32"/>
          <w:lang w:val="en-US" w:eastAsia="zh-CN"/>
        </w:rPr>
      </w:pPr>
      <w:r>
        <w:rPr>
          <w:rFonts w:hint="eastAsia"/>
          <w:b/>
          <w:bCs/>
          <w:color w:val="auto"/>
          <w:sz w:val="32"/>
          <w:szCs w:val="32"/>
          <w:lang w:val="en-US" w:eastAsia="zh-CN"/>
        </w:rPr>
        <w:t>（6）医药物流功能区</w:t>
      </w:r>
    </w:p>
    <w:p>
      <w:pPr>
        <w:rPr>
          <w:rFonts w:hint="default"/>
          <w:color w:val="auto"/>
          <w:sz w:val="32"/>
          <w:szCs w:val="32"/>
          <w:lang w:val="en-US" w:eastAsia="zh-CN"/>
        </w:rPr>
      </w:pPr>
      <w:r>
        <w:rPr>
          <w:rFonts w:hint="eastAsia"/>
          <w:color w:val="auto"/>
          <w:sz w:val="32"/>
          <w:szCs w:val="32"/>
          <w:lang w:val="en-US" w:eastAsia="zh-CN"/>
        </w:rPr>
        <w:t>位于园区主干道物源大道南侧，占地550亩，规划布局</w:t>
      </w:r>
      <w:r>
        <w:rPr>
          <w:rFonts w:hint="default"/>
          <w:color w:val="auto"/>
          <w:sz w:val="32"/>
          <w:szCs w:val="32"/>
          <w:lang w:val="en-US" w:eastAsia="zh-CN"/>
        </w:rPr>
        <w:t>国药川东北医药中心、潮晨电子医药</w:t>
      </w:r>
      <w:r>
        <w:rPr>
          <w:rFonts w:hint="eastAsia"/>
          <w:color w:val="auto"/>
          <w:sz w:val="32"/>
          <w:szCs w:val="32"/>
          <w:lang w:val="en-US" w:eastAsia="zh-CN"/>
        </w:rPr>
        <w:t>等企业高标准仓储，打造川东北医药分拨配送基地。</w:t>
      </w:r>
    </w:p>
    <w:p>
      <w:pPr>
        <w:rPr>
          <w:rFonts w:hint="default"/>
          <w:b/>
          <w:bCs/>
          <w:color w:val="auto"/>
          <w:sz w:val="32"/>
          <w:szCs w:val="32"/>
          <w:lang w:val="en-US" w:eastAsia="zh-CN"/>
        </w:rPr>
      </w:pPr>
      <w:r>
        <w:rPr>
          <w:rFonts w:hint="eastAsia"/>
          <w:b/>
          <w:bCs/>
          <w:color w:val="auto"/>
          <w:sz w:val="32"/>
          <w:szCs w:val="32"/>
          <w:lang w:val="en-US" w:eastAsia="zh-CN"/>
        </w:rPr>
        <w:t>（7）生活配套功能区</w:t>
      </w:r>
    </w:p>
    <w:p>
      <w:pPr>
        <w:rPr>
          <w:rFonts w:hint="eastAsia"/>
          <w:color w:val="auto"/>
          <w:szCs w:val="32"/>
          <w:lang w:val="en-US" w:eastAsia="zh-CN"/>
        </w:rPr>
      </w:pPr>
      <w:r>
        <w:rPr>
          <w:rFonts w:hint="eastAsia"/>
          <w:color w:val="auto"/>
          <w:sz w:val="32"/>
          <w:szCs w:val="32"/>
          <w:lang w:val="en-US" w:eastAsia="zh-CN"/>
        </w:rPr>
        <w:t>生活配套功能区涵盖</w:t>
      </w:r>
      <w:r>
        <w:rPr>
          <w:rFonts w:hint="default"/>
          <w:color w:val="auto"/>
          <w:sz w:val="32"/>
          <w:szCs w:val="32"/>
          <w:lang w:val="en-US" w:eastAsia="zh-CN"/>
        </w:rPr>
        <w:t>学校、医院、会展、金融、商住等</w:t>
      </w:r>
      <w:r>
        <w:rPr>
          <w:rFonts w:hint="eastAsia"/>
          <w:color w:val="auto"/>
          <w:sz w:val="32"/>
          <w:szCs w:val="32"/>
          <w:lang w:val="en-US" w:eastAsia="zh-CN"/>
        </w:rPr>
        <w:t>功能，占地约7500亩，</w:t>
      </w:r>
      <w:r>
        <w:rPr>
          <w:rFonts w:hint="eastAsia"/>
          <w:color w:val="auto"/>
          <w:szCs w:val="32"/>
          <w:lang w:val="en-US" w:eastAsia="zh-CN"/>
        </w:rPr>
        <w:t>为入住南充现代物流园的从业人员提供日常的生活服务。此外，园区内正规划建设一处商业综合体，主要提供车辆维修保养、保险金融、住宿餐饮、车辆检测等便捷化服务。</w:t>
      </w:r>
    </w:p>
    <w:p>
      <w:pPr>
        <w:pStyle w:val="27"/>
        <w:bidi w:val="0"/>
        <w:rPr>
          <w:color w:val="auto"/>
        </w:rPr>
      </w:pPr>
      <w:r>
        <w:rPr>
          <w:color w:val="auto"/>
        </w:rPr>
        <w:drawing>
          <wp:inline distT="0" distB="0" distL="114300" distR="114300">
            <wp:extent cx="5760085" cy="3172460"/>
            <wp:effectExtent l="9525" t="9525" r="21590" b="18415"/>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52"/>
                    <a:srcRect l="1879" t="17678" r="6554" b="10863"/>
                    <a:stretch>
                      <a:fillRect/>
                    </a:stretch>
                  </pic:blipFill>
                  <pic:spPr>
                    <a:xfrm>
                      <a:off x="0" y="0"/>
                      <a:ext cx="5760085" cy="3172460"/>
                    </a:xfrm>
                    <a:prstGeom prst="rect">
                      <a:avLst/>
                    </a:prstGeom>
                    <a:ln>
                      <a:solidFill>
                        <a:schemeClr val="bg2">
                          <a:lumMod val="90000"/>
                        </a:schemeClr>
                      </a:solidFill>
                    </a:ln>
                  </pic:spPr>
                </pic:pic>
              </a:graphicData>
            </a:graphic>
          </wp:inline>
        </w:drawing>
      </w:r>
    </w:p>
    <w:p>
      <w:pPr>
        <w:pStyle w:val="7"/>
        <w:bidi w:val="0"/>
        <w:rPr>
          <w:rFonts w:hint="eastAsia"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11</w:t>
      </w:r>
      <w:r>
        <w:rPr>
          <w:color w:val="auto"/>
        </w:rPr>
        <w:fldChar w:fldCharType="end"/>
      </w:r>
      <w:r>
        <w:rPr>
          <w:rFonts w:hint="eastAsia"/>
          <w:color w:val="auto"/>
          <w:lang w:val="en-US" w:eastAsia="zh-CN"/>
        </w:rPr>
        <w:t xml:space="preserve"> 南充现代物流园功能布局图</w:t>
      </w:r>
    </w:p>
    <w:p>
      <w:pPr>
        <w:bidi w:val="0"/>
        <w:rPr>
          <w:rFonts w:hint="default"/>
          <w:b/>
          <w:bCs/>
          <w:color w:val="auto"/>
          <w:lang w:val="en-US" w:eastAsia="zh-CN"/>
        </w:rPr>
      </w:pPr>
      <w:r>
        <w:rPr>
          <w:rFonts w:hint="eastAsia"/>
          <w:b/>
          <w:bCs/>
          <w:color w:val="auto"/>
          <w:lang w:val="en-US" w:eastAsia="zh-CN"/>
        </w:rPr>
        <w:t>2.建设运营</w:t>
      </w:r>
    </w:p>
    <w:p>
      <w:pPr>
        <w:rPr>
          <w:rFonts w:hint="default"/>
          <w:color w:val="auto"/>
          <w:lang w:val="en-US" w:eastAsia="zh-CN"/>
        </w:rPr>
      </w:pPr>
      <w:r>
        <w:rPr>
          <w:rFonts w:hint="eastAsia"/>
          <w:color w:val="auto"/>
          <w:lang w:val="en-US" w:eastAsia="zh-CN"/>
        </w:rPr>
        <w:t>南充现代物流园开发建设模式为政企合作模式，南充现代物流园管委会负责园区整体规划和功能区布局，同时开发建设园区内道路、保税物流中心（B型）等公益性基础设施。通过招商引资等方式，引进</w:t>
      </w:r>
      <w:r>
        <w:rPr>
          <w:rFonts w:hint="default"/>
          <w:color w:val="auto"/>
          <w:lang w:val="en-US" w:eastAsia="zh-CN"/>
        </w:rPr>
        <w:t>浙江传化、四川南鑫、深圳友信崧锋、中国物流、新加坡丰树</w:t>
      </w:r>
      <w:r>
        <w:rPr>
          <w:rFonts w:hint="eastAsia"/>
          <w:color w:val="auto"/>
          <w:lang w:val="en-US" w:eastAsia="zh-CN"/>
        </w:rPr>
        <w:t>、“四通一达”等物流龙头企业负责具体项目的开发，共同完成物流园区的开发建设运营。招商引资阶段，园区管委会</w:t>
      </w:r>
      <w:r>
        <w:rPr>
          <w:rFonts w:hint="default"/>
          <w:color w:val="auto"/>
          <w:lang w:val="en-US" w:eastAsia="zh-CN"/>
        </w:rPr>
        <w:t>坚持以商招商、产业链招商、龙头企业带动招商，按照</w:t>
      </w:r>
      <w:r>
        <w:rPr>
          <w:rFonts w:hint="eastAsia"/>
          <w:color w:val="auto"/>
          <w:lang w:val="en-US" w:eastAsia="zh-CN"/>
        </w:rPr>
        <w:t>“</w:t>
      </w:r>
      <w:r>
        <w:rPr>
          <w:rFonts w:hint="default"/>
          <w:color w:val="auto"/>
          <w:lang w:val="en-US" w:eastAsia="zh-CN"/>
        </w:rPr>
        <w:t>领导包片、干部包企</w:t>
      </w:r>
      <w:r>
        <w:rPr>
          <w:rFonts w:hint="eastAsia"/>
          <w:color w:val="auto"/>
          <w:lang w:val="en-US" w:eastAsia="zh-CN"/>
        </w:rPr>
        <w:t>”</w:t>
      </w:r>
      <w:r>
        <w:rPr>
          <w:rFonts w:hint="default"/>
          <w:color w:val="auto"/>
          <w:lang w:val="en-US" w:eastAsia="zh-CN"/>
        </w:rPr>
        <w:t>的工作思路，以管委会党员干部为先锋成立园区企业服务小组，帮助企业在证照办理、以商招商、政策落实、安全生产、环境保护、企业招工、纠纷化解等方面提供</w:t>
      </w:r>
      <w:r>
        <w:rPr>
          <w:rFonts w:hint="eastAsia"/>
          <w:color w:val="auto"/>
          <w:lang w:val="en-US" w:eastAsia="zh-CN"/>
        </w:rPr>
        <w:t>“</w:t>
      </w:r>
      <w:r>
        <w:rPr>
          <w:rFonts w:hint="default"/>
          <w:color w:val="auto"/>
          <w:lang w:val="en-US" w:eastAsia="zh-CN"/>
        </w:rPr>
        <w:t>零距离</w:t>
      </w:r>
      <w:r>
        <w:rPr>
          <w:rFonts w:hint="eastAsia"/>
          <w:color w:val="auto"/>
          <w:lang w:val="en-US" w:eastAsia="zh-CN"/>
        </w:rPr>
        <w:t>”“</w:t>
      </w:r>
      <w:r>
        <w:rPr>
          <w:rFonts w:hint="default"/>
          <w:color w:val="auto"/>
          <w:lang w:val="en-US" w:eastAsia="zh-CN"/>
        </w:rPr>
        <w:t>一对一</w:t>
      </w:r>
      <w:r>
        <w:rPr>
          <w:rFonts w:hint="eastAsia"/>
          <w:color w:val="auto"/>
          <w:lang w:val="en-US" w:eastAsia="zh-CN"/>
        </w:rPr>
        <w:t>”</w:t>
      </w:r>
      <w:r>
        <w:rPr>
          <w:rFonts w:hint="default"/>
          <w:color w:val="auto"/>
          <w:lang w:val="en-US" w:eastAsia="zh-CN"/>
        </w:rPr>
        <w:t>服务，对企业发展重大问题顶格协调、提级办理、加快解决。</w:t>
      </w:r>
    </w:p>
    <w:p>
      <w:pPr>
        <w:pStyle w:val="4"/>
        <w:bidi w:val="0"/>
        <w:rPr>
          <w:rFonts w:hint="default"/>
          <w:color w:val="auto"/>
          <w:lang w:val="en-US" w:eastAsia="zh-CN"/>
        </w:rPr>
      </w:pPr>
      <w:bookmarkStart w:id="107" w:name="_Toc15822"/>
      <w:bookmarkStart w:id="108" w:name="_Toc12731"/>
      <w:r>
        <w:rPr>
          <w:rFonts w:hint="eastAsia"/>
          <w:color w:val="auto"/>
          <w:lang w:val="en-US" w:eastAsia="zh-CN"/>
        </w:rPr>
        <w:t>经验总结</w:t>
      </w:r>
      <w:bookmarkEnd w:id="107"/>
      <w:bookmarkEnd w:id="108"/>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一是坚持物贸一体发展，提升物流园区核心竞争力。在现代化的物流园区中，单纯的运输或仓储服务既无法满足市场需求，也难以形成自身竞争优势维持稳定运营。通过整合物流、商流、信息流、资金流推动物贸一体化发展，提供从采购、仓储、运输、销售以及结算的全链条服务，是提升枢纽服务能级和吸引力的核心手段。物流园区规划建设中，应打破传统界限，高度重视并科学布局物贸一体化功能区，通过深度融合物流与贸易，促进资源优化、效率提升和成本降低，提高土地、仓库、设备等基础设施的利用效率和附加值，实现物流发展由“运输经济”向“枢纽经济”“平台经济”转变。重庆果园港枢纽布局钢材等大宗生产资料交易市场、宜昌白洋港物流园布局建设大宗商品交易中心、扬州六圩港口物流园布局钢材运贸区、南充现代物流园布局建材交易市场、农产品批发市场，均在仓储运输基础服务之外，拓展商品贸易和批发交易，实现“以运带贸、以贸促运”的物贸一体化良性互动发展格局。</w:t>
      </w:r>
    </w:p>
    <w:p>
      <w:pPr>
        <w:rPr>
          <w:rFonts w:hint="eastAsia" w:ascii="黑体" w:hAnsi="黑体" w:eastAsia="黑体" w:cs="黑体"/>
          <w:color w:val="auto"/>
          <w:lang w:val="en-US" w:eastAsia="zh-CN"/>
        </w:rPr>
      </w:pPr>
      <w:r>
        <w:rPr>
          <w:rFonts w:hint="eastAsia" w:ascii="仿宋_GB2312" w:hAnsi="仿宋_GB2312" w:eastAsia="仿宋_GB2312" w:cs="仿宋_GB2312"/>
          <w:color w:val="auto"/>
          <w:lang w:val="en-US" w:eastAsia="zh-CN"/>
        </w:rPr>
        <w:t>二是推动基地规划、建设、运营一体化发展。多式联运基地建设要做到“统一规划、统一建设、统一运营”和“先达成协</w:t>
      </w:r>
      <w:r>
        <w:rPr>
          <w:rFonts w:hint="default" w:ascii="Times New Roman" w:hAnsi="Times New Roman"/>
          <w:color w:val="auto"/>
          <w:lang w:val="en-US" w:eastAsia="zh-CN"/>
        </w:rPr>
        <w:t>议、再开发建设</w:t>
      </w:r>
      <w:r>
        <w:rPr>
          <w:rFonts w:hint="eastAsia"/>
          <w:color w:val="auto"/>
          <w:lang w:val="en-US" w:eastAsia="zh-CN"/>
        </w:rPr>
        <w:t>”，</w:t>
      </w:r>
      <w:r>
        <w:rPr>
          <w:rFonts w:hint="default" w:ascii="Times New Roman" w:hAnsi="Times New Roman"/>
          <w:color w:val="auto"/>
          <w:lang w:val="en-US" w:eastAsia="zh-CN"/>
        </w:rPr>
        <w:t>有利于整合基地内物流需求与供给资源，保证基地内功能布局合理、运转高效流畅。宜昌白洋港</w:t>
      </w:r>
      <w:r>
        <w:rPr>
          <w:rFonts w:hint="eastAsia"/>
          <w:color w:val="auto"/>
          <w:lang w:val="en-US" w:eastAsia="zh-CN"/>
        </w:rPr>
        <w:t>物流园</w:t>
      </w:r>
      <w:r>
        <w:rPr>
          <w:rFonts w:hint="default" w:ascii="Times New Roman" w:hAnsi="Times New Roman"/>
          <w:color w:val="auto"/>
          <w:lang w:val="en-US" w:eastAsia="zh-CN"/>
        </w:rPr>
        <w:t>由宜昌市统一规划、市属国有平台统一建设，园区建设基本与规划保持一致，但由于</w:t>
      </w:r>
      <w:r>
        <w:rPr>
          <w:rFonts w:hint="eastAsia"/>
          <w:color w:val="auto"/>
          <w:lang w:val="en-US" w:eastAsia="zh-CN"/>
        </w:rPr>
        <w:t>后期全省港口资源整合划分，导致</w:t>
      </w:r>
      <w:r>
        <w:rPr>
          <w:rFonts w:hint="default" w:ascii="Times New Roman" w:hAnsi="Times New Roman"/>
          <w:color w:val="auto"/>
          <w:lang w:val="en-US" w:eastAsia="zh-CN"/>
        </w:rPr>
        <w:t>“前港”经营主体和“后园”经营主体不统一，在货源和运输组织方面协作能力较差，影响公水、铁水等多式联运发展。扬州港</w:t>
      </w:r>
      <w:r>
        <w:rPr>
          <w:rFonts w:hint="eastAsia"/>
          <w:color w:val="auto"/>
          <w:lang w:val="en-US" w:eastAsia="zh-CN"/>
        </w:rPr>
        <w:t>物流园</w:t>
      </w:r>
      <w:r>
        <w:rPr>
          <w:rFonts w:hint="default" w:ascii="Times New Roman" w:hAnsi="Times New Roman"/>
          <w:color w:val="auto"/>
          <w:lang w:val="en-US" w:eastAsia="zh-CN"/>
        </w:rPr>
        <w:t>在港区开发建设时，谋求与专业化港口运营公司合作，确保与运营方达成协议，再进行港区配套开发建设，最大化保障港口物流园区的开发利用率。</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三是成立专职机构，高位推动示范基地建设。充分发挥政府部门在物流枢纽规划建设中的推动作用，协调解决物流枢纽建设中土地、资金、政策等重大难题。扬州港在初期规划建设阶段，由扬州市经济开发区管委会成立港口物流产业园办公室，专职协调解决港区建设过程中重大难题事项，重点协助解决港区土地问题。重庆果园港由重庆市两江新区管委会负责推动开发建设，宜昌市白洋港物流园由宜昌市物流发展中心（正县级单位）负责推动开发建设，南充现代物流园在规划初期便成立南充现代物流园管委会推进园区开发建设运营。</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四是以产业发展需求为导向，“远近结合”布局功能区。多式联运基地功能布局要坚持以产业发展需求为导向，既要立足当前产业的物流需求优先布局建设相应功能区，也要着眼于产业发展趋势，长远谋划发展预留用地、适时建设，实现物流功能区与产业园区“就近配套”。宜昌白洋港物流园围绕服务白洋工业园化工、矿建等产业发展需求，谋划布局危险货物集装箱码头、件杂散货码头等功能区，申请危险货物集装箱作业资质，在保税物流中心（B型）重点布设危险品监管仓。扬州港物流园围绕服务钢材、光伏组件、绿色建材、风电以及大件设备等产业需求，优先布局建设大件码头、集装箱码头、钢贸交易中心等功能区；同步预留港口后方土地资源作为物流用地，结合产业发展趋势引进适港企业，配套开发建设相应物流功能区。</w:t>
      </w:r>
    </w:p>
    <w:p>
      <w:pPr>
        <w:rPr>
          <w:rFonts w:hint="default" w:ascii="Times New Roman" w:hAnsi="Times New Roman"/>
          <w:color w:val="auto"/>
          <w:lang w:val="en-US" w:eastAsia="zh-CN"/>
        </w:rPr>
      </w:pPr>
      <w:r>
        <w:rPr>
          <w:rFonts w:hint="eastAsia" w:ascii="仿宋_GB2312" w:hAnsi="仿宋_GB2312" w:eastAsia="仿宋_GB2312" w:cs="仿宋_GB2312"/>
          <w:color w:val="auto"/>
          <w:lang w:val="en-US" w:eastAsia="zh-CN"/>
        </w:rPr>
        <w:t>五是充分摸底调研物流需求，针对性谋划重大物流项目。物流枢纽规划前期，需全面摸清全市及周边制造业企业货物流量流向，找准服务对象、明确规模需求，有针对性地配套建设物流服务设施。扬州港物流园规划初期，在政府部门牵头组织下，扬州港务集团开展全市生产制造企业物流需求调研，掌握扬州规上制造业企业的货物品类、流量流向，理清了扬州港物流园发展方向，按</w:t>
      </w:r>
      <w:r>
        <w:rPr>
          <w:rFonts w:hint="eastAsia"/>
          <w:color w:val="auto"/>
          <w:lang w:val="en-US" w:eastAsia="zh-CN"/>
        </w:rPr>
        <w:t>照“</w:t>
      </w:r>
      <w:r>
        <w:rPr>
          <w:rFonts w:hint="default" w:ascii="Times New Roman" w:hAnsi="Times New Roman"/>
          <w:color w:val="auto"/>
          <w:lang w:val="en-US" w:eastAsia="zh-CN"/>
        </w:rPr>
        <w:t>一企一策一方案</w:t>
      </w:r>
      <w:r>
        <w:rPr>
          <w:rFonts w:hint="eastAsia"/>
          <w:color w:val="auto"/>
          <w:lang w:val="en-US" w:eastAsia="zh-CN"/>
        </w:rPr>
        <w:t>”提供专业化物流服务，通过</w:t>
      </w:r>
      <w:r>
        <w:rPr>
          <w:rFonts w:hint="default" w:ascii="Times New Roman" w:hAnsi="Times New Roman"/>
          <w:color w:val="auto"/>
          <w:lang w:val="en-US" w:eastAsia="zh-CN"/>
        </w:rPr>
        <w:t>签订</w:t>
      </w:r>
      <w:r>
        <w:rPr>
          <w:rFonts w:hint="eastAsia"/>
          <w:color w:val="auto"/>
          <w:lang w:val="en-US" w:eastAsia="zh-CN"/>
        </w:rPr>
        <w:t>“</w:t>
      </w:r>
      <w:r>
        <w:rPr>
          <w:rFonts w:hint="default" w:ascii="Times New Roman" w:hAnsi="Times New Roman"/>
          <w:color w:val="auto"/>
          <w:lang w:val="en-US" w:eastAsia="zh-CN"/>
        </w:rPr>
        <w:t>量价互保</w:t>
      </w:r>
      <w:r>
        <w:rPr>
          <w:rFonts w:hint="eastAsia"/>
          <w:color w:val="auto"/>
          <w:lang w:val="en-US" w:eastAsia="zh-CN"/>
        </w:rPr>
        <w:t>”</w:t>
      </w:r>
      <w:r>
        <w:rPr>
          <w:rFonts w:hint="default" w:ascii="Times New Roman" w:hAnsi="Times New Roman"/>
          <w:color w:val="auto"/>
          <w:lang w:val="en-US" w:eastAsia="zh-CN"/>
        </w:rPr>
        <w:t>协议</w:t>
      </w:r>
      <w:r>
        <w:rPr>
          <w:rFonts w:hint="eastAsia"/>
          <w:color w:val="auto"/>
          <w:lang w:val="en-US" w:eastAsia="zh-CN"/>
        </w:rPr>
        <w:t>保障园区货源稳定，</w:t>
      </w:r>
      <w:r>
        <w:rPr>
          <w:rFonts w:hint="default" w:ascii="Times New Roman" w:hAnsi="Times New Roman"/>
          <w:color w:val="auto"/>
          <w:lang w:val="en-US" w:eastAsia="zh-CN"/>
        </w:rPr>
        <w:t>精准布局物流功能需求及规模，形成了以风电大件运输为核心</w:t>
      </w:r>
      <w:r>
        <w:rPr>
          <w:rFonts w:hint="eastAsia"/>
          <w:color w:val="auto"/>
          <w:lang w:val="en-US" w:eastAsia="zh-CN"/>
        </w:rPr>
        <w:t>优势</w:t>
      </w:r>
      <w:r>
        <w:rPr>
          <w:rFonts w:hint="default" w:ascii="Times New Roman" w:hAnsi="Times New Roman"/>
          <w:color w:val="auto"/>
          <w:lang w:val="en-US" w:eastAsia="zh-CN"/>
        </w:rPr>
        <w:t>的</w:t>
      </w:r>
      <w:r>
        <w:rPr>
          <w:rFonts w:hint="eastAsia"/>
          <w:color w:val="auto"/>
          <w:lang w:val="en-US" w:eastAsia="zh-CN"/>
        </w:rPr>
        <w:t>物流服务体系</w:t>
      </w:r>
      <w:r>
        <w:rPr>
          <w:rFonts w:hint="default" w:ascii="Times New Roman" w:hAnsi="Times New Roman"/>
          <w:color w:val="auto"/>
          <w:lang w:val="en-US" w:eastAsia="zh-CN"/>
        </w:rPr>
        <w:t>。</w:t>
      </w:r>
    </w:p>
    <w:p>
      <w:pPr>
        <w:bidi w:val="0"/>
        <w:rPr>
          <w:rFonts w:hint="default" w:ascii="Times New Roman" w:hAnsi="Times New Roman" w:eastAsia="仿宋_GB2312"/>
          <w:color w:val="auto"/>
          <w:sz w:val="32"/>
          <w:szCs w:val="32"/>
          <w:lang w:val="en-US" w:eastAsia="zh-CN"/>
        </w:rPr>
      </w:pPr>
    </w:p>
    <w:p>
      <w:pPr>
        <w:pStyle w:val="3"/>
        <w:bidi w:val="0"/>
        <w:rPr>
          <w:rFonts w:hint="default" w:ascii="Times New Roman" w:hAnsi="Times New Roman" w:cs="Times New Roman"/>
          <w:color w:val="auto"/>
          <w:lang w:val="en-US" w:eastAsia="zh-CN"/>
        </w:rPr>
        <w:sectPr>
          <w:pgSz w:w="23811" w:h="16838" w:orient="landscape"/>
          <w:pgMar w:top="1800" w:right="1440" w:bottom="1800" w:left="1440" w:header="851" w:footer="992" w:gutter="0"/>
          <w:pgNumType w:fmt="decimal"/>
          <w:cols w:space="1280" w:num="2"/>
          <w:docGrid w:type="lines" w:linePitch="312" w:charSpace="0"/>
        </w:sectPr>
      </w:pPr>
    </w:p>
    <w:p>
      <w:pPr>
        <w:pStyle w:val="3"/>
        <w:bidi w:val="0"/>
        <w:rPr>
          <w:rFonts w:hint="default" w:ascii="Times New Roman" w:hAnsi="Times New Roman" w:cs="Times New Roman"/>
          <w:color w:val="auto"/>
          <w:lang w:val="en-US" w:eastAsia="zh-CN"/>
        </w:rPr>
      </w:pPr>
      <w:bookmarkStart w:id="109" w:name="_Toc3679"/>
      <w:r>
        <w:rPr>
          <w:rFonts w:hint="default" w:ascii="Times New Roman" w:hAnsi="Times New Roman" w:cs="Times New Roman"/>
          <w:color w:val="auto"/>
          <w:lang w:val="en-US" w:eastAsia="zh-CN"/>
        </w:rPr>
        <w:t>发展定位与目标</w:t>
      </w:r>
      <w:bookmarkEnd w:id="9"/>
      <w:bookmarkEnd w:id="10"/>
      <w:bookmarkEnd w:id="11"/>
      <w:bookmarkEnd w:id="12"/>
      <w:bookmarkEnd w:id="13"/>
      <w:bookmarkEnd w:id="109"/>
    </w:p>
    <w:p>
      <w:pPr>
        <w:pStyle w:val="4"/>
        <w:bidi w:val="0"/>
        <w:rPr>
          <w:rFonts w:hint="default" w:ascii="Times New Roman" w:hAnsi="Times New Roman" w:cs="Times New Roman"/>
          <w:color w:val="auto"/>
          <w:lang w:val="en-US" w:eastAsia="zh-CN"/>
        </w:rPr>
      </w:pPr>
      <w:bookmarkStart w:id="110" w:name="_Toc8702"/>
      <w:bookmarkStart w:id="111" w:name="_Toc14729"/>
      <w:bookmarkStart w:id="112" w:name="_Toc337"/>
      <w:bookmarkStart w:id="113" w:name="_Toc9192"/>
      <w:bookmarkStart w:id="114" w:name="_Toc23723"/>
      <w:bookmarkStart w:id="115" w:name="_Toc315"/>
      <w:r>
        <w:rPr>
          <w:rFonts w:hint="default" w:ascii="Times New Roman" w:hAnsi="Times New Roman" w:cs="Times New Roman"/>
          <w:color w:val="auto"/>
          <w:lang w:val="en-US" w:eastAsia="zh-CN"/>
        </w:rPr>
        <w:t>战略定位</w:t>
      </w:r>
      <w:bookmarkEnd w:id="110"/>
      <w:bookmarkEnd w:id="111"/>
      <w:bookmarkEnd w:id="112"/>
      <w:bookmarkEnd w:id="113"/>
      <w:bookmarkEnd w:id="114"/>
      <w:bookmarkEnd w:id="115"/>
    </w:p>
    <w:p>
      <w:pPr>
        <w:spacing w:line="600" w:lineRule="exact"/>
        <w:ind w:firstLine="640" w:firstLineChars="200"/>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抢抓“一带一路”、长江经济带、西部陆海新通道、成渝地区双城经济圈建设等国家重大战略机遇，坚持对外开放和扩大内需有机结合</w:t>
      </w:r>
      <w:r>
        <w:rPr>
          <w:rFonts w:hint="default" w:ascii="Times New Roman" w:hAnsi="Times New Roman" w:cs="Times New Roman"/>
          <w:color w:val="auto"/>
          <w:sz w:val="32"/>
          <w:szCs w:val="32"/>
          <w:lang w:val="en-US" w:eastAsia="zh-CN"/>
        </w:rPr>
        <w:t>，</w:t>
      </w:r>
      <w:r>
        <w:rPr>
          <w:rFonts w:hint="default" w:ascii="Times New Roman" w:hAnsi="Times New Roman" w:eastAsia="仿宋_GB2312" w:cs="Times New Roman"/>
          <w:color w:val="auto"/>
          <w:sz w:val="32"/>
          <w:szCs w:val="32"/>
          <w:lang w:val="en-US" w:eastAsia="zh-CN"/>
        </w:rPr>
        <w:t>突出“四向拓展、全域开放”，</w:t>
      </w:r>
      <w:r>
        <w:rPr>
          <w:rFonts w:hint="default" w:ascii="Times New Roman" w:hAnsi="Times New Roman" w:cs="Times New Roman"/>
          <w:color w:val="auto"/>
          <w:sz w:val="32"/>
          <w:szCs w:val="32"/>
          <w:lang w:val="en-US" w:eastAsia="zh-CN"/>
        </w:rPr>
        <w:t>以支撑乐山建设全省重要的区域交通物流枢纽为统领，以公铁水空一站式服务为重点，以通道网、物流网、数联网“三网”深度融合为抓手，持续增强</w:t>
      </w:r>
      <w:r>
        <w:rPr>
          <w:rFonts w:hint="eastAsia" w:ascii="Times New Roman" w:hAnsi="Times New Roman" w:cs="Times New Roman"/>
          <w:color w:val="auto"/>
          <w:sz w:val="32"/>
          <w:szCs w:val="32"/>
          <w:lang w:val="en-US" w:eastAsia="zh-CN"/>
        </w:rPr>
        <w:t>乐山</w:t>
      </w:r>
      <w:r>
        <w:rPr>
          <w:rFonts w:hint="default" w:ascii="Times New Roman" w:hAnsi="Times New Roman" w:cs="Times New Roman"/>
          <w:color w:val="auto"/>
          <w:sz w:val="32"/>
          <w:szCs w:val="32"/>
          <w:lang w:val="en-US" w:eastAsia="zh-CN"/>
        </w:rPr>
        <w:t>国际资源要素集聚与辐射能力、规则制度</w:t>
      </w:r>
      <w:r>
        <w:rPr>
          <w:rFonts w:hint="default" w:ascii="Times New Roman" w:hAnsi="Times New Roman" w:eastAsia="仿宋_GB2312" w:cs="Times New Roman"/>
          <w:color w:val="auto"/>
          <w:sz w:val="32"/>
          <w:szCs w:val="32"/>
          <w:lang w:val="en-US" w:eastAsia="zh-CN"/>
        </w:rPr>
        <w:t>集成创新</w:t>
      </w:r>
      <w:r>
        <w:rPr>
          <w:rFonts w:hint="default" w:ascii="Times New Roman" w:hAnsi="Times New Roman" w:eastAsia="仿宋_GB2312" w:cs="Times New Roman"/>
          <w:b w:val="0"/>
          <w:bCs w:val="0"/>
          <w:color w:val="auto"/>
          <w:sz w:val="32"/>
          <w:szCs w:val="32"/>
          <w:lang w:val="en-US" w:eastAsia="zh-CN"/>
        </w:rPr>
        <w:t>能力、信息资源汇聚运用能力，</w:t>
      </w:r>
      <w:r>
        <w:rPr>
          <w:rFonts w:hint="default" w:ascii="Times New Roman" w:hAnsi="Times New Roman" w:cs="Times New Roman"/>
          <w:b w:val="0"/>
          <w:bCs w:val="0"/>
          <w:color w:val="auto"/>
          <w:sz w:val="32"/>
          <w:szCs w:val="32"/>
          <w:lang w:val="en-US" w:eastAsia="zh-CN"/>
        </w:rPr>
        <w:t>塑造开放型经济发展新优势</w:t>
      </w:r>
      <w:r>
        <w:rPr>
          <w:rFonts w:hint="default" w:ascii="Times New Roman" w:hAnsi="Times New Roman" w:eastAsia="仿宋_GB2312" w:cs="Times New Roman"/>
          <w:b w:val="0"/>
          <w:bCs w:val="0"/>
          <w:color w:val="auto"/>
          <w:sz w:val="32"/>
          <w:szCs w:val="32"/>
          <w:lang w:val="en-US" w:eastAsia="zh-CN"/>
        </w:rPr>
        <w:t>，</w:t>
      </w:r>
      <w:r>
        <w:rPr>
          <w:rFonts w:hint="default" w:ascii="Times New Roman" w:hAnsi="Times New Roman" w:cs="Times New Roman"/>
          <w:b w:val="0"/>
          <w:bCs w:val="0"/>
          <w:color w:val="auto"/>
          <w:sz w:val="32"/>
          <w:szCs w:val="32"/>
          <w:lang w:val="en-US" w:eastAsia="zh-CN"/>
        </w:rPr>
        <w:t>将四川省公铁水空一站式多式联运示范基地</w:t>
      </w:r>
      <w:r>
        <w:rPr>
          <w:rFonts w:hint="default" w:ascii="Times New Roman" w:hAnsi="Times New Roman" w:eastAsia="仿宋_GB2312" w:cs="Times New Roman"/>
          <w:b w:val="0"/>
          <w:bCs w:val="0"/>
          <w:color w:val="auto"/>
          <w:sz w:val="32"/>
          <w:szCs w:val="32"/>
          <w:lang w:val="en-US" w:eastAsia="zh-CN"/>
        </w:rPr>
        <w:t>打</w:t>
      </w:r>
      <w:r>
        <w:rPr>
          <w:rFonts w:hint="eastAsia" w:ascii="仿宋_GB2312" w:hAnsi="仿宋_GB2312" w:eastAsia="仿宋_GB2312" w:cs="仿宋_GB2312"/>
          <w:b w:val="0"/>
          <w:bCs w:val="0"/>
          <w:color w:val="auto"/>
          <w:sz w:val="32"/>
          <w:szCs w:val="32"/>
          <w:lang w:val="en-US" w:eastAsia="zh-CN"/>
        </w:rPr>
        <w:t>造为西部地区保障国家战略资源流通的骨干枢纽、成渝地区物流供应链创新组织中心，</w:t>
      </w:r>
      <w:r>
        <w:rPr>
          <w:rFonts w:hint="eastAsia" w:ascii="仿宋_GB2312" w:hAnsi="仿宋_GB2312" w:eastAsia="仿宋_GB2312" w:cs="仿宋_GB2312"/>
          <w:color w:val="auto"/>
          <w:sz w:val="32"/>
          <w:szCs w:val="32"/>
          <w:lang w:val="en-US" w:eastAsia="zh-CN"/>
        </w:rPr>
        <w:t>全面推动乐山实现城市区位重构、物流通道重造和产业生态重塑。</w:t>
      </w:r>
    </w:p>
    <w:p>
      <w:pPr>
        <w:spacing w:line="600" w:lineRule="exact"/>
        <w:ind w:firstLine="640" w:firstLineChars="200"/>
        <w:rPr>
          <w:rFonts w:hint="default" w:ascii="Times New Roman" w:hAnsi="Times New Roman" w:cs="Times New Roman"/>
          <w:b/>
          <w:bCs/>
          <w:color w:val="auto"/>
          <w:sz w:val="32"/>
          <w:szCs w:val="32"/>
          <w:lang w:val="en-US" w:eastAsia="zh-CN"/>
        </w:rPr>
      </w:pPr>
      <w:r>
        <w:rPr>
          <w:rFonts w:hint="default" w:ascii="Times New Roman" w:hAnsi="Times New Roman" w:eastAsia="黑体" w:cs="Times New Roman"/>
          <w:b w:val="0"/>
          <w:bCs w:val="0"/>
          <w:color w:val="auto"/>
          <w:sz w:val="32"/>
          <w:szCs w:val="32"/>
          <w:lang w:val="en-US" w:eastAsia="zh-CN"/>
        </w:rPr>
        <w:t>1.西部地区保障国家战略资源流通的骨干枢纽</w:t>
      </w:r>
    </w:p>
    <w:p>
      <w:pPr>
        <w:spacing w:line="600" w:lineRule="exact"/>
        <w:ind w:firstLine="640" w:firstLineChars="200"/>
        <w:rPr>
          <w:rFonts w:hint="default" w:ascii="Times New Roman" w:hAnsi="Times New Roman" w:cs="Times New Roman"/>
          <w:color w:val="auto"/>
          <w:sz w:val="32"/>
          <w:szCs w:val="32"/>
          <w:lang w:val="en-US" w:eastAsia="zh-CN"/>
        </w:rPr>
      </w:pPr>
      <w:r>
        <w:rPr>
          <w:rFonts w:hint="default" w:ascii="Times New Roman" w:hAnsi="Times New Roman" w:cs="Times New Roman"/>
          <w:color w:val="auto"/>
          <w:sz w:val="32"/>
          <w:szCs w:val="32"/>
          <w:lang w:val="en-US" w:eastAsia="zh-CN"/>
        </w:rPr>
        <w:t>立足乐山作为“一带一路”、长江经济带、西部陆海新通道交汇点的开放枢纽地位，以保障战略资源供应链安全为使命，充分发挥乐山钒钛、磷矿等战略性资源加工储备优势和公铁水空多式联运体系衔接能力，积极融入西部矿产品骨干流通走廊、西南农资骨干流通走廊建设，</w:t>
      </w:r>
      <w:r>
        <w:rPr>
          <w:rFonts w:hint="eastAsia" w:cs="Times New Roman"/>
          <w:color w:val="auto"/>
          <w:sz w:val="32"/>
          <w:szCs w:val="32"/>
          <w:lang w:val="en-US" w:eastAsia="zh-CN"/>
        </w:rPr>
        <w:t>依托规划渝自雅铁路乐雅段连接</w:t>
      </w:r>
      <w:r>
        <w:rPr>
          <w:rFonts w:hint="default" w:ascii="Times New Roman" w:hAnsi="Times New Roman" w:cs="Times New Roman"/>
          <w:color w:val="auto"/>
          <w:sz w:val="32"/>
          <w:szCs w:val="32"/>
          <w:lang w:val="en-US" w:eastAsia="zh-CN"/>
        </w:rPr>
        <w:t>长江经济带、川藏铁路等国家战略通道，加快完善大宗战略物资物流仓储设施布局，创新培育一批</w:t>
      </w:r>
      <w:r>
        <w:rPr>
          <w:rFonts w:hint="eastAsia" w:cs="Times New Roman"/>
          <w:color w:val="auto"/>
          <w:sz w:val="32"/>
          <w:szCs w:val="32"/>
          <w:lang w:val="en-US" w:eastAsia="zh-CN"/>
        </w:rPr>
        <w:t>特色</w:t>
      </w:r>
      <w:r>
        <w:rPr>
          <w:rFonts w:hint="default" w:ascii="Times New Roman" w:hAnsi="Times New Roman" w:cs="Times New Roman"/>
          <w:color w:val="auto"/>
          <w:sz w:val="32"/>
          <w:szCs w:val="32"/>
          <w:lang w:val="en-US" w:eastAsia="zh-CN"/>
        </w:rPr>
        <w:t>多式联运精品线路，着力构建“储备基地+流通枢纽+应急保障”综合立体战略资源流通体系，强化战略资源的规模化集散与高效调配，降低区域关键产业链供应链风险，提升川藏地区物资流通保障能力，推动“资源流通—产业协作—市场互通”区域一体化发展，持续放大“走廊+经贸+产业”联动效应，为四川建设产业备份基地、推进新时代西部大开发提供坚实支撑，为西部地区融入全球关键产业链、维护国家资源安全提供战略保障。</w:t>
      </w:r>
    </w:p>
    <w:p>
      <w:pPr>
        <w:spacing w:line="600" w:lineRule="exact"/>
        <w:ind w:firstLine="640" w:firstLineChars="200"/>
        <w:rPr>
          <w:rFonts w:hint="default" w:ascii="Times New Roman" w:hAnsi="Times New Roman" w:cs="Times New Roman"/>
          <w:color w:val="auto"/>
          <w:sz w:val="32"/>
          <w:szCs w:val="32"/>
          <w:lang w:val="en-US" w:eastAsia="zh-CN"/>
        </w:rPr>
      </w:pPr>
      <w:r>
        <w:rPr>
          <w:rFonts w:hint="default" w:ascii="Times New Roman" w:hAnsi="Times New Roman" w:eastAsia="黑体" w:cs="Times New Roman"/>
          <w:b w:val="0"/>
          <w:bCs w:val="0"/>
          <w:color w:val="auto"/>
          <w:sz w:val="32"/>
          <w:szCs w:val="32"/>
          <w:lang w:val="en-US" w:eastAsia="zh-CN"/>
        </w:rPr>
        <w:t>2.成渝地区物流供应链创新组织中心</w:t>
      </w:r>
    </w:p>
    <w:p>
      <w:pPr>
        <w:keepNext w:val="0"/>
        <w:keepLines w:val="0"/>
        <w:widowControl/>
        <w:suppressLineNumbers w:val="0"/>
        <w:jc w:val="left"/>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抢抓全省实施现代物流产业建圈强链机遇，</w:t>
      </w:r>
      <w:r>
        <w:rPr>
          <w:rFonts w:hint="default" w:ascii="Times New Roman" w:hAnsi="Times New Roman" w:cs="Times New Roman"/>
          <w:color w:val="auto"/>
          <w:lang w:val="en-US" w:eastAsia="zh-CN"/>
        </w:rPr>
        <w:t>以搭建示范基地数智化物流供应链服务平台为抓手，</w:t>
      </w:r>
      <w:r>
        <w:rPr>
          <w:rFonts w:hint="eastAsia" w:ascii="Times New Roman" w:hAnsi="Times New Roman" w:cs="Times New Roman"/>
          <w:color w:val="auto"/>
          <w:lang w:val="en-US" w:eastAsia="zh-CN"/>
        </w:rPr>
        <w:t>以实现“一次委托、一单到底、一箱到底”的</w:t>
      </w:r>
      <w:r>
        <w:rPr>
          <w:rFonts w:hint="eastAsia" w:cs="Times New Roman"/>
          <w:color w:val="auto"/>
          <w:lang w:val="en-US" w:eastAsia="zh-CN"/>
        </w:rPr>
        <w:t>“</w:t>
      </w:r>
      <w:r>
        <w:rPr>
          <w:rFonts w:hint="eastAsia" w:ascii="Times New Roman" w:hAnsi="Times New Roman" w:cs="Times New Roman"/>
          <w:color w:val="auto"/>
          <w:lang w:val="en-US" w:eastAsia="zh-CN"/>
        </w:rPr>
        <w:t>一站式</w:t>
      </w:r>
      <w:r>
        <w:rPr>
          <w:rFonts w:hint="eastAsia" w:cs="Times New Roman"/>
          <w:color w:val="auto"/>
          <w:lang w:val="en-US" w:eastAsia="zh-CN"/>
        </w:rPr>
        <w:t>”</w:t>
      </w:r>
      <w:r>
        <w:rPr>
          <w:rFonts w:hint="eastAsia" w:ascii="Times New Roman" w:hAnsi="Times New Roman" w:cs="Times New Roman"/>
          <w:color w:val="auto"/>
          <w:lang w:val="en-US" w:eastAsia="zh-CN"/>
        </w:rPr>
        <w:t>现代物流服务为目标，</w:t>
      </w:r>
      <w:r>
        <w:rPr>
          <w:rFonts w:hint="default" w:ascii="Times New Roman" w:hAnsi="Times New Roman" w:cs="Times New Roman"/>
          <w:color w:val="auto"/>
          <w:lang w:val="en-US" w:eastAsia="zh-CN"/>
        </w:rPr>
        <w:t>引导物流、商流、信息流、资金流高效协同，</w:t>
      </w:r>
      <w:r>
        <w:rPr>
          <w:rFonts w:hint="eastAsia" w:ascii="Times New Roman" w:hAnsi="Times New Roman" w:cs="Times New Roman"/>
          <w:color w:val="auto"/>
          <w:lang w:val="en-US" w:eastAsia="zh-CN"/>
        </w:rPr>
        <w:t>促进贸易、生产、运输、保险等各环节企业资源优化整合，加强不同运输方式物流信息数据互联共享，协同打造数字化、智能化、透明化供应链体系，提升供应链上下游供需精准对接效率，推动海关、交通、税务等业务单一窗口联动办理，创新铁水、水水中转等多式联运组织模式，探索推动铁路箱和水运箱共用，推进各种运输方式间转运交接、货物交付、信息互联、保险理赔等规则衔接，稳步提升交通物流的单证统一化、装备标准化水平，全面增强物资流通“端到端、门到门”全程服务能力，为全省发展现代物流新质生产力提供乐山经验。</w:t>
      </w:r>
    </w:p>
    <w:p>
      <w:pPr>
        <w:pStyle w:val="4"/>
        <w:bidi w:val="0"/>
        <w:rPr>
          <w:rFonts w:hint="default" w:ascii="Times New Roman" w:hAnsi="Times New Roman" w:cs="Times New Roman"/>
          <w:color w:val="auto"/>
          <w:lang w:val="en-US" w:eastAsia="zh-CN"/>
        </w:rPr>
      </w:pPr>
      <w:bookmarkStart w:id="116" w:name="_Toc27764"/>
      <w:bookmarkStart w:id="117" w:name="_Toc25696"/>
      <w:bookmarkStart w:id="118" w:name="_Toc12231"/>
      <w:bookmarkStart w:id="119" w:name="_Toc4248"/>
      <w:bookmarkStart w:id="120" w:name="_Toc2057"/>
      <w:bookmarkStart w:id="121" w:name="_Toc4462"/>
      <w:r>
        <w:rPr>
          <w:rFonts w:hint="default" w:ascii="Times New Roman" w:hAnsi="Times New Roman" w:cs="Times New Roman"/>
          <w:color w:val="auto"/>
          <w:lang w:val="en-US" w:eastAsia="zh-CN"/>
        </w:rPr>
        <w:t>发展策略</w:t>
      </w:r>
      <w:bookmarkEnd w:id="116"/>
      <w:bookmarkEnd w:id="117"/>
      <w:bookmarkEnd w:id="118"/>
      <w:bookmarkEnd w:id="119"/>
      <w:bookmarkEnd w:id="120"/>
      <w:bookmarkEnd w:id="121"/>
    </w:p>
    <w:p>
      <w:pPr>
        <w:keepNext w:val="0"/>
        <w:keepLines w:val="0"/>
        <w:widowControl/>
        <w:suppressLineNumbers w:val="0"/>
        <w:jc w:val="left"/>
        <w:rPr>
          <w:rFonts w:hint="eastAsia" w:cs="Times New Roman"/>
          <w:color w:val="auto"/>
          <w:sz w:val="32"/>
          <w:szCs w:val="32"/>
          <w:lang w:val="en-US" w:eastAsia="zh-CN"/>
        </w:rPr>
      </w:pPr>
      <w:r>
        <w:rPr>
          <w:rFonts w:hint="eastAsia" w:ascii="仿宋_GB2312" w:hAnsi="仿宋_GB2312" w:eastAsia="仿宋_GB2312" w:cs="仿宋_GB2312"/>
          <w:color w:val="auto"/>
          <w:sz w:val="32"/>
          <w:szCs w:val="32"/>
          <w:lang w:val="en-US" w:eastAsia="zh-CN"/>
        </w:rPr>
        <w:t>差异化发展策略。</w:t>
      </w:r>
      <w:r>
        <w:rPr>
          <w:rFonts w:hint="default" w:ascii="Times New Roman" w:hAnsi="Times New Roman" w:cs="Times New Roman"/>
          <w:color w:val="auto"/>
          <w:sz w:val="32"/>
          <w:szCs w:val="32"/>
          <w:lang w:val="en-US" w:eastAsia="zh-CN"/>
        </w:rPr>
        <w:t>结合不同货物运输特点和全市物流基础设施条件，突出与宜宾、泸州等</w:t>
      </w:r>
      <w:r>
        <w:rPr>
          <w:rFonts w:hint="eastAsia" w:cs="Times New Roman"/>
          <w:color w:val="auto"/>
          <w:sz w:val="32"/>
          <w:szCs w:val="32"/>
          <w:lang w:val="en-US" w:eastAsia="zh-CN"/>
        </w:rPr>
        <w:t>市外</w:t>
      </w:r>
      <w:r>
        <w:rPr>
          <w:rFonts w:hint="default" w:ascii="Times New Roman" w:hAnsi="Times New Roman" w:cs="Times New Roman"/>
          <w:color w:val="auto"/>
          <w:sz w:val="32"/>
          <w:szCs w:val="32"/>
          <w:lang w:val="en-US" w:eastAsia="zh-CN"/>
        </w:rPr>
        <w:t>周边物流枢纽城市差异化竞争，</w:t>
      </w:r>
      <w:r>
        <w:rPr>
          <w:rFonts w:hint="eastAsia" w:cs="Times New Roman"/>
          <w:color w:val="auto"/>
          <w:sz w:val="32"/>
          <w:szCs w:val="32"/>
          <w:lang w:val="en-US" w:eastAsia="zh-CN"/>
        </w:rPr>
        <w:t>与市内峨眉山燕岗铁路货运站、夹江集装箱物流园、犍为高石坝作业区等物流园区协调发展，</w:t>
      </w:r>
      <w:r>
        <w:rPr>
          <w:rFonts w:hint="default" w:ascii="Times New Roman" w:hAnsi="Times New Roman" w:cs="Times New Roman"/>
          <w:color w:val="auto"/>
          <w:sz w:val="32"/>
          <w:szCs w:val="32"/>
          <w:lang w:val="en-US" w:eastAsia="zh-CN"/>
        </w:rPr>
        <w:t>积极做强大件运输、化工运输、新型建材运输等特色物流和大宗物资贸易，合理确定示范基地物流服务模式和重点服务产业，科学规划港口物流、铁路物流、公路物流和航空物流功能区等细分布局，构建“宜铁则铁、宜水则水、宜公则公、宜空则空”的综合运输服务格局，有效推动运输结构调整。</w:t>
      </w:r>
      <w:r>
        <w:rPr>
          <w:rFonts w:hint="eastAsia" w:cs="Times New Roman"/>
          <w:color w:val="auto"/>
          <w:sz w:val="32"/>
          <w:szCs w:val="32"/>
          <w:lang w:val="en-US" w:eastAsia="zh-CN"/>
        </w:rPr>
        <w:t>研究在雅安、眉山、成都、德阳等地建设无水港，将示范基地打造为成都平原经济区入江出海“第一港”。</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5</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r>
        <w:rPr>
          <w:rFonts w:hint="eastAsia"/>
          <w:color w:val="auto"/>
          <w:lang w:val="en-US" w:eastAsia="zh-CN"/>
        </w:rPr>
        <w:t xml:space="preserve"> 项目与泸州、宜宾差异化对比分析表</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653"/>
        <w:gridCol w:w="3064"/>
        <w:gridCol w:w="3119"/>
        <w:gridCol w:w="3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2" w:hRule="atLeast"/>
          <w:tblHeader/>
        </w:trPr>
        <w:tc>
          <w:tcPr>
            <w:tcW w:w="323" w:type="pct"/>
            <w:shd w:val="clear" w:color="auto" w:fill="auto"/>
            <w:tcMar>
              <w:top w:w="72" w:type="dxa"/>
              <w:left w:w="144" w:type="dxa"/>
              <w:bottom w:w="72" w:type="dxa"/>
              <w:right w:w="144" w:type="dxa"/>
            </w:tcMar>
            <w:vAlign w:val="center"/>
          </w:tcPr>
          <w:p>
            <w:pPr>
              <w:pStyle w:val="28"/>
              <w:keepNext/>
              <w:keepLines w:val="0"/>
              <w:pageBreakBefore w:val="0"/>
              <w:widowControl w:val="0"/>
              <w:kinsoku/>
              <w:wordWrap/>
              <w:overflowPunct/>
              <w:topLinePunct w:val="0"/>
              <w:autoSpaceDE/>
              <w:autoSpaceDN/>
              <w:bidi w:val="0"/>
              <w:adjustRightInd w:val="0"/>
              <w:snapToGrid w:val="0"/>
              <w:textAlignment w:val="auto"/>
              <w:rPr>
                <w:color w:val="auto"/>
                <w:sz w:val="24"/>
                <w:szCs w:val="24"/>
              </w:rPr>
            </w:pPr>
          </w:p>
        </w:tc>
        <w:tc>
          <w:tcPr>
            <w:tcW w:w="1515"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示范基地</w:t>
            </w:r>
          </w:p>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（大件码头）</w:t>
            </w:r>
          </w:p>
        </w:tc>
        <w:tc>
          <w:tcPr>
            <w:tcW w:w="1542"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泸州国家物流枢纽核心区</w:t>
            </w:r>
          </w:p>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（泸州港国际集装箱码头）</w:t>
            </w:r>
          </w:p>
        </w:tc>
        <w:tc>
          <w:tcPr>
            <w:tcW w:w="1617" w:type="pct"/>
            <w:shd w:val="clear" w:color="auto" w:fill="auto"/>
            <w:tcMar>
              <w:top w:w="72" w:type="dxa"/>
              <w:left w:w="144" w:type="dxa"/>
              <w:bottom w:w="72" w:type="dxa"/>
              <w:right w:w="144" w:type="dxa"/>
            </w:tcMar>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宜宾港国家物流枢纽核心区</w:t>
            </w:r>
          </w:p>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（宜宾港国际集装箱码头）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19" w:hRule="atLeast"/>
        </w:trPr>
        <w:tc>
          <w:tcPr>
            <w:tcW w:w="323" w:type="pct"/>
            <w:shd w:val="clear" w:color="auto" w:fill="auto"/>
            <w:tcMar>
              <w:top w:w="72" w:type="dxa"/>
              <w:left w:w="144" w:type="dxa"/>
              <w:bottom w:w="72" w:type="dxa"/>
              <w:right w:w="144" w:type="dxa"/>
            </w:tcMar>
            <w:vAlign w:val="center"/>
          </w:tcPr>
          <w:p>
            <w:pPr>
              <w:pStyle w:val="28"/>
              <w:bidi w:val="0"/>
              <w:rPr>
                <w:color w:val="auto"/>
                <w:sz w:val="24"/>
                <w:szCs w:val="24"/>
              </w:rPr>
            </w:pPr>
            <w:r>
              <w:rPr>
                <w:color w:val="auto"/>
                <w:sz w:val="24"/>
                <w:szCs w:val="24"/>
              </w:rPr>
              <w:t>优势</w:t>
            </w:r>
          </w:p>
        </w:tc>
        <w:tc>
          <w:tcPr>
            <w:tcW w:w="1515" w:type="pct"/>
            <w:shd w:val="clear" w:color="auto" w:fill="auto"/>
            <w:tcMar>
              <w:top w:w="72" w:type="dxa"/>
              <w:left w:w="144" w:type="dxa"/>
              <w:bottom w:w="72" w:type="dxa"/>
              <w:right w:w="144" w:type="dxa"/>
            </w:tcMar>
            <w:vAlign w:val="center"/>
          </w:tcPr>
          <w:p>
            <w:pPr>
              <w:pStyle w:val="28"/>
              <w:bidi w:val="0"/>
              <w:jc w:val="left"/>
              <w:rPr>
                <w:color w:val="auto"/>
                <w:sz w:val="24"/>
                <w:szCs w:val="24"/>
              </w:rPr>
            </w:pPr>
            <w:r>
              <w:rPr>
                <w:rFonts w:hint="eastAsia"/>
                <w:color w:val="auto"/>
                <w:sz w:val="24"/>
                <w:szCs w:val="24"/>
              </w:rPr>
              <w:t>（1）是成都、德阳、绵阳、眉山、雅安等地联系长江经济带最近港口</w:t>
            </w:r>
          </w:p>
          <w:p>
            <w:pPr>
              <w:pStyle w:val="28"/>
              <w:bidi w:val="0"/>
              <w:jc w:val="left"/>
              <w:rPr>
                <w:color w:val="auto"/>
                <w:sz w:val="24"/>
                <w:szCs w:val="24"/>
              </w:rPr>
            </w:pPr>
            <w:r>
              <w:rPr>
                <w:rFonts w:hint="eastAsia"/>
                <w:color w:val="auto"/>
                <w:sz w:val="24"/>
                <w:szCs w:val="24"/>
              </w:rPr>
              <w:t>（2）规划公铁水空运输方式齐全</w:t>
            </w:r>
          </w:p>
          <w:p>
            <w:pPr>
              <w:pStyle w:val="28"/>
              <w:bidi w:val="0"/>
              <w:jc w:val="left"/>
              <w:rPr>
                <w:color w:val="auto"/>
                <w:sz w:val="24"/>
                <w:szCs w:val="24"/>
              </w:rPr>
            </w:pPr>
            <w:r>
              <w:rPr>
                <w:rFonts w:hint="eastAsia"/>
                <w:color w:val="auto"/>
                <w:sz w:val="24"/>
                <w:szCs w:val="24"/>
              </w:rPr>
              <w:t>（3）大件水路运输特色物流全省绝对领先</w:t>
            </w:r>
          </w:p>
          <w:p>
            <w:pPr>
              <w:pStyle w:val="28"/>
              <w:bidi w:val="0"/>
              <w:jc w:val="left"/>
              <w:rPr>
                <w:color w:val="auto"/>
                <w:sz w:val="24"/>
                <w:szCs w:val="24"/>
              </w:rPr>
            </w:pPr>
            <w:r>
              <w:rPr>
                <w:rFonts w:hint="eastAsia"/>
                <w:color w:val="auto"/>
                <w:sz w:val="24"/>
                <w:szCs w:val="24"/>
              </w:rPr>
              <w:t>（4）全市绿色化工、新型建材等产业发达，本地货源基础条件好</w:t>
            </w:r>
          </w:p>
          <w:p>
            <w:pPr>
              <w:pStyle w:val="28"/>
              <w:bidi w:val="0"/>
              <w:jc w:val="left"/>
              <w:rPr>
                <w:color w:val="auto"/>
                <w:sz w:val="24"/>
                <w:szCs w:val="24"/>
              </w:rPr>
            </w:pPr>
            <w:r>
              <w:rPr>
                <w:rFonts w:hint="eastAsia"/>
                <w:color w:val="auto"/>
                <w:sz w:val="24"/>
                <w:szCs w:val="24"/>
              </w:rPr>
              <w:t>（5）大件码头后方陆域拓展条件较好，未来临港产业发展空间大</w:t>
            </w:r>
          </w:p>
        </w:tc>
        <w:tc>
          <w:tcPr>
            <w:tcW w:w="1542" w:type="pct"/>
            <w:shd w:val="clear" w:color="auto" w:fill="auto"/>
            <w:tcMar>
              <w:top w:w="72" w:type="dxa"/>
              <w:left w:w="144" w:type="dxa"/>
              <w:bottom w:w="72" w:type="dxa"/>
              <w:right w:w="144" w:type="dxa"/>
            </w:tcMar>
            <w:vAlign w:val="center"/>
          </w:tcPr>
          <w:p>
            <w:pPr>
              <w:pStyle w:val="28"/>
              <w:bidi w:val="0"/>
              <w:jc w:val="left"/>
              <w:rPr>
                <w:color w:val="auto"/>
                <w:sz w:val="24"/>
                <w:szCs w:val="24"/>
              </w:rPr>
            </w:pPr>
            <w:r>
              <w:rPr>
                <w:rFonts w:hint="eastAsia"/>
                <w:color w:val="auto"/>
                <w:sz w:val="24"/>
                <w:szCs w:val="24"/>
              </w:rPr>
              <w:t>（1）三级航道资源，四川最大集装箱码头，建成6个1000兼顾3000吨</w:t>
            </w:r>
            <w:r>
              <w:rPr>
                <w:rFonts w:hint="eastAsia"/>
                <w:color w:val="auto"/>
                <w:sz w:val="24"/>
                <w:szCs w:val="24"/>
                <w:lang w:val="en-US" w:eastAsia="zh-CN"/>
              </w:rPr>
              <w:t>级</w:t>
            </w:r>
            <w:r>
              <w:rPr>
                <w:rFonts w:hint="eastAsia"/>
                <w:color w:val="auto"/>
                <w:sz w:val="24"/>
                <w:szCs w:val="24"/>
              </w:rPr>
              <w:t>多用途</w:t>
            </w:r>
            <w:r>
              <w:rPr>
                <w:rFonts w:hint="eastAsia"/>
                <w:color w:val="auto"/>
                <w:sz w:val="24"/>
                <w:szCs w:val="24"/>
                <w:lang w:eastAsia="zh-CN"/>
              </w:rPr>
              <w:t>泊位</w:t>
            </w:r>
            <w:r>
              <w:rPr>
                <w:rFonts w:hint="eastAsia"/>
                <w:color w:val="auto"/>
                <w:sz w:val="24"/>
                <w:szCs w:val="24"/>
              </w:rPr>
              <w:t>，通过能力2300万吨</w:t>
            </w:r>
            <w:r>
              <w:rPr>
                <w:rFonts w:hint="eastAsia"/>
                <w:color w:val="auto"/>
                <w:sz w:val="24"/>
                <w:szCs w:val="24"/>
                <w:lang w:val="en-US" w:eastAsia="zh-CN"/>
              </w:rPr>
              <w:t>/年</w:t>
            </w:r>
            <w:r>
              <w:rPr>
                <w:rFonts w:hint="eastAsia"/>
                <w:color w:val="auto"/>
                <w:sz w:val="24"/>
                <w:szCs w:val="24"/>
              </w:rPr>
              <w:t>、25.5万标箱</w:t>
            </w:r>
            <w:r>
              <w:rPr>
                <w:rFonts w:hint="eastAsia"/>
                <w:color w:val="auto"/>
                <w:sz w:val="24"/>
                <w:szCs w:val="24"/>
                <w:lang w:val="en-US" w:eastAsia="zh-CN"/>
              </w:rPr>
              <w:t>/年</w:t>
            </w:r>
          </w:p>
          <w:p>
            <w:pPr>
              <w:pStyle w:val="28"/>
              <w:bidi w:val="0"/>
              <w:jc w:val="left"/>
              <w:rPr>
                <w:color w:val="auto"/>
                <w:sz w:val="24"/>
                <w:szCs w:val="24"/>
              </w:rPr>
            </w:pPr>
            <w:r>
              <w:rPr>
                <w:rFonts w:hint="eastAsia"/>
                <w:color w:val="auto"/>
                <w:sz w:val="24"/>
                <w:szCs w:val="24"/>
              </w:rPr>
              <w:t>（2）集装箱运输发达，铁水联运线路覆盖广，以开行泸州至武汉、南通、上海的直达航线为特色</w:t>
            </w:r>
          </w:p>
          <w:p>
            <w:pPr>
              <w:pStyle w:val="28"/>
              <w:bidi w:val="0"/>
              <w:jc w:val="left"/>
              <w:rPr>
                <w:color w:val="auto"/>
                <w:sz w:val="24"/>
                <w:szCs w:val="24"/>
              </w:rPr>
            </w:pPr>
            <w:r>
              <w:rPr>
                <w:rFonts w:hint="eastAsia"/>
                <w:color w:val="auto"/>
                <w:sz w:val="24"/>
                <w:szCs w:val="24"/>
              </w:rPr>
              <w:t>（3）国家水运开放口岸、综合保税、进境粮食和肉类指定口岸等国际物流功能完善</w:t>
            </w:r>
          </w:p>
        </w:tc>
        <w:tc>
          <w:tcPr>
            <w:tcW w:w="1617" w:type="pct"/>
            <w:shd w:val="clear" w:color="auto" w:fill="auto"/>
            <w:tcMar>
              <w:top w:w="72" w:type="dxa"/>
              <w:left w:w="144" w:type="dxa"/>
              <w:bottom w:w="72" w:type="dxa"/>
              <w:right w:w="144" w:type="dxa"/>
            </w:tcMar>
            <w:vAlign w:val="center"/>
          </w:tcPr>
          <w:p>
            <w:pPr>
              <w:pStyle w:val="28"/>
              <w:bidi w:val="0"/>
              <w:jc w:val="left"/>
              <w:rPr>
                <w:color w:val="auto"/>
                <w:sz w:val="24"/>
                <w:szCs w:val="24"/>
              </w:rPr>
            </w:pPr>
            <w:r>
              <w:rPr>
                <w:rFonts w:hint="eastAsia"/>
                <w:color w:val="auto"/>
                <w:sz w:val="24"/>
                <w:szCs w:val="24"/>
              </w:rPr>
              <w:t>（1）三级航道资源，建成4个1000吨级（兼顾3000吨级）多用途泊位、1个1000吨级重件泊位、1个滚装泊位，通过能力1740万吨</w:t>
            </w:r>
            <w:r>
              <w:rPr>
                <w:rFonts w:hint="eastAsia"/>
                <w:color w:val="auto"/>
                <w:sz w:val="24"/>
                <w:szCs w:val="24"/>
                <w:lang w:val="en-US" w:eastAsia="zh-CN"/>
              </w:rPr>
              <w:t>/年</w:t>
            </w:r>
            <w:r>
              <w:rPr>
                <w:rFonts w:hint="eastAsia"/>
                <w:color w:val="auto"/>
                <w:sz w:val="24"/>
                <w:szCs w:val="24"/>
              </w:rPr>
              <w:t>、21.5万标箱</w:t>
            </w:r>
            <w:r>
              <w:rPr>
                <w:rFonts w:hint="eastAsia"/>
                <w:color w:val="auto"/>
                <w:sz w:val="24"/>
                <w:szCs w:val="24"/>
                <w:lang w:val="en-US" w:eastAsia="zh-CN"/>
              </w:rPr>
              <w:t>/年</w:t>
            </w:r>
          </w:p>
          <w:p>
            <w:pPr>
              <w:pStyle w:val="28"/>
              <w:bidi w:val="0"/>
              <w:jc w:val="left"/>
              <w:rPr>
                <w:color w:val="auto"/>
                <w:sz w:val="24"/>
                <w:szCs w:val="24"/>
              </w:rPr>
            </w:pPr>
            <w:r>
              <w:rPr>
                <w:rFonts w:hint="eastAsia"/>
                <w:color w:val="auto"/>
                <w:sz w:val="24"/>
                <w:szCs w:val="24"/>
              </w:rPr>
              <w:t>（2）集装箱运输、整车滚装运输、锂电池危险品运输、成品酒运输发达，以开行宜宾至重庆的水水中转航线为特色</w:t>
            </w:r>
          </w:p>
          <w:p>
            <w:pPr>
              <w:pStyle w:val="28"/>
              <w:bidi w:val="0"/>
              <w:jc w:val="left"/>
              <w:rPr>
                <w:color w:val="auto"/>
                <w:sz w:val="24"/>
                <w:szCs w:val="24"/>
              </w:rPr>
            </w:pPr>
            <w:r>
              <w:rPr>
                <w:rFonts w:hint="eastAsia"/>
                <w:color w:val="auto"/>
                <w:sz w:val="24"/>
                <w:szCs w:val="24"/>
              </w:rPr>
              <w:t>（3）综合保税区、国家临时开放口岸、进境粮食指定口岸等国际物流功能较为完善</w:t>
            </w:r>
          </w:p>
          <w:p>
            <w:pPr>
              <w:pStyle w:val="28"/>
              <w:bidi w:val="0"/>
              <w:jc w:val="left"/>
              <w:rPr>
                <w:color w:val="auto"/>
                <w:sz w:val="24"/>
                <w:szCs w:val="24"/>
              </w:rPr>
            </w:pPr>
            <w:r>
              <w:rPr>
                <w:rFonts w:hint="eastAsia"/>
                <w:color w:val="auto"/>
                <w:sz w:val="24"/>
                <w:szCs w:val="24"/>
              </w:rPr>
              <w:t>（4）在马边、昆明等地建设无水港，多向拓展货源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01" w:hRule="atLeast"/>
        </w:trPr>
        <w:tc>
          <w:tcPr>
            <w:tcW w:w="323" w:type="pct"/>
            <w:shd w:val="clear" w:color="auto" w:fill="auto"/>
            <w:tcMar>
              <w:top w:w="72" w:type="dxa"/>
              <w:left w:w="144" w:type="dxa"/>
              <w:bottom w:w="72" w:type="dxa"/>
              <w:right w:w="144" w:type="dxa"/>
            </w:tcMar>
            <w:vAlign w:val="center"/>
          </w:tcPr>
          <w:p>
            <w:pPr>
              <w:pStyle w:val="28"/>
              <w:bidi w:val="0"/>
              <w:rPr>
                <w:color w:val="auto"/>
                <w:sz w:val="24"/>
                <w:szCs w:val="24"/>
              </w:rPr>
            </w:pPr>
            <w:r>
              <w:rPr>
                <w:rFonts w:hint="eastAsia"/>
                <w:color w:val="auto"/>
                <w:sz w:val="24"/>
                <w:szCs w:val="24"/>
              </w:rPr>
              <w:t>劣势</w:t>
            </w:r>
          </w:p>
        </w:tc>
        <w:tc>
          <w:tcPr>
            <w:tcW w:w="1515" w:type="pct"/>
            <w:shd w:val="clear" w:color="auto" w:fill="auto"/>
            <w:tcMar>
              <w:top w:w="72" w:type="dxa"/>
              <w:left w:w="144" w:type="dxa"/>
              <w:bottom w:w="72" w:type="dxa"/>
              <w:right w:w="144" w:type="dxa"/>
            </w:tcMar>
            <w:vAlign w:val="center"/>
          </w:tcPr>
          <w:p>
            <w:pPr>
              <w:pStyle w:val="28"/>
              <w:bidi w:val="0"/>
              <w:jc w:val="left"/>
              <w:rPr>
                <w:color w:val="auto"/>
                <w:sz w:val="24"/>
                <w:szCs w:val="24"/>
              </w:rPr>
            </w:pPr>
            <w:r>
              <w:rPr>
                <w:rFonts w:hint="eastAsia"/>
                <w:color w:val="auto"/>
                <w:sz w:val="24"/>
                <w:szCs w:val="24"/>
              </w:rPr>
              <w:t>（1）规划航道为四级，仅规划1个1000吨级重大件泊位、3个1000吨级多用途泊位、1个1000吨级通用泊位，通过能力重件15万吨/年、集装箱15万标箱/年、件杂货120万吨/年，通过能力偏低</w:t>
            </w:r>
          </w:p>
          <w:p>
            <w:pPr>
              <w:pStyle w:val="28"/>
              <w:bidi w:val="0"/>
              <w:jc w:val="center"/>
              <w:rPr>
                <w:color w:val="auto"/>
                <w:sz w:val="24"/>
                <w:szCs w:val="24"/>
              </w:rPr>
            </w:pPr>
            <w:r>
              <w:rPr>
                <w:rFonts w:hint="eastAsia"/>
                <w:color w:val="auto"/>
                <w:sz w:val="24"/>
                <w:szCs w:val="24"/>
              </w:rPr>
              <w:t>（2）经济产业能级与泸州、宜宾有差距，保障货源需要本地产业升级和对外拓展货源双向发力</w:t>
            </w:r>
          </w:p>
        </w:tc>
        <w:tc>
          <w:tcPr>
            <w:tcW w:w="1542" w:type="pct"/>
            <w:shd w:val="clear" w:color="auto" w:fill="auto"/>
            <w:tcMar>
              <w:top w:w="72" w:type="dxa"/>
              <w:left w:w="144" w:type="dxa"/>
              <w:bottom w:w="72" w:type="dxa"/>
              <w:right w:w="144" w:type="dxa"/>
            </w:tcMar>
            <w:vAlign w:val="center"/>
          </w:tcPr>
          <w:p>
            <w:pPr>
              <w:pStyle w:val="28"/>
              <w:bidi w:val="0"/>
              <w:jc w:val="left"/>
              <w:rPr>
                <w:color w:val="auto"/>
                <w:sz w:val="24"/>
                <w:szCs w:val="24"/>
              </w:rPr>
            </w:pPr>
            <w:r>
              <w:rPr>
                <w:rFonts w:hint="eastAsia"/>
                <w:color w:val="auto"/>
                <w:sz w:val="24"/>
                <w:szCs w:val="24"/>
              </w:rPr>
              <w:t>（1）泸州港仍然以传统铁路、水路中转、装卸、仓储等运输功能为主，尚未形成规模化的港口综合物流园区</w:t>
            </w:r>
          </w:p>
          <w:p>
            <w:pPr>
              <w:pStyle w:val="28"/>
              <w:bidi w:val="0"/>
              <w:jc w:val="left"/>
              <w:rPr>
                <w:color w:val="auto"/>
                <w:sz w:val="24"/>
                <w:szCs w:val="24"/>
              </w:rPr>
            </w:pPr>
            <w:r>
              <w:rPr>
                <w:rFonts w:hint="eastAsia"/>
                <w:color w:val="auto"/>
                <w:sz w:val="24"/>
                <w:szCs w:val="24"/>
              </w:rPr>
              <w:t>（2）集装箱码头区发展拓展空间十分有限，陆域物流发展条件不如乐山大件码头周边条件好</w:t>
            </w:r>
          </w:p>
        </w:tc>
        <w:tc>
          <w:tcPr>
            <w:tcW w:w="1617" w:type="pct"/>
            <w:shd w:val="clear" w:color="auto" w:fill="auto"/>
            <w:tcMar>
              <w:top w:w="72" w:type="dxa"/>
              <w:left w:w="144" w:type="dxa"/>
              <w:bottom w:w="72" w:type="dxa"/>
              <w:right w:w="144" w:type="dxa"/>
            </w:tcMar>
            <w:vAlign w:val="center"/>
          </w:tcPr>
          <w:p>
            <w:pPr>
              <w:pStyle w:val="28"/>
              <w:bidi w:val="0"/>
              <w:jc w:val="left"/>
              <w:rPr>
                <w:color w:val="auto"/>
                <w:sz w:val="24"/>
                <w:szCs w:val="24"/>
              </w:rPr>
            </w:pPr>
            <w:r>
              <w:rPr>
                <w:rFonts w:hint="eastAsia"/>
                <w:color w:val="auto"/>
                <w:sz w:val="24"/>
                <w:szCs w:val="24"/>
              </w:rPr>
              <w:t>（1）服务辐射腹地小，宜宾本地企业集装箱货物占比88%以上，兼顾辐射攀西经济区、云贵等地</w:t>
            </w:r>
          </w:p>
          <w:p>
            <w:pPr>
              <w:pStyle w:val="28"/>
              <w:bidi w:val="0"/>
              <w:jc w:val="left"/>
              <w:rPr>
                <w:color w:val="auto"/>
                <w:sz w:val="24"/>
                <w:szCs w:val="24"/>
              </w:rPr>
            </w:pPr>
            <w:r>
              <w:rPr>
                <w:rFonts w:hint="eastAsia"/>
                <w:color w:val="auto"/>
                <w:sz w:val="24"/>
                <w:szCs w:val="24"/>
              </w:rPr>
              <w:t>（2）水路物流功能处于绝对优势，公路物流发展相对滞后，综合运输服务水平较低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20" w:hRule="atLeast"/>
        </w:trPr>
        <w:tc>
          <w:tcPr>
            <w:tcW w:w="323" w:type="pct"/>
            <w:shd w:val="clear" w:color="auto" w:fill="auto"/>
            <w:tcMar>
              <w:top w:w="72" w:type="dxa"/>
              <w:left w:w="144" w:type="dxa"/>
              <w:bottom w:w="72" w:type="dxa"/>
              <w:right w:w="144" w:type="dxa"/>
            </w:tcMar>
            <w:vAlign w:val="center"/>
          </w:tcPr>
          <w:p>
            <w:pPr>
              <w:pStyle w:val="28"/>
              <w:bidi w:val="0"/>
              <w:rPr>
                <w:color w:val="auto"/>
                <w:sz w:val="24"/>
                <w:szCs w:val="24"/>
              </w:rPr>
            </w:pPr>
            <w:r>
              <w:rPr>
                <w:rFonts w:hint="eastAsia"/>
                <w:color w:val="auto"/>
                <w:sz w:val="24"/>
                <w:szCs w:val="24"/>
              </w:rPr>
              <w:t>差异化发展策略</w:t>
            </w:r>
          </w:p>
        </w:tc>
        <w:tc>
          <w:tcPr>
            <w:tcW w:w="4676" w:type="pct"/>
            <w:gridSpan w:val="3"/>
            <w:shd w:val="clear" w:color="auto" w:fill="auto"/>
            <w:tcMar>
              <w:top w:w="72" w:type="dxa"/>
              <w:left w:w="144" w:type="dxa"/>
              <w:bottom w:w="72" w:type="dxa"/>
              <w:right w:w="144" w:type="dxa"/>
            </w:tcMar>
            <w:vAlign w:val="center"/>
          </w:tcPr>
          <w:p>
            <w:pPr>
              <w:pStyle w:val="28"/>
              <w:bidi w:val="0"/>
              <w:jc w:val="left"/>
              <w:rPr>
                <w:rFonts w:hint="eastAsia" w:eastAsia="仿宋_GB2312"/>
                <w:color w:val="auto"/>
                <w:sz w:val="24"/>
                <w:szCs w:val="24"/>
                <w:lang w:eastAsia="zh-CN"/>
              </w:rPr>
            </w:pPr>
            <w:r>
              <w:rPr>
                <w:color w:val="auto"/>
                <w:sz w:val="24"/>
                <w:szCs w:val="24"/>
              </w:rPr>
              <w:t>（</w:t>
            </w:r>
            <w:r>
              <w:rPr>
                <w:rFonts w:hint="eastAsia"/>
                <w:color w:val="auto"/>
                <w:sz w:val="24"/>
                <w:szCs w:val="24"/>
              </w:rPr>
              <w:t>1）做强大件运输、化工运输等特色物流，稳定示范基地货源基本盘</w:t>
            </w:r>
          </w:p>
          <w:p>
            <w:pPr>
              <w:pStyle w:val="28"/>
              <w:bidi w:val="0"/>
              <w:jc w:val="left"/>
              <w:rPr>
                <w:rFonts w:hint="eastAsia" w:eastAsia="仿宋_GB2312"/>
                <w:color w:val="auto"/>
                <w:sz w:val="24"/>
                <w:szCs w:val="24"/>
                <w:lang w:eastAsia="zh-CN"/>
              </w:rPr>
            </w:pPr>
            <w:r>
              <w:rPr>
                <w:rFonts w:hint="eastAsia"/>
                <w:color w:val="auto"/>
                <w:sz w:val="24"/>
                <w:szCs w:val="24"/>
              </w:rPr>
              <w:t>（2）在雅安、眉山、成都</w:t>
            </w:r>
            <w:r>
              <w:rPr>
                <w:rFonts w:hint="eastAsia"/>
                <w:color w:val="auto"/>
                <w:sz w:val="24"/>
                <w:szCs w:val="24"/>
                <w:lang w:eastAsia="zh-CN"/>
              </w:rPr>
              <w:t>、</w:t>
            </w:r>
            <w:r>
              <w:rPr>
                <w:rFonts w:hint="eastAsia"/>
                <w:color w:val="auto"/>
                <w:sz w:val="24"/>
                <w:szCs w:val="24"/>
                <w:lang w:val="en-US" w:eastAsia="zh-CN"/>
              </w:rPr>
              <w:t>德阳</w:t>
            </w:r>
            <w:r>
              <w:rPr>
                <w:rFonts w:hint="eastAsia"/>
                <w:color w:val="auto"/>
                <w:sz w:val="24"/>
                <w:szCs w:val="24"/>
              </w:rPr>
              <w:t>等地争取建设无水港，打造成都平原经济区入江出海“第一港”，全面拓展货源腹地</w:t>
            </w:r>
          </w:p>
          <w:p>
            <w:pPr>
              <w:pStyle w:val="28"/>
              <w:bidi w:val="0"/>
              <w:jc w:val="left"/>
              <w:rPr>
                <w:rFonts w:hint="eastAsia" w:eastAsia="仿宋_GB2312"/>
                <w:color w:val="auto"/>
                <w:sz w:val="24"/>
                <w:szCs w:val="24"/>
                <w:lang w:eastAsia="zh-CN"/>
              </w:rPr>
            </w:pPr>
            <w:r>
              <w:rPr>
                <w:rFonts w:hint="eastAsia"/>
                <w:color w:val="auto"/>
                <w:sz w:val="24"/>
                <w:szCs w:val="24"/>
              </w:rPr>
              <w:t>（3）积极发展化工、钢铁、建材等特色大宗物资物贸一</w:t>
            </w:r>
            <w:r>
              <w:rPr>
                <w:rFonts w:hint="eastAsia"/>
                <w:color w:val="auto"/>
                <w:sz w:val="24"/>
                <w:szCs w:val="24"/>
                <w:lang w:eastAsia="zh-CN"/>
              </w:rPr>
              <w:t>体化</w:t>
            </w:r>
            <w:r>
              <w:rPr>
                <w:rFonts w:hint="eastAsia"/>
                <w:color w:val="auto"/>
                <w:sz w:val="24"/>
                <w:szCs w:val="24"/>
              </w:rPr>
              <w:t>服务，研究设立期货交割库，做强物流供应链产业</w:t>
            </w:r>
          </w:p>
          <w:p>
            <w:pPr>
              <w:pStyle w:val="28"/>
              <w:bidi w:val="0"/>
              <w:jc w:val="left"/>
              <w:rPr>
                <w:color w:val="auto"/>
                <w:sz w:val="24"/>
                <w:szCs w:val="24"/>
              </w:rPr>
            </w:pPr>
            <w:r>
              <w:rPr>
                <w:rFonts w:hint="eastAsia"/>
                <w:color w:val="auto"/>
                <w:sz w:val="24"/>
                <w:szCs w:val="24"/>
              </w:rPr>
              <w:t>（4）推动铁路、公路、水路、航空物流协同发展，培育公铁、公水、陆空等多式联运精品线路，提升物流园区综合竞争力</w:t>
            </w:r>
          </w:p>
          <w:p>
            <w:pPr>
              <w:pStyle w:val="28"/>
              <w:bidi w:val="0"/>
              <w:jc w:val="left"/>
              <w:rPr>
                <w:color w:val="auto"/>
                <w:sz w:val="24"/>
                <w:szCs w:val="24"/>
              </w:rPr>
            </w:pPr>
            <w:r>
              <w:rPr>
                <w:rFonts w:hint="eastAsia"/>
                <w:color w:val="auto"/>
                <w:sz w:val="24"/>
                <w:szCs w:val="24"/>
              </w:rPr>
              <w:t>（5）加强与宜宾港、泸州港合作，探索开行乐山至宜宾、泸州的水上短驳航线，共同推动以“增量货源拓展”替代传统的“存量货源分配”，避免同质化无序竞争</w:t>
            </w:r>
          </w:p>
        </w:tc>
      </w:tr>
    </w:tbl>
    <w:p>
      <w:pPr>
        <w:keepNext w:val="0"/>
        <w:keepLines w:val="0"/>
        <w:widowControl/>
        <w:suppressLineNumbers w:val="0"/>
        <w:jc w:val="left"/>
        <w:rPr>
          <w:rFonts w:hint="default" w:ascii="Times New Roman" w:hAnsi="Times New Roman" w:eastAsia="黑体" w:cs="Times New Roman"/>
          <w:color w:val="auto"/>
          <w:sz w:val="32"/>
          <w:szCs w:val="32"/>
          <w:lang w:val="en-US" w:eastAsia="zh-CN"/>
        </w:rPr>
      </w:pPr>
      <w:r>
        <w:rPr>
          <w:rFonts w:hint="eastAsia" w:cs="Times New Roman"/>
          <w:color w:val="auto"/>
          <w:sz w:val="32"/>
          <w:szCs w:val="32"/>
          <w:lang w:val="en-US" w:eastAsia="zh-CN"/>
        </w:rPr>
        <w:t>峨眉山燕岗铁路货运站、夹江集装箱物流园等示范基地周边铁路物流园重点发展大宗物资铁路干线直达运输和国际国内集装箱铁路运输，示范基地则主要承接服务周边工业企业产成品和原材料的公铁联运，以及联系长江经济带的铁水联运。犍为高石坝作业区重点发展水上集装箱、件杂货和散货运输，示范基地在重点发展水上大件运输的同时，可联合高石坝作业区协调发展水水中转运输，研究打造高石坝作业区的喂给港，做强犍为港区的货运核心港区功能。</w:t>
      </w:r>
    </w:p>
    <w:p>
      <w:pPr>
        <w:keepNext w:val="0"/>
        <w:keepLines w:val="0"/>
        <w:widowControl/>
        <w:suppressLineNumbers w:val="0"/>
        <w:jc w:val="left"/>
        <w:rPr>
          <w:rFonts w:hint="default" w:ascii="Times New Roman" w:hAnsi="Times New Roman" w:cs="Times New Roman"/>
          <w:color w:val="auto"/>
          <w:sz w:val="32"/>
          <w:szCs w:val="32"/>
          <w:lang w:val="en-US" w:eastAsia="zh-CN"/>
        </w:rPr>
      </w:pPr>
      <w:r>
        <w:rPr>
          <w:rFonts w:hint="eastAsia" w:ascii="仿宋_GB2312" w:hAnsi="仿宋_GB2312" w:eastAsia="仿宋_GB2312" w:cs="仿宋_GB2312"/>
          <w:color w:val="auto"/>
          <w:sz w:val="32"/>
          <w:szCs w:val="32"/>
          <w:lang w:val="en-US" w:eastAsia="zh-CN"/>
        </w:rPr>
        <w:t>智慧化发展</w:t>
      </w:r>
      <w:r>
        <w:rPr>
          <w:rFonts w:hint="default" w:ascii="仿宋_GB2312" w:hAnsi="仿宋_GB2312" w:eastAsia="仿宋_GB2312" w:cs="仿宋_GB2312"/>
          <w:color w:val="auto"/>
          <w:sz w:val="32"/>
          <w:szCs w:val="32"/>
          <w:lang w:val="en-US" w:eastAsia="zh-CN"/>
        </w:rPr>
        <w:t>策略。</w:t>
      </w:r>
      <w:r>
        <w:rPr>
          <w:rFonts w:hint="eastAsia" w:cs="Times New Roman"/>
          <w:color w:val="auto"/>
          <w:sz w:val="32"/>
          <w:szCs w:val="32"/>
          <w:lang w:val="en-US" w:eastAsia="zh-CN"/>
        </w:rPr>
        <w:t>智能设施装备方面，在快递物流功能区、冷链物流功能区、智慧公路物流功能区等引入智能立体仓库、自动化分拣系统、智能卡口等智慧硬基建；推广应用</w:t>
      </w:r>
      <w:r>
        <w:rPr>
          <w:rFonts w:hint="default" w:ascii="Times New Roman" w:hAnsi="Times New Roman" w:cs="Times New Roman"/>
          <w:color w:val="auto"/>
          <w:sz w:val="32"/>
          <w:szCs w:val="32"/>
          <w:lang w:val="en-US" w:eastAsia="zh-CN"/>
        </w:rPr>
        <w:t>自动导引车、无人配送车、高速智慧化场桥等智能化设备</w:t>
      </w:r>
      <w:r>
        <w:rPr>
          <w:rFonts w:hint="eastAsia" w:cs="Times New Roman"/>
          <w:color w:val="auto"/>
          <w:sz w:val="32"/>
          <w:szCs w:val="32"/>
          <w:lang w:val="en-US" w:eastAsia="zh-CN"/>
        </w:rPr>
        <w:t>，依托5G/6G技术布局高速通信网络，保障各类物联网设备和无人驾驶设备稳定运行</w:t>
      </w:r>
      <w:r>
        <w:rPr>
          <w:rFonts w:hint="default" w:ascii="Times New Roman" w:hAnsi="Times New Roman" w:cs="Times New Roman"/>
          <w:color w:val="auto"/>
          <w:sz w:val="32"/>
          <w:szCs w:val="32"/>
          <w:lang w:val="en-US" w:eastAsia="zh-CN"/>
        </w:rPr>
        <w:t>。</w:t>
      </w:r>
      <w:r>
        <w:rPr>
          <w:rFonts w:hint="eastAsia" w:ascii="Times New Roman" w:hAnsi="Times New Roman" w:cs="Times New Roman"/>
          <w:color w:val="auto"/>
          <w:sz w:val="32"/>
          <w:szCs w:val="32"/>
          <w:lang w:val="en-US" w:eastAsia="zh-CN"/>
        </w:rPr>
        <w:t>智能信息平台</w:t>
      </w:r>
      <w:r>
        <w:rPr>
          <w:rFonts w:hint="eastAsia" w:cs="Times New Roman"/>
          <w:color w:val="auto"/>
          <w:sz w:val="32"/>
          <w:szCs w:val="32"/>
          <w:lang w:val="en-US" w:eastAsia="zh-CN"/>
        </w:rPr>
        <w:t>方面</w:t>
      </w:r>
      <w:r>
        <w:rPr>
          <w:rFonts w:hint="eastAsia" w:ascii="Times New Roman" w:hAnsi="Times New Roman" w:cs="Times New Roman"/>
          <w:color w:val="auto"/>
          <w:sz w:val="32"/>
          <w:szCs w:val="32"/>
          <w:lang w:val="en-US" w:eastAsia="zh-CN"/>
        </w:rPr>
        <w:t>，一是</w:t>
      </w:r>
      <w:r>
        <w:rPr>
          <w:rFonts w:hint="eastAsia" w:cs="Times New Roman"/>
          <w:color w:val="auto"/>
          <w:sz w:val="32"/>
          <w:szCs w:val="32"/>
          <w:lang w:val="en-US" w:eastAsia="zh-CN"/>
        </w:rPr>
        <w:t>引入第三方专业化智慧物流园区运营管理平台，针对仓储区、装卸区、车辆通道及公共区域等全场景提供一体化智能管理服务，实现基于物联平台的园区数字化管理、安全生产智能预警、车辆货物自动匹配和园</w:t>
      </w:r>
      <w:r>
        <w:rPr>
          <w:rFonts w:hint="eastAsia" w:ascii="Times New Roman" w:hAnsi="Times New Roman" w:cs="Times New Roman"/>
          <w:color w:val="auto"/>
          <w:sz w:val="32"/>
          <w:szCs w:val="32"/>
          <w:lang w:val="en-US" w:eastAsia="zh-CN"/>
        </w:rPr>
        <w:t>区装备智能调度。二是建设</w:t>
      </w:r>
      <w:r>
        <w:rPr>
          <w:rFonts w:hint="default" w:ascii="Times New Roman" w:hAnsi="Times New Roman" w:cs="Times New Roman"/>
          <w:color w:val="auto"/>
          <w:sz w:val="32"/>
          <w:szCs w:val="32"/>
          <w:lang w:val="en-US" w:eastAsia="zh-CN"/>
        </w:rPr>
        <w:t>覆盖广泛、一体统筹、</w:t>
      </w:r>
      <w:r>
        <w:rPr>
          <w:rFonts w:hint="eastAsia" w:cs="Times New Roman"/>
          <w:color w:val="auto"/>
          <w:sz w:val="32"/>
          <w:szCs w:val="32"/>
          <w:lang w:val="en-US" w:eastAsia="zh-CN"/>
        </w:rPr>
        <w:t>“</w:t>
      </w:r>
      <w:r>
        <w:rPr>
          <w:rFonts w:hint="default" w:ascii="Times New Roman" w:hAnsi="Times New Roman" w:cs="Times New Roman"/>
          <w:color w:val="auto"/>
          <w:sz w:val="32"/>
          <w:szCs w:val="32"/>
          <w:lang w:val="en-US" w:eastAsia="zh-CN"/>
        </w:rPr>
        <w:t>一站式</w:t>
      </w:r>
      <w:r>
        <w:rPr>
          <w:rFonts w:hint="eastAsia" w:cs="Times New Roman"/>
          <w:color w:val="auto"/>
          <w:sz w:val="32"/>
          <w:szCs w:val="32"/>
          <w:lang w:val="en-US" w:eastAsia="zh-CN"/>
        </w:rPr>
        <w:t>”</w:t>
      </w:r>
      <w:r>
        <w:rPr>
          <w:rFonts w:hint="default" w:ascii="Times New Roman" w:hAnsi="Times New Roman" w:cs="Times New Roman"/>
          <w:color w:val="auto"/>
          <w:sz w:val="32"/>
          <w:szCs w:val="32"/>
          <w:lang w:val="en-US" w:eastAsia="zh-CN"/>
        </w:rPr>
        <w:t>服务的数智化物流供应链服务平台，贯通铁路、公路、内河、航空、海关等政府端公共服务数据，以及货主、货代、船公司、港口、机场、园区等企业端数据，为上下游企业提供集供应链仓储、加工、分拨、配送、融资、保险等于一体的综合供应链服务</w:t>
      </w:r>
      <w:r>
        <w:rPr>
          <w:rFonts w:hint="eastAsia" w:ascii="Times New Roman" w:hAnsi="Times New Roman" w:cs="Times New Roman"/>
          <w:color w:val="auto"/>
          <w:sz w:val="32"/>
          <w:szCs w:val="32"/>
          <w:lang w:val="en-US" w:eastAsia="zh-CN"/>
        </w:rPr>
        <w:t>。</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41" w:type="dxa"/>
          </w:tcPr>
          <w:p>
            <w:pPr>
              <w:pStyle w:val="28"/>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0" w:firstLineChars="0"/>
              <w:jc w:val="center"/>
              <w:textAlignment w:val="auto"/>
              <w:rPr>
                <w:rFonts w:hint="default" w:ascii="Times New Roman" w:hAnsi="Times New Roman" w:eastAsia="黑体" w:cs="Times New Roman"/>
                <w:color w:val="auto"/>
                <w:sz w:val="30"/>
                <w:szCs w:val="30"/>
                <w:highlight w:val="none"/>
                <w:lang w:val="en-US" w:eastAsia="zh-CN"/>
              </w:rPr>
            </w:pPr>
            <w:r>
              <w:rPr>
                <w:rFonts w:hint="eastAsia" w:ascii="Times New Roman" w:hAnsi="Times New Roman" w:eastAsia="黑体" w:cs="Times New Roman"/>
                <w:color w:val="auto"/>
                <w:sz w:val="30"/>
                <w:szCs w:val="30"/>
                <w:highlight w:val="none"/>
                <w:lang w:val="en-US" w:eastAsia="zh-CN"/>
              </w:rPr>
              <w:t>专栏1 智能信息平台建设重点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30"/>
                <w:szCs w:val="30"/>
                <w:lang w:val="en-US" w:eastAsia="zh-CN"/>
              </w:rPr>
            </w:pPr>
            <w:r>
              <w:rPr>
                <w:rFonts w:hint="default" w:ascii="仿宋_GB2312" w:hAnsi="仿宋_GB2312" w:eastAsia="仿宋_GB2312" w:cs="仿宋_GB2312"/>
                <w:color w:val="auto"/>
                <w:sz w:val="30"/>
                <w:szCs w:val="30"/>
                <w:lang w:val="en-US" w:eastAsia="zh-CN"/>
              </w:rPr>
              <w:t>管理层面，</w:t>
            </w:r>
            <w:r>
              <w:rPr>
                <w:rFonts w:hint="default" w:ascii="Times New Roman" w:hAnsi="Times New Roman" w:cs="Times New Roman"/>
                <w:color w:val="auto"/>
                <w:sz w:val="30"/>
                <w:szCs w:val="30"/>
                <w:lang w:val="en-US" w:eastAsia="zh-CN"/>
              </w:rPr>
              <w:t>搭建多式联运示范基地数字化管理平台，打通铁路、公路、水路、航空等多种运输系统，形成对基地资源和运力资源的综合汇聚，动态掌握货物全程追踪信息和物流需求信息，实现数字化仓储管理、数字化场站管理，满足示范基地内各物流业态的一体化运营需求。通过数字化仓储管理，能够整合优化基地内仓储资源，吸纳和对接多种运力实现园区货物的集散，并通过数字化管理系统实现仓储资源和运力的有效管理，绘制运力画像，提高基地仓储资源利用率和配送效率。通过数字化场站管理，实现车辆有序进出场、智能引导车辆装卸，提高基地场站运行的安全性和效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auto"/>
                <w:lang w:val="en-US" w:eastAsia="zh-CN"/>
              </w:rPr>
            </w:pPr>
            <w:r>
              <w:rPr>
                <w:rFonts w:hint="default" w:ascii="仿宋_GB2312" w:hAnsi="仿宋_GB2312" w:eastAsia="仿宋_GB2312" w:cs="仿宋_GB2312"/>
                <w:color w:val="auto"/>
                <w:sz w:val="30"/>
                <w:szCs w:val="30"/>
                <w:lang w:val="en-US" w:eastAsia="zh-CN"/>
              </w:rPr>
              <w:t>运营层面，</w:t>
            </w:r>
            <w:r>
              <w:rPr>
                <w:rFonts w:hint="default" w:ascii="Times New Roman" w:hAnsi="Times New Roman" w:cs="Times New Roman"/>
                <w:color w:val="auto"/>
                <w:sz w:val="30"/>
                <w:szCs w:val="30"/>
                <w:lang w:val="en-US" w:eastAsia="zh-CN"/>
              </w:rPr>
              <w:t>依托</w:t>
            </w:r>
            <w:r>
              <w:rPr>
                <w:rFonts w:hint="eastAsia" w:cs="Times New Roman"/>
                <w:color w:val="auto"/>
                <w:sz w:val="30"/>
                <w:szCs w:val="30"/>
                <w:lang w:val="en-US" w:eastAsia="zh-CN"/>
              </w:rPr>
              <w:t>“</w:t>
            </w:r>
            <w:r>
              <w:rPr>
                <w:rFonts w:hint="default" w:ascii="Times New Roman" w:hAnsi="Times New Roman" w:cs="Times New Roman"/>
                <w:color w:val="auto"/>
                <w:sz w:val="30"/>
                <w:szCs w:val="30"/>
                <w:lang w:val="en-US" w:eastAsia="zh-CN"/>
              </w:rPr>
              <w:t>三网融合</w:t>
            </w:r>
            <w:r>
              <w:rPr>
                <w:rFonts w:hint="eastAsia" w:cs="Times New Roman"/>
                <w:color w:val="auto"/>
                <w:sz w:val="30"/>
                <w:szCs w:val="30"/>
                <w:lang w:val="en-US" w:eastAsia="zh-CN"/>
              </w:rPr>
              <w:t>”</w:t>
            </w:r>
            <w:r>
              <w:rPr>
                <w:rFonts w:hint="default" w:ascii="Times New Roman" w:hAnsi="Times New Roman" w:cs="Times New Roman"/>
                <w:color w:val="auto"/>
                <w:sz w:val="30"/>
                <w:szCs w:val="30"/>
                <w:lang w:val="en-US" w:eastAsia="zh-CN"/>
              </w:rPr>
              <w:t>试点，联合</w:t>
            </w:r>
            <w:r>
              <w:rPr>
                <w:rFonts w:hint="eastAsia" w:cs="Times New Roman"/>
                <w:color w:val="auto"/>
                <w:sz w:val="30"/>
                <w:szCs w:val="30"/>
                <w:lang w:val="en-US" w:eastAsia="zh-CN"/>
              </w:rPr>
              <w:t>专业</w:t>
            </w:r>
            <w:r>
              <w:rPr>
                <w:rFonts w:hint="eastAsia" w:ascii="Times New Roman" w:hAnsi="Times New Roman" w:cs="Times New Roman"/>
                <w:color w:val="auto"/>
                <w:sz w:val="30"/>
                <w:szCs w:val="30"/>
                <w:lang w:val="en-US" w:eastAsia="zh-CN"/>
              </w:rPr>
              <w:t>物流企业</w:t>
            </w:r>
            <w:r>
              <w:rPr>
                <w:rFonts w:hint="default" w:ascii="Times New Roman" w:hAnsi="Times New Roman" w:cs="Times New Roman"/>
                <w:color w:val="auto"/>
                <w:sz w:val="30"/>
                <w:szCs w:val="30"/>
                <w:lang w:val="en-US" w:eastAsia="zh-CN"/>
              </w:rPr>
              <w:t>搭建数智化物流供应链服务平台，聚合大件、大宗、百货商品资源采购和销售信息，深化与银行、金融、保险机构的业务合作</w:t>
            </w:r>
            <w:r>
              <w:rPr>
                <w:rFonts w:hint="eastAsia" w:ascii="Times New Roman" w:hAnsi="Times New Roman" w:cs="Times New Roman"/>
                <w:color w:val="auto"/>
                <w:sz w:val="30"/>
                <w:szCs w:val="30"/>
                <w:lang w:val="en-US" w:eastAsia="zh-CN"/>
              </w:rPr>
              <w:t>和</w:t>
            </w:r>
            <w:r>
              <w:rPr>
                <w:rFonts w:hint="default" w:ascii="Times New Roman" w:hAnsi="Times New Roman" w:cs="Times New Roman"/>
                <w:color w:val="auto"/>
                <w:sz w:val="30"/>
                <w:szCs w:val="30"/>
                <w:lang w:val="en-US" w:eastAsia="zh-CN"/>
              </w:rPr>
              <w:t>数据共享</w:t>
            </w:r>
            <w:r>
              <w:rPr>
                <w:rFonts w:hint="eastAsia" w:ascii="Times New Roman" w:hAnsi="Times New Roman" w:cs="Times New Roman"/>
                <w:color w:val="auto"/>
                <w:sz w:val="30"/>
                <w:szCs w:val="30"/>
                <w:lang w:val="en-US" w:eastAsia="zh-CN"/>
              </w:rPr>
              <w:t>，</w:t>
            </w:r>
            <w:r>
              <w:rPr>
                <w:rFonts w:hint="default" w:ascii="Times New Roman" w:hAnsi="Times New Roman" w:cs="Times New Roman"/>
                <w:color w:val="auto"/>
                <w:sz w:val="30"/>
                <w:szCs w:val="30"/>
                <w:lang w:val="en-US" w:eastAsia="zh-CN"/>
              </w:rPr>
              <w:t>开发提供物流运输资源优化、供应链金融风控、贸易撮合结算、国际运输报关通关、运输装备协同运维等</w:t>
            </w:r>
            <w:r>
              <w:rPr>
                <w:rFonts w:hint="eastAsia" w:cs="Times New Roman"/>
                <w:color w:val="auto"/>
                <w:sz w:val="30"/>
                <w:szCs w:val="30"/>
                <w:lang w:val="en-US" w:eastAsia="zh-CN"/>
              </w:rPr>
              <w:t>“</w:t>
            </w:r>
            <w:r>
              <w:rPr>
                <w:rFonts w:hint="default" w:ascii="Times New Roman" w:hAnsi="Times New Roman" w:cs="Times New Roman"/>
                <w:color w:val="auto"/>
                <w:sz w:val="30"/>
                <w:szCs w:val="30"/>
                <w:lang w:val="en-US" w:eastAsia="zh-CN"/>
              </w:rPr>
              <w:t>一站式</w:t>
            </w:r>
            <w:r>
              <w:rPr>
                <w:rFonts w:hint="eastAsia" w:cs="Times New Roman"/>
                <w:color w:val="auto"/>
                <w:sz w:val="30"/>
                <w:szCs w:val="30"/>
                <w:lang w:val="en-US" w:eastAsia="zh-CN"/>
              </w:rPr>
              <w:t>”</w:t>
            </w:r>
            <w:r>
              <w:rPr>
                <w:rFonts w:hint="default" w:ascii="Times New Roman" w:hAnsi="Times New Roman" w:cs="Times New Roman"/>
                <w:color w:val="auto"/>
                <w:sz w:val="30"/>
                <w:szCs w:val="30"/>
                <w:lang w:val="en-US" w:eastAsia="zh-CN"/>
              </w:rPr>
              <w:t>多式联运数智服务，构建基于</w:t>
            </w:r>
            <w:r>
              <w:rPr>
                <w:rFonts w:hint="eastAsia" w:cs="Times New Roman"/>
                <w:color w:val="auto"/>
                <w:sz w:val="30"/>
                <w:szCs w:val="30"/>
                <w:lang w:val="en-US" w:eastAsia="zh-CN"/>
              </w:rPr>
              <w:t>“</w:t>
            </w:r>
            <w:r>
              <w:rPr>
                <w:rFonts w:hint="default" w:ascii="Times New Roman" w:hAnsi="Times New Roman" w:cs="Times New Roman"/>
                <w:color w:val="auto"/>
                <w:sz w:val="30"/>
                <w:szCs w:val="30"/>
                <w:lang w:val="en-US" w:eastAsia="zh-CN"/>
              </w:rPr>
              <w:t>物贸一体化</w:t>
            </w:r>
            <w:r>
              <w:rPr>
                <w:rFonts w:hint="eastAsia" w:cs="Times New Roman"/>
                <w:color w:val="auto"/>
                <w:sz w:val="30"/>
                <w:szCs w:val="30"/>
                <w:lang w:val="en-US" w:eastAsia="zh-CN"/>
              </w:rPr>
              <w:t>”</w:t>
            </w:r>
            <w:r>
              <w:rPr>
                <w:rFonts w:hint="default" w:ascii="Times New Roman" w:hAnsi="Times New Roman" w:cs="Times New Roman"/>
                <w:color w:val="auto"/>
                <w:sz w:val="30"/>
                <w:szCs w:val="30"/>
                <w:lang w:val="en-US" w:eastAsia="zh-CN"/>
              </w:rPr>
              <w:t>的全程供应链物流业务流程。</w:t>
            </w:r>
          </w:p>
        </w:tc>
      </w:tr>
    </w:tbl>
    <w:p>
      <w:pPr>
        <w:rPr>
          <w:rFonts w:hint="eastAsia"/>
          <w:lang w:val="en-US" w:eastAsia="zh-CN"/>
        </w:rPr>
      </w:pPr>
      <w:r>
        <w:rPr>
          <w:rFonts w:hint="default" w:ascii="仿宋_GB2312" w:hAnsi="仿宋_GB2312" w:eastAsia="仿宋_GB2312" w:cs="仿宋_GB2312"/>
          <w:color w:val="auto"/>
          <w:sz w:val="32"/>
          <w:szCs w:val="32"/>
          <w:lang w:val="en-US" w:eastAsia="zh-CN"/>
        </w:rPr>
        <w:t>融合化发展策略。</w:t>
      </w:r>
      <w:r>
        <w:rPr>
          <w:rFonts w:hint="eastAsia" w:ascii="Times New Roman" w:hAnsi="Times New Roman" w:cs="Times New Roman"/>
          <w:color w:val="auto"/>
          <w:sz w:val="32"/>
          <w:szCs w:val="32"/>
          <w:lang w:val="en-US" w:eastAsia="zh-CN"/>
        </w:rPr>
        <w:t>设施融合上，</w:t>
      </w:r>
      <w:r>
        <w:rPr>
          <w:rFonts w:hint="default" w:ascii="Times New Roman" w:hAnsi="Times New Roman" w:cs="Times New Roman"/>
          <w:color w:val="auto"/>
          <w:sz w:val="32"/>
          <w:szCs w:val="32"/>
          <w:lang w:val="en-US" w:eastAsia="zh-CN"/>
        </w:rPr>
        <w:t>充分发挥乐山物流基地对接干线运力、促进资源集聚的显著优势，统筹做好工业园区等生产制造基地与物流枢纽、铁路专用线等物流基础设施规划布局和用地安排，引导物流企业为制造</w:t>
      </w:r>
      <w:r>
        <w:rPr>
          <w:rFonts w:hint="eastAsia" w:cs="Times New Roman"/>
          <w:color w:val="auto"/>
          <w:sz w:val="32"/>
          <w:szCs w:val="32"/>
          <w:lang w:val="en-US" w:eastAsia="zh-CN"/>
        </w:rPr>
        <w:t>业</w:t>
      </w:r>
      <w:r>
        <w:rPr>
          <w:rFonts w:hint="default" w:ascii="Times New Roman" w:hAnsi="Times New Roman" w:cs="Times New Roman"/>
          <w:color w:val="auto"/>
          <w:sz w:val="32"/>
          <w:szCs w:val="32"/>
          <w:lang w:val="en-US" w:eastAsia="zh-CN"/>
        </w:rPr>
        <w:t>企业量身定做供应链管理库存、线边物流、供应链一体化服务等物流解决方案，以</w:t>
      </w:r>
      <w:r>
        <w:rPr>
          <w:rFonts w:hint="eastAsia" w:cs="Times New Roman"/>
          <w:color w:val="auto"/>
          <w:sz w:val="32"/>
          <w:szCs w:val="32"/>
          <w:lang w:val="en-US" w:eastAsia="zh-CN"/>
        </w:rPr>
        <w:t>“</w:t>
      </w:r>
      <w:r>
        <w:rPr>
          <w:rFonts w:hint="default" w:ascii="Times New Roman" w:hAnsi="Times New Roman" w:cs="Times New Roman"/>
          <w:color w:val="auto"/>
          <w:sz w:val="32"/>
          <w:szCs w:val="32"/>
          <w:lang w:val="en-US" w:eastAsia="zh-CN"/>
        </w:rPr>
        <w:t>港产城</w:t>
      </w:r>
      <w:r>
        <w:rPr>
          <w:rFonts w:hint="eastAsia" w:cs="Times New Roman"/>
          <w:color w:val="auto"/>
          <w:sz w:val="32"/>
          <w:szCs w:val="32"/>
          <w:lang w:val="en-US" w:eastAsia="zh-CN"/>
        </w:rPr>
        <w:t>”</w:t>
      </w:r>
      <w:r>
        <w:rPr>
          <w:rFonts w:hint="default" w:ascii="Times New Roman" w:hAnsi="Times New Roman" w:cs="Times New Roman"/>
          <w:color w:val="auto"/>
          <w:sz w:val="32"/>
          <w:szCs w:val="32"/>
          <w:lang w:val="en-US" w:eastAsia="zh-CN"/>
        </w:rPr>
        <w:t>一体化为导向，吸引适铁、适水、适空等产业集群在示范基地周边布局，提升乐山承接产业转移的软硬件实力，壮大临港经济</w:t>
      </w:r>
      <w:r>
        <w:rPr>
          <w:rFonts w:hint="eastAsia" w:cs="Times New Roman"/>
          <w:color w:val="auto"/>
          <w:sz w:val="32"/>
          <w:szCs w:val="32"/>
          <w:lang w:val="en-US" w:eastAsia="zh-CN"/>
        </w:rPr>
        <w:t>。业务融合上，加强企业间供应链战略协同，鼓励物流企业与制造业企业共建共享生产配送、物料仓储等基础设施；以钢铁生产、绿色化工、食品消费、重型装备等产业为重点，做强大宗物资贸易、大件运输、冷链物流等专业化物流服务。</w:t>
      </w:r>
    </w:p>
    <w:p>
      <w:pPr>
        <w:spacing w:line="600" w:lineRule="exact"/>
        <w:ind w:firstLine="640" w:firstLineChars="200"/>
        <w:rPr>
          <w:rFonts w:hint="eastAsia"/>
          <w:color w:val="auto"/>
          <w:lang w:val="en-US" w:eastAsia="zh-CN"/>
        </w:rPr>
      </w:pPr>
      <w:r>
        <w:rPr>
          <w:rFonts w:hint="default" w:ascii="仿宋_GB2312" w:hAnsi="仿宋_GB2312" w:eastAsia="仿宋_GB2312" w:cs="仿宋_GB2312"/>
          <w:color w:val="auto"/>
          <w:sz w:val="32"/>
          <w:szCs w:val="32"/>
          <w:lang w:val="en-US" w:eastAsia="zh-CN"/>
        </w:rPr>
        <w:t>绿色化发展策略。</w:t>
      </w:r>
      <w:r>
        <w:rPr>
          <w:rFonts w:hint="eastAsia"/>
          <w:color w:val="auto"/>
          <w:lang w:val="en-US" w:eastAsia="zh-CN"/>
        </w:rPr>
        <w:t>推动新能源、氢能源集卡、叉车、拖车等绿色运输装备在示范基地内应用，布局建设集液化天然气（LNG）、氢能、充电、加油等多种补能方式于一体化的绿色补能设施。在规划设计阶段统筹考虑在厂房、仓储、办公等设施屋顶应用分布式光伏发电系统，最大化满足园区内仓内照明、自动分拣、自动打包、自动拣货等多场景作业的用电需求，打造“近零碳”物流园区。搭建综合能源管控平台，集成能耗监测、能效分析、碳管理等功能，实现用能精细化管理。</w:t>
      </w:r>
    </w:p>
    <w:p>
      <w:pPr>
        <w:pStyle w:val="4"/>
        <w:bidi w:val="0"/>
        <w:rPr>
          <w:rFonts w:hint="default" w:ascii="Times New Roman" w:hAnsi="Times New Roman" w:cs="Times New Roman"/>
          <w:color w:val="auto"/>
          <w:lang w:val="en-US" w:eastAsia="zh-CN"/>
        </w:rPr>
      </w:pPr>
      <w:bookmarkStart w:id="122" w:name="_Toc27723"/>
      <w:bookmarkStart w:id="123" w:name="_Toc294"/>
      <w:bookmarkStart w:id="124" w:name="_Toc26868"/>
      <w:bookmarkStart w:id="125" w:name="_Toc25292"/>
      <w:bookmarkStart w:id="126" w:name="_Toc27680"/>
      <w:bookmarkStart w:id="127" w:name="_Toc32548"/>
      <w:r>
        <w:rPr>
          <w:rFonts w:hint="default" w:ascii="Times New Roman" w:hAnsi="Times New Roman" w:cs="Times New Roman"/>
          <w:color w:val="auto"/>
          <w:lang w:val="en-US" w:eastAsia="zh-CN"/>
        </w:rPr>
        <w:t>发展目标</w:t>
      </w:r>
      <w:bookmarkEnd w:id="122"/>
      <w:bookmarkEnd w:id="123"/>
      <w:bookmarkEnd w:id="124"/>
      <w:bookmarkEnd w:id="125"/>
      <w:bookmarkEnd w:id="126"/>
      <w:bookmarkEnd w:id="127"/>
    </w:p>
    <w:p>
      <w:pPr>
        <w:spacing w:line="600" w:lineRule="exact"/>
        <w:ind w:firstLine="640" w:firstLineChars="200"/>
        <w:rPr>
          <w:rFonts w:hint="default" w:ascii="Times New Roman" w:hAnsi="Times New Roman" w:cs="Times New Roman"/>
          <w:color w:val="auto"/>
          <w:sz w:val="32"/>
          <w:szCs w:val="32"/>
          <w:lang w:val="en-US" w:eastAsia="zh-CN"/>
        </w:rPr>
      </w:pPr>
      <w:r>
        <w:rPr>
          <w:rFonts w:hint="default" w:ascii="Times New Roman" w:hAnsi="Times New Roman" w:cs="Times New Roman"/>
          <w:color w:val="auto"/>
          <w:sz w:val="32"/>
          <w:szCs w:val="32"/>
          <w:lang w:val="en-US" w:eastAsia="zh-CN"/>
        </w:rPr>
        <w:t>到2030年，</w:t>
      </w:r>
      <w:r>
        <w:rPr>
          <w:rFonts w:hint="default" w:ascii="Times New Roman" w:hAnsi="Times New Roman" w:cs="Times New Roman"/>
          <w:color w:val="auto"/>
          <w:lang w:val="en-US" w:eastAsia="zh-CN"/>
        </w:rPr>
        <w:t>示范基地建设初见成效，港口、</w:t>
      </w:r>
      <w:r>
        <w:rPr>
          <w:rFonts w:hint="eastAsia" w:ascii="Times New Roman" w:hAnsi="Times New Roman" w:cs="Times New Roman"/>
          <w:color w:val="auto"/>
          <w:lang w:val="en-US" w:eastAsia="zh-CN"/>
        </w:rPr>
        <w:t>国际物流</w:t>
      </w:r>
      <w:r>
        <w:rPr>
          <w:rFonts w:hint="default" w:ascii="Times New Roman" w:hAnsi="Times New Roman" w:cs="Times New Roman"/>
          <w:color w:val="auto"/>
          <w:lang w:val="en-US" w:eastAsia="zh-CN"/>
        </w:rPr>
        <w:t>运输功能基本完善</w:t>
      </w:r>
      <w:r>
        <w:rPr>
          <w:rFonts w:hint="default" w:ascii="Times New Roman" w:hAnsi="Times New Roman" w:cs="Times New Roman"/>
          <w:color w:val="auto"/>
          <w:sz w:val="32"/>
          <w:szCs w:val="32"/>
          <w:lang w:val="en-US" w:eastAsia="zh-CN"/>
        </w:rPr>
        <w:t>，内河集装箱班轮常态化开行，基地内无人化作业装备和新能源运输装备广泛应用，稳定运营一批低空物流航线，建设成为大件物流区域总部和</w:t>
      </w:r>
      <w:r>
        <w:rPr>
          <w:rFonts w:hint="eastAsia" w:cs="Times New Roman"/>
          <w:color w:val="auto"/>
          <w:lang w:val="en-US" w:eastAsia="zh-CN"/>
        </w:rPr>
        <w:t>化工物流重要集散地</w:t>
      </w:r>
      <w:r>
        <w:rPr>
          <w:rFonts w:hint="default" w:ascii="Times New Roman" w:hAnsi="Times New Roman" w:cs="Times New Roman"/>
          <w:color w:val="auto"/>
          <w:sz w:val="32"/>
          <w:szCs w:val="32"/>
          <w:lang w:val="en-US" w:eastAsia="zh-CN"/>
        </w:rPr>
        <w:t>。</w:t>
      </w:r>
      <w:r>
        <w:rPr>
          <w:rFonts w:hint="eastAsia" w:cs="Times New Roman"/>
          <w:color w:val="auto"/>
          <w:sz w:val="32"/>
          <w:szCs w:val="32"/>
          <w:lang w:val="en-US" w:eastAsia="zh-CN"/>
        </w:rPr>
        <w:t>依托示范基地</w:t>
      </w:r>
      <w:r>
        <w:rPr>
          <w:rFonts w:hint="default" w:ascii="Times New Roman" w:hAnsi="Times New Roman" w:cs="Times New Roman"/>
          <w:color w:val="auto"/>
          <w:sz w:val="32"/>
          <w:szCs w:val="32"/>
          <w:lang w:val="en-US" w:eastAsia="zh-CN"/>
        </w:rPr>
        <w:t>培育多式联运精品线路</w:t>
      </w:r>
      <w:r>
        <w:rPr>
          <w:rFonts w:hint="eastAsia" w:cs="Times New Roman"/>
          <w:color w:val="auto"/>
          <w:sz w:val="32"/>
          <w:szCs w:val="32"/>
          <w:lang w:val="en-US" w:eastAsia="zh-CN"/>
        </w:rPr>
        <w:t>3</w:t>
      </w:r>
      <w:r>
        <w:rPr>
          <w:rFonts w:hint="default" w:ascii="Times New Roman" w:hAnsi="Times New Roman" w:cs="Times New Roman"/>
          <w:color w:val="auto"/>
          <w:sz w:val="32"/>
          <w:szCs w:val="32"/>
          <w:lang w:val="en-US" w:eastAsia="zh-CN"/>
        </w:rPr>
        <w:t>条，</w:t>
      </w:r>
      <w:r>
        <w:rPr>
          <w:rFonts w:hint="default" w:ascii="Times New Roman" w:hAnsi="Times New Roman" w:cs="Times New Roman"/>
          <w:color w:val="auto"/>
          <w:lang w:val="en-US" w:eastAsia="zh-CN"/>
        </w:rPr>
        <w:t>完成</w:t>
      </w:r>
      <w:r>
        <w:rPr>
          <w:rFonts w:hint="default" w:ascii="Times New Roman" w:hAnsi="Times New Roman" w:cs="Times New Roman"/>
          <w:color w:val="auto"/>
          <w:sz w:val="32"/>
          <w:szCs w:val="32"/>
          <w:lang w:val="en-US" w:eastAsia="zh-CN"/>
        </w:rPr>
        <w:t>集装箱吞吐量达</w:t>
      </w:r>
      <w:r>
        <w:rPr>
          <w:rFonts w:hint="eastAsia" w:cs="Times New Roman"/>
          <w:color w:val="auto"/>
          <w:sz w:val="32"/>
          <w:szCs w:val="32"/>
          <w:lang w:val="en-US" w:eastAsia="zh-CN"/>
        </w:rPr>
        <w:t>2</w:t>
      </w:r>
      <w:r>
        <w:rPr>
          <w:rFonts w:hint="default" w:ascii="Times New Roman" w:hAnsi="Times New Roman" w:cs="Times New Roman"/>
          <w:color w:val="auto"/>
          <w:sz w:val="32"/>
          <w:szCs w:val="32"/>
          <w:lang w:val="en-US" w:eastAsia="zh-CN"/>
        </w:rPr>
        <w:t>万标箱，</w:t>
      </w:r>
      <w:r>
        <w:rPr>
          <w:rFonts w:hint="eastAsia" w:cs="Times New Roman"/>
          <w:color w:val="auto"/>
          <w:lang w:val="en-US" w:eastAsia="zh-CN"/>
        </w:rPr>
        <w:t>水路货运量200万吨，航空货运量5000吨</w:t>
      </w:r>
      <w:r>
        <w:rPr>
          <w:rFonts w:hint="default" w:ascii="Times New Roman" w:hAnsi="Times New Roman" w:cs="Times New Roman"/>
          <w:color w:val="auto"/>
          <w:sz w:val="32"/>
          <w:szCs w:val="32"/>
          <w:lang w:val="en-US" w:eastAsia="zh-CN"/>
        </w:rPr>
        <w:t>。</w:t>
      </w:r>
    </w:p>
    <w:p>
      <w:pPr>
        <w:spacing w:line="600" w:lineRule="exact"/>
        <w:ind w:firstLine="640" w:firstLineChars="200"/>
        <w:rPr>
          <w:rFonts w:hint="default" w:ascii="Times New Roman" w:hAnsi="Times New Roman" w:cs="Times New Roman"/>
          <w:color w:val="auto"/>
          <w:sz w:val="32"/>
          <w:szCs w:val="32"/>
          <w:lang w:val="en-US" w:eastAsia="zh-CN"/>
        </w:rPr>
      </w:pPr>
      <w:r>
        <w:rPr>
          <w:rFonts w:hint="default" w:ascii="Times New Roman" w:hAnsi="Times New Roman" w:cs="Times New Roman"/>
          <w:color w:val="auto"/>
          <w:sz w:val="32"/>
          <w:szCs w:val="32"/>
          <w:lang w:val="en-US" w:eastAsia="zh-CN"/>
        </w:rPr>
        <w:t>到2035年，</w:t>
      </w:r>
      <w:r>
        <w:rPr>
          <w:rFonts w:hint="default" w:ascii="Times New Roman" w:hAnsi="Times New Roman" w:cs="Times New Roman"/>
          <w:color w:val="auto"/>
          <w:lang w:val="en-US" w:eastAsia="zh-CN"/>
        </w:rPr>
        <w:t>示范基地主体功能基本成型，</w:t>
      </w:r>
      <w:r>
        <w:rPr>
          <w:rFonts w:hint="default" w:ascii="Times New Roman" w:hAnsi="Times New Roman" w:cs="Times New Roman"/>
          <w:color w:val="auto"/>
          <w:sz w:val="32"/>
          <w:szCs w:val="32"/>
          <w:lang w:val="en-US" w:eastAsia="zh-CN"/>
        </w:rPr>
        <w:t>力争实现保税物流中心（B型）封关运营，</w:t>
      </w:r>
      <w:r>
        <w:rPr>
          <w:rFonts w:hint="default" w:ascii="Times New Roman" w:hAnsi="Times New Roman" w:cs="Times New Roman"/>
          <w:color w:val="auto"/>
          <w:lang w:val="en-US" w:eastAsia="zh-CN"/>
        </w:rPr>
        <w:t>成功开通运营一批至全国重要城市的全货机航线，</w:t>
      </w:r>
      <w:r>
        <w:rPr>
          <w:rFonts w:hint="eastAsia" w:cs="Times New Roman"/>
          <w:color w:val="auto"/>
          <w:lang w:val="en-US" w:eastAsia="zh-CN"/>
        </w:rPr>
        <w:t>进港铁路建成投用</w:t>
      </w:r>
      <w:r>
        <w:rPr>
          <w:rFonts w:hint="default" w:ascii="Times New Roman" w:hAnsi="Times New Roman" w:cs="Times New Roman"/>
          <w:color w:val="auto"/>
          <w:lang w:val="en-US" w:eastAsia="zh-CN"/>
        </w:rPr>
        <w:t>，建设成为区域建材物贸一体示范基地、</w:t>
      </w:r>
      <w:r>
        <w:rPr>
          <w:rFonts w:hint="eastAsia" w:cs="Times New Roman"/>
          <w:color w:val="auto"/>
          <w:lang w:val="en-US" w:eastAsia="zh-CN"/>
        </w:rPr>
        <w:t>川中川南</w:t>
      </w:r>
      <w:r>
        <w:rPr>
          <w:rFonts w:hint="default" w:ascii="Times New Roman" w:hAnsi="Times New Roman" w:cs="Times New Roman"/>
          <w:color w:val="auto"/>
          <w:lang w:val="en-US" w:eastAsia="zh-CN"/>
        </w:rPr>
        <w:t>期货</w:t>
      </w:r>
      <w:r>
        <w:rPr>
          <w:rFonts w:hint="eastAsia" w:cs="Times New Roman"/>
          <w:color w:val="auto"/>
          <w:lang w:val="en-US" w:eastAsia="zh-CN"/>
        </w:rPr>
        <w:t>物流集聚地</w:t>
      </w:r>
      <w:r>
        <w:rPr>
          <w:rFonts w:hint="default" w:ascii="Times New Roman" w:hAnsi="Times New Roman" w:cs="Times New Roman"/>
          <w:color w:val="auto"/>
          <w:lang w:val="en-US" w:eastAsia="zh-CN"/>
        </w:rPr>
        <w:t>，全面支撑乐山</w:t>
      </w:r>
      <w:r>
        <w:rPr>
          <w:rFonts w:hint="eastAsia" w:ascii="Times New Roman" w:hAnsi="Times New Roman" w:cs="Times New Roman"/>
          <w:color w:val="auto"/>
          <w:lang w:val="en-US" w:eastAsia="zh-CN"/>
        </w:rPr>
        <w:t>建成</w:t>
      </w:r>
      <w:r>
        <w:rPr>
          <w:rFonts w:hint="default" w:ascii="Times New Roman" w:hAnsi="Times New Roman" w:cs="Times New Roman"/>
          <w:color w:val="auto"/>
          <w:lang w:val="en-US" w:eastAsia="zh-CN"/>
        </w:rPr>
        <w:t>全省重要的区域交通物流枢纽。</w:t>
      </w:r>
      <w:r>
        <w:rPr>
          <w:rFonts w:hint="default" w:ascii="Times New Roman" w:hAnsi="Times New Roman" w:cs="Times New Roman"/>
          <w:color w:val="auto"/>
          <w:sz w:val="32"/>
          <w:szCs w:val="32"/>
          <w:lang w:val="en-US" w:eastAsia="zh-CN"/>
        </w:rPr>
        <w:t>培育多式联运精品线路7条，</w:t>
      </w:r>
      <w:r>
        <w:rPr>
          <w:rFonts w:hint="default" w:ascii="Times New Roman" w:hAnsi="Times New Roman" w:cs="Times New Roman"/>
          <w:color w:val="auto"/>
          <w:lang w:val="en-US" w:eastAsia="zh-CN"/>
        </w:rPr>
        <w:t>集装箱吞吐量10万标箱，完成集装箱铁水联运量7万</w:t>
      </w:r>
      <w:r>
        <w:rPr>
          <w:rFonts w:hint="default" w:ascii="Times New Roman" w:hAnsi="Times New Roman" w:cs="Times New Roman"/>
          <w:color w:val="auto"/>
          <w:sz w:val="32"/>
          <w:szCs w:val="32"/>
          <w:lang w:val="en-US" w:eastAsia="zh-CN"/>
        </w:rPr>
        <w:t>标箱。</w:t>
      </w:r>
    </w:p>
    <w:p>
      <w:pPr>
        <w:spacing w:line="600" w:lineRule="exact"/>
        <w:ind w:firstLine="640" w:firstLineChars="200"/>
        <w:rPr>
          <w:rFonts w:hint="default" w:ascii="Times New Roman" w:hAnsi="Times New Roman" w:cs="Times New Roman"/>
          <w:color w:val="auto"/>
          <w:sz w:val="32"/>
          <w:szCs w:val="32"/>
          <w:lang w:val="en-US" w:eastAsia="zh-CN"/>
        </w:rPr>
      </w:pPr>
      <w:r>
        <w:rPr>
          <w:rFonts w:hint="default" w:ascii="Times New Roman" w:hAnsi="Times New Roman" w:cs="Times New Roman"/>
          <w:color w:val="auto"/>
          <w:sz w:val="32"/>
          <w:szCs w:val="32"/>
          <w:lang w:val="en-US" w:eastAsia="zh-CN"/>
        </w:rPr>
        <w:t>到2040年，</w:t>
      </w:r>
      <w:r>
        <w:rPr>
          <w:rFonts w:hint="default" w:ascii="Times New Roman" w:hAnsi="Times New Roman" w:cs="Times New Roman"/>
          <w:color w:val="auto"/>
          <w:lang w:val="en-US" w:eastAsia="zh-CN"/>
        </w:rPr>
        <w:t>示范基地全面建成，</w:t>
      </w:r>
      <w:r>
        <w:rPr>
          <w:rFonts w:hint="default" w:ascii="Times New Roman" w:hAnsi="Times New Roman" w:cs="Times New Roman"/>
          <w:color w:val="auto"/>
          <w:sz w:val="32"/>
          <w:szCs w:val="32"/>
          <w:lang w:val="en-US" w:eastAsia="zh-CN"/>
        </w:rPr>
        <w:t>智慧化、绿色化物流发展水平和交通物流产业走在全省前列，枢纽经济发展全国领先，带动乐山成为全国重点物流枢纽核心城市。</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公铁水空一站式多式联运示范基地发展</w:t>
      </w:r>
      <w:r>
        <w:rPr>
          <w:rFonts w:hint="eastAsia" w:ascii="Times New Roman" w:hAnsi="Times New Roman" w:cs="Times New Roman"/>
          <w:color w:val="auto"/>
          <w:lang w:val="en-US" w:eastAsia="zh-CN"/>
        </w:rPr>
        <w:t>指标</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8"/>
        <w:gridCol w:w="6311"/>
        <w:gridCol w:w="1349"/>
        <w:gridCol w:w="1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序号</w:t>
            </w:r>
          </w:p>
        </w:tc>
        <w:tc>
          <w:tcPr>
            <w:tcW w:w="3143"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指标名称</w:t>
            </w:r>
          </w:p>
        </w:tc>
        <w:tc>
          <w:tcPr>
            <w:tcW w:w="672"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2030年</w:t>
            </w:r>
          </w:p>
        </w:tc>
        <w:tc>
          <w:tcPr>
            <w:tcW w:w="657"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2035年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示范基地培育多式联运精品线路数（条）</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3</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kern w:val="2"/>
                <w:sz w:val="24"/>
                <w:szCs w:val="24"/>
                <w:vertAlign w:val="baseline"/>
                <w:lang w:val="en-US" w:eastAsia="zh-CN" w:bidi="ar-SA"/>
              </w:rPr>
              <w:t>2</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示范基地完成水路货运量（万吨）</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200</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3</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示范基地</w:t>
            </w:r>
            <w:r>
              <w:rPr>
                <w:rFonts w:hint="eastAsia" w:cs="Times New Roman"/>
                <w:color w:val="auto"/>
                <w:sz w:val="24"/>
                <w:szCs w:val="24"/>
                <w:vertAlign w:val="baseline"/>
                <w:lang w:val="en-US" w:eastAsia="zh-CN"/>
              </w:rPr>
              <w:t>完成航空货运量</w:t>
            </w:r>
            <w:r>
              <w:rPr>
                <w:rFonts w:hint="default" w:ascii="Times New Roman" w:hAnsi="Times New Roman" w:cs="Times New Roman"/>
                <w:color w:val="auto"/>
                <w:sz w:val="24"/>
                <w:szCs w:val="24"/>
                <w:vertAlign w:val="baseline"/>
                <w:lang w:val="en-US" w:eastAsia="zh-CN"/>
              </w:rPr>
              <w:t>（吨）</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5000</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16000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4</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示范基地</w:t>
            </w:r>
            <w:r>
              <w:rPr>
                <w:rFonts w:hint="eastAsia" w:cs="Times New Roman"/>
                <w:color w:val="auto"/>
                <w:sz w:val="24"/>
                <w:szCs w:val="24"/>
                <w:vertAlign w:val="baseline"/>
                <w:lang w:val="en-US" w:eastAsia="zh-CN"/>
              </w:rPr>
              <w:t>完成铁路货运量（万吨）</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0</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5</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示范基地完成集装箱吞吐量（万标箱）</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2</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kern w:val="2"/>
                <w:sz w:val="24"/>
                <w:szCs w:val="24"/>
                <w:vertAlign w:val="baseline"/>
                <w:lang w:val="en-US" w:eastAsia="zh-CN" w:bidi="ar-SA"/>
              </w:rPr>
              <w:t>6</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示范基地完成集装箱铁水联运量（万标箱）</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0</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kern w:val="2"/>
                <w:sz w:val="24"/>
                <w:szCs w:val="24"/>
                <w:vertAlign w:val="baseline"/>
                <w:lang w:val="en-US" w:eastAsia="zh-CN" w:bidi="ar-SA"/>
              </w:rPr>
              <w:t>7</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示范基地</w:t>
            </w:r>
            <w:r>
              <w:rPr>
                <w:rFonts w:hint="default" w:ascii="Times New Roman" w:hAnsi="Times New Roman" w:cs="Times New Roman"/>
                <w:color w:val="auto"/>
                <w:sz w:val="24"/>
                <w:szCs w:val="24"/>
                <w:vertAlign w:val="baseline"/>
                <w:lang w:val="en-US" w:eastAsia="zh-CN"/>
              </w:rPr>
              <w:t>多式联运1小时换装率（%）</w:t>
            </w:r>
          </w:p>
        </w:tc>
        <w:tc>
          <w:tcPr>
            <w:tcW w:w="67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80</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kern w:val="2"/>
                <w:sz w:val="24"/>
                <w:szCs w:val="24"/>
                <w:vertAlign w:val="baseline"/>
                <w:lang w:val="en-US" w:eastAsia="zh-CN" w:bidi="ar-SA"/>
              </w:rPr>
              <w:t>8</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全市</w:t>
            </w:r>
            <w:r>
              <w:rPr>
                <w:rFonts w:hint="default" w:ascii="Times New Roman" w:hAnsi="Times New Roman" w:cs="Times New Roman"/>
                <w:color w:val="auto"/>
                <w:sz w:val="24"/>
                <w:szCs w:val="24"/>
                <w:vertAlign w:val="baseline"/>
                <w:lang w:val="en-US" w:eastAsia="zh-CN"/>
              </w:rPr>
              <w:t>全货机航线数量（条）</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0</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cs="Times New Roman"/>
                <w:color w:val="auto"/>
                <w:kern w:val="2"/>
                <w:sz w:val="24"/>
                <w:szCs w:val="24"/>
                <w:vertAlign w:val="baseline"/>
                <w:lang w:val="en-US" w:eastAsia="zh-CN" w:bidi="ar-SA"/>
              </w:rPr>
            </w:pPr>
            <w:r>
              <w:rPr>
                <w:rFonts w:hint="eastAsia" w:cs="Times New Roman"/>
                <w:color w:val="auto"/>
                <w:kern w:val="2"/>
                <w:sz w:val="24"/>
                <w:szCs w:val="24"/>
                <w:vertAlign w:val="baseline"/>
                <w:lang w:val="en-US" w:eastAsia="zh-CN" w:bidi="ar-SA"/>
              </w:rPr>
              <w:t>9</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全市水路货运量占比</w:t>
            </w:r>
            <w:r>
              <w:rPr>
                <w:rFonts w:hint="default" w:ascii="Times New Roman" w:hAnsi="Times New Roman" w:cs="Times New Roman"/>
                <w:color w:val="auto"/>
                <w:sz w:val="24"/>
                <w:szCs w:val="24"/>
                <w:vertAlign w:val="baseline"/>
                <w:lang w:val="en-US" w:eastAsia="zh-CN"/>
              </w:rPr>
              <w:t>（%）</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≥4.5</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color w:val="auto"/>
                <w:kern w:val="2"/>
                <w:sz w:val="24"/>
                <w:szCs w:val="24"/>
                <w:vertAlign w:val="baseline"/>
                <w:lang w:val="en-US" w:eastAsia="zh-CN" w:bidi="ar-SA"/>
              </w:rPr>
            </w:pPr>
            <w:r>
              <w:rPr>
                <w:rFonts w:hint="eastAsia" w:cs="Times New Roman"/>
                <w:color w:val="auto"/>
                <w:kern w:val="2"/>
                <w:sz w:val="24"/>
                <w:szCs w:val="24"/>
                <w:vertAlign w:val="baseline"/>
                <w:lang w:val="en-US" w:eastAsia="zh-CN" w:bidi="ar-SA"/>
              </w:rPr>
              <w:t>10</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全市</w:t>
            </w:r>
            <w:r>
              <w:rPr>
                <w:rFonts w:hint="eastAsia" w:cs="Times New Roman"/>
                <w:color w:val="auto"/>
                <w:sz w:val="24"/>
                <w:szCs w:val="24"/>
                <w:vertAlign w:val="baseline"/>
                <w:lang w:val="en-US" w:eastAsia="zh-CN"/>
              </w:rPr>
              <w:t>铁</w:t>
            </w:r>
            <w:r>
              <w:rPr>
                <w:rFonts w:hint="eastAsia" w:ascii="Times New Roman" w:hAnsi="Times New Roman" w:cs="Times New Roman"/>
                <w:color w:val="auto"/>
                <w:sz w:val="24"/>
                <w:szCs w:val="24"/>
                <w:vertAlign w:val="baseline"/>
                <w:lang w:val="en-US" w:eastAsia="zh-CN"/>
              </w:rPr>
              <w:t>路货运量占比</w:t>
            </w:r>
            <w:r>
              <w:rPr>
                <w:rFonts w:hint="default" w:ascii="Times New Roman" w:hAnsi="Times New Roman" w:cs="Times New Roman"/>
                <w:color w:val="auto"/>
                <w:sz w:val="24"/>
                <w:szCs w:val="24"/>
                <w:vertAlign w:val="baseline"/>
                <w:lang w:val="en-US" w:eastAsia="zh-CN"/>
              </w:rPr>
              <w:t>（%）</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≥4</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kern w:val="2"/>
                <w:sz w:val="24"/>
                <w:szCs w:val="24"/>
                <w:vertAlign w:val="baseline"/>
                <w:lang w:val="en-US" w:eastAsia="zh-CN" w:bidi="ar-SA"/>
              </w:rPr>
              <w:t>11</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全市</w:t>
            </w:r>
            <w:r>
              <w:rPr>
                <w:rFonts w:hint="default" w:ascii="Times New Roman" w:hAnsi="Times New Roman" w:cs="Times New Roman"/>
                <w:color w:val="auto"/>
                <w:sz w:val="24"/>
                <w:szCs w:val="24"/>
                <w:vertAlign w:val="baseline"/>
                <w:lang w:val="en-US" w:eastAsia="zh-CN"/>
              </w:rPr>
              <w:t>新培育3A级</w:t>
            </w:r>
            <w:r>
              <w:rPr>
                <w:rFonts w:hint="eastAsia" w:ascii="Times New Roman" w:hAnsi="Times New Roman" w:cs="Times New Roman"/>
                <w:color w:val="auto"/>
                <w:sz w:val="24"/>
                <w:szCs w:val="24"/>
                <w:vertAlign w:val="baseline"/>
                <w:lang w:val="en-US" w:eastAsia="zh-CN"/>
              </w:rPr>
              <w:t>及以</w:t>
            </w:r>
            <w:r>
              <w:rPr>
                <w:rFonts w:hint="default" w:ascii="Times New Roman" w:hAnsi="Times New Roman" w:cs="Times New Roman"/>
                <w:color w:val="auto"/>
                <w:sz w:val="24"/>
                <w:szCs w:val="24"/>
                <w:vertAlign w:val="baseline"/>
                <w:lang w:val="en-US" w:eastAsia="zh-CN"/>
              </w:rPr>
              <w:t>上物流企业数量（户）</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5</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color w:val="auto"/>
                <w:kern w:val="2"/>
                <w:sz w:val="24"/>
                <w:szCs w:val="24"/>
                <w:vertAlign w:val="baseline"/>
                <w:lang w:val="en-US" w:eastAsia="zh-CN" w:bidi="ar-SA"/>
              </w:rPr>
            </w:pPr>
            <w:r>
              <w:rPr>
                <w:rFonts w:hint="eastAsia" w:cs="Times New Roman"/>
                <w:color w:val="auto"/>
                <w:kern w:val="2"/>
                <w:sz w:val="24"/>
                <w:szCs w:val="24"/>
                <w:vertAlign w:val="baseline"/>
                <w:lang w:val="en-US" w:eastAsia="zh-CN" w:bidi="ar-SA"/>
              </w:rPr>
              <w:t>12</w:t>
            </w:r>
          </w:p>
        </w:tc>
        <w:tc>
          <w:tcPr>
            <w:tcW w:w="314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社会物流总费用</w:t>
            </w:r>
            <w:r>
              <w:rPr>
                <w:rFonts w:hint="eastAsia" w:ascii="Times New Roman" w:hAnsi="Times New Roman" w:cs="Times New Roman"/>
                <w:color w:val="auto"/>
                <w:sz w:val="24"/>
                <w:szCs w:val="24"/>
                <w:vertAlign w:val="baseline"/>
                <w:lang w:val="en-US" w:eastAsia="zh-CN"/>
              </w:rPr>
              <w:t>与地区生产总值</w:t>
            </w:r>
            <w:r>
              <w:rPr>
                <w:rFonts w:hint="default" w:ascii="Times New Roman" w:hAnsi="Times New Roman" w:cs="Times New Roman"/>
                <w:color w:val="auto"/>
                <w:sz w:val="24"/>
                <w:szCs w:val="24"/>
                <w:vertAlign w:val="baseline"/>
                <w:lang w:val="en-US" w:eastAsia="zh-CN"/>
              </w:rPr>
              <w:t>的比率（%）</w:t>
            </w:r>
          </w:p>
        </w:tc>
        <w:tc>
          <w:tcPr>
            <w:tcW w:w="67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13.2</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12.5</w:t>
            </w:r>
          </w:p>
        </w:tc>
      </w:tr>
    </w:tbl>
    <w:p>
      <w:pPr>
        <w:pStyle w:val="2"/>
        <w:rPr>
          <w:rFonts w:hint="default"/>
          <w:color w:val="auto"/>
          <w:lang w:val="en-US" w:eastAsia="zh-CN"/>
        </w:rPr>
      </w:pPr>
    </w:p>
    <w:p>
      <w:pPr>
        <w:spacing w:line="600" w:lineRule="exact"/>
        <w:ind w:firstLine="640" w:firstLineChars="200"/>
        <w:rPr>
          <w:rFonts w:hint="default"/>
          <w:color w:val="auto"/>
          <w:lang w:val="en-US" w:eastAsia="zh-CN"/>
        </w:rPr>
        <w:sectPr>
          <w:pgSz w:w="23811" w:h="16838" w:orient="landscape"/>
          <w:pgMar w:top="1800" w:right="1440" w:bottom="1800" w:left="1440" w:header="851" w:footer="992" w:gutter="0"/>
          <w:pgNumType w:fmt="decimal"/>
          <w:cols w:space="1280" w:num="2"/>
          <w:docGrid w:type="lines" w:linePitch="312" w:charSpace="0"/>
        </w:sectPr>
      </w:pPr>
    </w:p>
    <w:p>
      <w:pPr>
        <w:pStyle w:val="3"/>
        <w:bidi w:val="0"/>
        <w:rPr>
          <w:rFonts w:hint="default" w:ascii="Times New Roman" w:hAnsi="Times New Roman" w:cs="Times New Roman"/>
          <w:color w:val="auto"/>
          <w:lang w:val="en-US" w:eastAsia="zh-CN"/>
        </w:rPr>
      </w:pPr>
      <w:bookmarkStart w:id="128" w:name="_Toc6990"/>
      <w:bookmarkStart w:id="129" w:name="_Toc30768"/>
      <w:bookmarkStart w:id="130" w:name="_Toc20908"/>
      <w:bookmarkStart w:id="131" w:name="_Toc13457"/>
      <w:bookmarkStart w:id="132" w:name="_Toc17427"/>
      <w:bookmarkStart w:id="133" w:name="_Toc17801"/>
      <w:r>
        <w:rPr>
          <w:rFonts w:hint="default" w:ascii="Times New Roman" w:hAnsi="Times New Roman" w:cs="Times New Roman"/>
          <w:color w:val="auto"/>
          <w:lang w:val="en-US" w:eastAsia="zh-CN"/>
        </w:rPr>
        <w:t>选址及空间布局</w:t>
      </w:r>
      <w:bookmarkEnd w:id="128"/>
      <w:bookmarkEnd w:id="129"/>
      <w:bookmarkEnd w:id="130"/>
      <w:bookmarkEnd w:id="131"/>
      <w:bookmarkEnd w:id="132"/>
      <w:bookmarkEnd w:id="133"/>
    </w:p>
    <w:p>
      <w:pPr>
        <w:pStyle w:val="4"/>
        <w:bidi w:val="0"/>
        <w:rPr>
          <w:rFonts w:hint="eastAsia"/>
          <w:color w:val="auto"/>
          <w:lang w:val="en-US" w:eastAsia="zh-CN"/>
        </w:rPr>
      </w:pPr>
      <w:bookmarkStart w:id="134" w:name="_Toc27067"/>
      <w:bookmarkStart w:id="135" w:name="_Toc20915"/>
      <w:r>
        <w:rPr>
          <w:rFonts w:hint="eastAsia"/>
          <w:color w:val="auto"/>
          <w:lang w:val="en-US" w:eastAsia="zh-CN"/>
        </w:rPr>
        <w:t>布局条件</w:t>
      </w:r>
      <w:bookmarkEnd w:id="134"/>
      <w:bookmarkEnd w:id="135"/>
    </w:p>
    <w:p>
      <w:pPr>
        <w:pStyle w:val="5"/>
        <w:bidi w:val="0"/>
        <w:rPr>
          <w:rFonts w:hint="default"/>
          <w:color w:val="auto"/>
          <w:lang w:val="en-US" w:eastAsia="zh-CN"/>
        </w:rPr>
      </w:pPr>
      <w:bookmarkStart w:id="136" w:name="_Toc20849"/>
      <w:r>
        <w:rPr>
          <w:rFonts w:hint="eastAsia"/>
          <w:color w:val="auto"/>
          <w:lang w:val="en-US" w:eastAsia="zh-CN"/>
        </w:rPr>
        <w:t>对外交通支撑条件</w:t>
      </w:r>
      <w:bookmarkEnd w:id="136"/>
    </w:p>
    <w:p>
      <w:pPr>
        <w:spacing w:line="600" w:lineRule="exact"/>
        <w:ind w:firstLine="640" w:firstLineChars="200"/>
        <w:rPr>
          <w:rFonts w:hint="eastAsia" w:ascii="仿宋_GB2312" w:eastAsia="仿宋_GB2312"/>
          <w:color w:val="auto"/>
          <w:sz w:val="32"/>
          <w:szCs w:val="32"/>
        </w:rPr>
      </w:pPr>
      <w:r>
        <w:rPr>
          <w:rFonts w:hint="eastAsia" w:ascii="仿宋_GB2312"/>
          <w:color w:val="auto"/>
          <w:sz w:val="32"/>
          <w:szCs w:val="32"/>
          <w:lang w:val="en-US" w:eastAsia="zh-CN"/>
        </w:rPr>
        <w:t>当前，乐山正以</w:t>
      </w:r>
      <w:r>
        <w:rPr>
          <w:rFonts w:hint="eastAsia" w:ascii="仿宋_GB2312" w:eastAsia="仿宋_GB2312"/>
          <w:color w:val="auto"/>
          <w:sz w:val="32"/>
          <w:szCs w:val="32"/>
        </w:rPr>
        <w:t>实施交通强市战略</w:t>
      </w:r>
      <w:r>
        <w:rPr>
          <w:rFonts w:hint="eastAsia" w:ascii="仿宋_GB2312"/>
          <w:color w:val="auto"/>
          <w:sz w:val="32"/>
          <w:szCs w:val="32"/>
          <w:lang w:val="en-US" w:eastAsia="zh-CN"/>
        </w:rPr>
        <w:t>为牵引</w:t>
      </w:r>
      <w:r>
        <w:rPr>
          <w:rFonts w:hint="eastAsia" w:ascii="仿宋_GB2312" w:eastAsia="仿宋_GB2312"/>
          <w:color w:val="auto"/>
          <w:sz w:val="32"/>
          <w:szCs w:val="32"/>
        </w:rPr>
        <w:t>，</w:t>
      </w:r>
      <w:r>
        <w:rPr>
          <w:rFonts w:hint="eastAsia" w:ascii="仿宋_GB2312"/>
          <w:color w:val="auto"/>
          <w:sz w:val="32"/>
          <w:szCs w:val="32"/>
          <w:lang w:val="en-US" w:eastAsia="zh-CN"/>
        </w:rPr>
        <w:t>积极抢抓长江经济带、成渝地区</w:t>
      </w:r>
      <w:r>
        <w:rPr>
          <w:rFonts w:hint="eastAsia" w:ascii="Times New Roman" w:hAnsi="Times New Roman" w:eastAsia="仿宋_GB2312"/>
          <w:b w:val="0"/>
          <w:bCs w:val="0"/>
          <w:color w:val="auto"/>
          <w:sz w:val="32"/>
          <w:szCs w:val="32"/>
          <w:lang w:val="en-US" w:eastAsia="zh-CN"/>
        </w:rPr>
        <w:t>双城</w:t>
      </w:r>
      <w:r>
        <w:rPr>
          <w:rFonts w:hint="eastAsia" w:ascii="仿宋_GB2312"/>
          <w:color w:val="auto"/>
          <w:sz w:val="32"/>
          <w:szCs w:val="32"/>
          <w:lang w:val="en-US" w:eastAsia="zh-CN"/>
        </w:rPr>
        <w:t>经济圈、西部陆海新通道等重大机遇，</w:t>
      </w:r>
      <w:r>
        <w:rPr>
          <w:rFonts w:hint="eastAsia" w:ascii="仿宋_GB2312" w:eastAsia="仿宋_GB2312"/>
          <w:color w:val="auto"/>
          <w:sz w:val="32"/>
          <w:szCs w:val="32"/>
        </w:rPr>
        <w:t>加</w:t>
      </w:r>
      <w:r>
        <w:rPr>
          <w:rFonts w:hint="eastAsia" w:ascii="仿宋_GB2312"/>
          <w:color w:val="auto"/>
          <w:sz w:val="32"/>
          <w:szCs w:val="32"/>
          <w:lang w:val="en-US" w:eastAsia="zh-CN"/>
        </w:rPr>
        <w:t>快对外干线</w:t>
      </w:r>
      <w:r>
        <w:rPr>
          <w:rFonts w:hint="eastAsia" w:ascii="仿宋_GB2312" w:eastAsia="仿宋_GB2312"/>
          <w:color w:val="auto"/>
          <w:sz w:val="32"/>
          <w:szCs w:val="32"/>
        </w:rPr>
        <w:t>交通基础设施建设，</w:t>
      </w:r>
      <w:r>
        <w:rPr>
          <w:rFonts w:hint="eastAsia" w:ascii="仿宋_GB2312"/>
          <w:color w:val="auto"/>
          <w:sz w:val="32"/>
          <w:szCs w:val="32"/>
          <w:lang w:val="en-US" w:eastAsia="zh-CN"/>
        </w:rPr>
        <w:t>构建</w:t>
      </w:r>
      <w:r>
        <w:rPr>
          <w:rFonts w:hint="eastAsia" w:ascii="仿宋_GB2312" w:eastAsia="仿宋_GB2312"/>
          <w:color w:val="auto"/>
          <w:sz w:val="32"/>
          <w:szCs w:val="32"/>
        </w:rPr>
        <w:t>乐蓉、乐桂、乐昆、乐渝、乐藏“四向五廊”</w:t>
      </w:r>
      <w:r>
        <w:rPr>
          <w:rFonts w:hint="eastAsia" w:ascii="仿宋_GB2312"/>
          <w:color w:val="auto"/>
          <w:sz w:val="32"/>
          <w:szCs w:val="32"/>
          <w:lang w:val="en-US" w:eastAsia="zh-CN"/>
        </w:rPr>
        <w:t>对外</w:t>
      </w:r>
      <w:r>
        <w:rPr>
          <w:rFonts w:hint="eastAsia" w:ascii="仿宋_GB2312" w:eastAsia="仿宋_GB2312"/>
          <w:color w:val="auto"/>
          <w:sz w:val="32"/>
          <w:szCs w:val="32"/>
        </w:rPr>
        <w:t>综合交通廊道，以乐蓉通道联通成都，乐桂、乐渝通道联通川南，乐昆通道连接攀西，乐藏通道连接西藏，将乐山打造为四川省区域综合交通枢纽。</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41" w:type="dxa"/>
          </w:tcPr>
          <w:p>
            <w:pPr>
              <w:pStyle w:val="28"/>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0" w:firstLineChars="0"/>
              <w:jc w:val="center"/>
              <w:textAlignment w:val="auto"/>
              <w:rPr>
                <w:rFonts w:hint="default" w:ascii="Times New Roman" w:hAnsi="Times New Roman" w:cs="Times New Roman"/>
                <w:b/>
                <w:bCs/>
                <w:color w:val="auto"/>
                <w:sz w:val="30"/>
                <w:szCs w:val="30"/>
              </w:rPr>
            </w:pPr>
            <w:r>
              <w:rPr>
                <w:rFonts w:hint="default" w:ascii="Times New Roman" w:hAnsi="Times New Roman" w:eastAsia="黑体" w:cs="Times New Roman"/>
                <w:color w:val="auto"/>
                <w:sz w:val="30"/>
                <w:szCs w:val="30"/>
                <w:highlight w:val="none"/>
                <w:lang w:val="en-US" w:eastAsia="zh-CN"/>
              </w:rPr>
              <w:t>专栏</w:t>
            </w:r>
            <w:r>
              <w:rPr>
                <w:rFonts w:hint="eastAsia" w:eastAsia="黑体" w:cs="Times New Roman"/>
                <w:color w:val="auto"/>
                <w:sz w:val="30"/>
                <w:szCs w:val="30"/>
                <w:highlight w:val="none"/>
                <w:lang w:val="en-US" w:eastAsia="zh-CN"/>
              </w:rPr>
              <w:t>2</w:t>
            </w:r>
            <w:r>
              <w:rPr>
                <w:rFonts w:hint="default" w:ascii="Times New Roman" w:hAnsi="Times New Roman" w:eastAsia="黑体" w:cs="Times New Roman"/>
                <w:color w:val="auto"/>
                <w:sz w:val="30"/>
                <w:szCs w:val="30"/>
                <w:highlight w:val="none"/>
                <w:lang w:val="en-US" w:eastAsia="zh-CN"/>
              </w:rPr>
              <w:t>：乐山</w:t>
            </w:r>
            <w:r>
              <w:rPr>
                <w:rFonts w:hint="default" w:ascii="Times New Roman" w:hAnsi="Times New Roman" w:eastAsia="黑体" w:cs="Times New Roman"/>
                <w:color w:val="auto"/>
                <w:sz w:val="30"/>
                <w:szCs w:val="30"/>
                <w:highlight w:val="none"/>
              </w:rPr>
              <w:t>市</w:t>
            </w:r>
            <w:r>
              <w:rPr>
                <w:rFonts w:hint="eastAsia" w:eastAsia="黑体" w:cs="Times New Roman"/>
                <w:color w:val="auto"/>
                <w:sz w:val="30"/>
                <w:szCs w:val="30"/>
                <w:highlight w:val="none"/>
                <w:lang w:eastAsia="zh-CN"/>
              </w:rPr>
              <w:t>“</w:t>
            </w:r>
            <w:r>
              <w:rPr>
                <w:rFonts w:hint="default" w:ascii="Times New Roman" w:hAnsi="Times New Roman" w:eastAsia="黑体" w:cs="Times New Roman"/>
                <w:color w:val="auto"/>
                <w:sz w:val="30"/>
                <w:szCs w:val="30"/>
                <w:highlight w:val="none"/>
              </w:rPr>
              <w:t>四向五廊</w:t>
            </w:r>
            <w:r>
              <w:rPr>
                <w:rFonts w:hint="eastAsia" w:eastAsia="黑体" w:cs="Times New Roman"/>
                <w:color w:val="auto"/>
                <w:sz w:val="30"/>
                <w:szCs w:val="30"/>
                <w:highlight w:val="none"/>
                <w:lang w:eastAsia="zh-CN"/>
              </w:rPr>
              <w:t>”</w:t>
            </w:r>
            <w:r>
              <w:rPr>
                <w:rFonts w:hint="default" w:ascii="Times New Roman" w:hAnsi="Times New Roman" w:eastAsia="黑体" w:cs="Times New Roman"/>
                <w:color w:val="auto"/>
                <w:sz w:val="30"/>
                <w:szCs w:val="30"/>
                <w:highlight w:val="none"/>
              </w:rPr>
              <w:t>对外综合运输通道</w:t>
            </w:r>
            <w:r>
              <w:rPr>
                <w:rFonts w:hint="default" w:ascii="Times New Roman" w:hAnsi="Times New Roman" w:eastAsia="黑体" w:cs="Times New Roman"/>
                <w:color w:val="auto"/>
                <w:sz w:val="30"/>
                <w:szCs w:val="30"/>
                <w:highlight w:val="none"/>
                <w:lang w:val="en-US" w:eastAsia="zh-CN"/>
              </w:rPr>
              <w:t>体系</w:t>
            </w:r>
            <w:r>
              <w:rPr>
                <w:rFonts w:hint="default" w:ascii="Times New Roman" w:hAnsi="Times New Roman" w:eastAsia="黑体" w:cs="Times New Roman"/>
                <w:color w:val="auto"/>
                <w:sz w:val="30"/>
                <w:szCs w:val="30"/>
                <w:highlight w:val="none"/>
              </w:rPr>
              <w:t>基本情况</w:t>
            </w:r>
          </w:p>
          <w:p>
            <w:pPr>
              <w:pStyle w:val="28"/>
              <w:keepNext w:val="0"/>
              <w:keepLines w:val="0"/>
              <w:pageBreakBefore w:val="0"/>
              <w:widowControl w:val="0"/>
              <w:kinsoku/>
              <w:wordWrap/>
              <w:overflowPunct/>
              <w:topLinePunct w:val="0"/>
              <w:autoSpaceDE w:val="0"/>
              <w:autoSpaceDN w:val="0"/>
              <w:bidi w:val="0"/>
              <w:adjustRightInd w:val="0"/>
              <w:snapToGrid w:val="0"/>
              <w:spacing w:line="360" w:lineRule="auto"/>
              <w:ind w:firstLine="600" w:firstLineChars="200"/>
              <w:jc w:val="both"/>
              <w:textAlignment w:val="auto"/>
              <w:rPr>
                <w:rFonts w:hint="eastAsia" w:ascii="仿宋_GB2312" w:hAnsi="仿宋_GB2312" w:eastAsia="仿宋_GB2312" w:cs="仿宋_GB2312"/>
                <w:b w:val="0"/>
                <w:bCs w:val="0"/>
                <w:color w:val="auto"/>
                <w:sz w:val="30"/>
                <w:szCs w:val="30"/>
              </w:rPr>
            </w:pPr>
            <w:r>
              <w:rPr>
                <w:rFonts w:hint="eastAsia" w:ascii="仿宋_GB2312" w:hAnsi="仿宋_GB2312" w:eastAsia="仿宋_GB2312" w:cs="仿宋_GB2312"/>
                <w:b w:val="0"/>
                <w:bCs w:val="0"/>
                <w:color w:val="auto"/>
                <w:sz w:val="30"/>
                <w:szCs w:val="30"/>
              </w:rPr>
              <w:t>乐蓉走廊。是国家粤港澳—成渝主轴、成渝昆走廊和四川“四向八廊”中川滇走廊的重要组成部分，起于乐山，经眉山至成都，进而通往关中平原、山西中部、中原地区、京津冀城市群。</w:t>
            </w:r>
          </w:p>
          <w:p>
            <w:pPr>
              <w:pStyle w:val="28"/>
              <w:keepNext w:val="0"/>
              <w:keepLines w:val="0"/>
              <w:pageBreakBefore w:val="0"/>
              <w:widowControl w:val="0"/>
              <w:kinsoku/>
              <w:wordWrap/>
              <w:overflowPunct/>
              <w:topLinePunct w:val="0"/>
              <w:autoSpaceDE w:val="0"/>
              <w:autoSpaceDN w:val="0"/>
              <w:bidi w:val="0"/>
              <w:adjustRightInd w:val="0"/>
              <w:snapToGrid w:val="0"/>
              <w:spacing w:line="360" w:lineRule="auto"/>
              <w:ind w:firstLine="600" w:firstLineChars="200"/>
              <w:jc w:val="both"/>
              <w:textAlignment w:val="auto"/>
              <w:rPr>
                <w:rFonts w:hint="eastAsia" w:ascii="仿宋_GB2312" w:hAnsi="仿宋_GB2312" w:eastAsia="仿宋_GB2312" w:cs="仿宋_GB2312"/>
                <w:b w:val="0"/>
                <w:bCs w:val="0"/>
                <w:color w:val="auto"/>
                <w:sz w:val="30"/>
                <w:szCs w:val="30"/>
                <w:lang w:eastAsia="zh-CN"/>
              </w:rPr>
            </w:pPr>
            <w:r>
              <w:rPr>
                <w:rFonts w:hint="eastAsia" w:ascii="仿宋_GB2312" w:hAnsi="仿宋_GB2312" w:eastAsia="仿宋_GB2312" w:cs="仿宋_GB2312"/>
                <w:b w:val="0"/>
                <w:bCs w:val="0"/>
                <w:color w:val="auto"/>
                <w:sz w:val="30"/>
                <w:szCs w:val="30"/>
                <w:lang w:eastAsia="zh-CN"/>
              </w:rPr>
              <w:t>乐桂走廊。是国家粤港澳—成渝主轴、西部陆海走廊和四川“四向八廊”中川黔粤桂走廊的重要组成部分，起于乐山，经川南，通往黔中、北部湾、粤港澳大湾区城市群，进而衔接中国—中南半岛陆路国际运输通道。</w:t>
            </w:r>
          </w:p>
          <w:p>
            <w:pPr>
              <w:pStyle w:val="28"/>
              <w:keepNext w:val="0"/>
              <w:keepLines w:val="0"/>
              <w:pageBreakBefore w:val="0"/>
              <w:widowControl w:val="0"/>
              <w:kinsoku/>
              <w:wordWrap/>
              <w:overflowPunct/>
              <w:topLinePunct w:val="0"/>
              <w:autoSpaceDE w:val="0"/>
              <w:autoSpaceDN w:val="0"/>
              <w:bidi w:val="0"/>
              <w:adjustRightInd w:val="0"/>
              <w:snapToGrid w:val="0"/>
              <w:spacing w:line="360" w:lineRule="auto"/>
              <w:ind w:firstLine="600" w:firstLineChars="200"/>
              <w:jc w:val="both"/>
              <w:textAlignment w:val="auto"/>
              <w:rPr>
                <w:rFonts w:hint="eastAsia" w:ascii="仿宋_GB2312" w:hAnsi="仿宋_GB2312" w:eastAsia="仿宋_GB2312" w:cs="仿宋_GB2312"/>
                <w:b w:val="0"/>
                <w:bCs w:val="0"/>
                <w:color w:val="auto"/>
                <w:sz w:val="30"/>
                <w:szCs w:val="30"/>
                <w:lang w:eastAsia="zh-CN"/>
              </w:rPr>
            </w:pPr>
            <w:r>
              <w:rPr>
                <w:rFonts w:hint="eastAsia" w:ascii="仿宋_GB2312" w:hAnsi="仿宋_GB2312" w:eastAsia="仿宋_GB2312" w:cs="仿宋_GB2312"/>
                <w:b w:val="0"/>
                <w:bCs w:val="0"/>
                <w:color w:val="auto"/>
                <w:sz w:val="30"/>
                <w:szCs w:val="30"/>
                <w:lang w:eastAsia="zh-CN"/>
              </w:rPr>
              <w:t>乐昆走廊。是国家成渝昆走廊和四川“四向八廊”中川滇走廊的重要组成部分，起于乐山，经攀西，通往滇中城市群，经瑞丽、磨憨、河品等，进而衔接孟中印缅、中国—中南半岛陆路国际运输通道。</w:t>
            </w:r>
          </w:p>
          <w:p>
            <w:pPr>
              <w:pStyle w:val="28"/>
              <w:keepNext w:val="0"/>
              <w:keepLines w:val="0"/>
              <w:pageBreakBefore w:val="0"/>
              <w:widowControl w:val="0"/>
              <w:kinsoku/>
              <w:wordWrap/>
              <w:overflowPunct/>
              <w:topLinePunct w:val="0"/>
              <w:autoSpaceDE w:val="0"/>
              <w:autoSpaceDN w:val="0"/>
              <w:bidi w:val="0"/>
              <w:adjustRightInd w:val="0"/>
              <w:snapToGrid w:val="0"/>
              <w:spacing w:line="360" w:lineRule="auto"/>
              <w:ind w:firstLine="600" w:firstLineChars="200"/>
              <w:jc w:val="both"/>
              <w:textAlignment w:val="auto"/>
              <w:rPr>
                <w:rFonts w:hint="eastAsia" w:ascii="仿宋_GB2312" w:hAnsi="仿宋_GB2312" w:eastAsia="仿宋_GB2312" w:cs="仿宋_GB2312"/>
                <w:b w:val="0"/>
                <w:bCs w:val="0"/>
                <w:color w:val="auto"/>
                <w:sz w:val="30"/>
                <w:szCs w:val="30"/>
                <w:lang w:eastAsia="zh-CN"/>
              </w:rPr>
            </w:pPr>
            <w:r>
              <w:rPr>
                <w:rFonts w:hint="eastAsia" w:ascii="仿宋_GB2312" w:hAnsi="仿宋_GB2312" w:eastAsia="仿宋_GB2312" w:cs="仿宋_GB2312"/>
                <w:b w:val="0"/>
                <w:bCs w:val="0"/>
                <w:color w:val="auto"/>
                <w:sz w:val="30"/>
                <w:szCs w:val="30"/>
                <w:lang w:eastAsia="zh-CN"/>
              </w:rPr>
              <w:t>乐渝走廊。是国家长三角—成渝主轴的重要组成部分，陆路起于乐山，经自贡、内江等至重庆，水路起于乐山，经宜宾、泸州等至重庆，进而通往长江中游、长三角城市群。</w:t>
            </w:r>
          </w:p>
          <w:p>
            <w:pPr>
              <w:pStyle w:val="28"/>
              <w:keepNext w:val="0"/>
              <w:keepLines w:val="0"/>
              <w:pageBreakBefore w:val="0"/>
              <w:widowControl w:val="0"/>
              <w:kinsoku/>
              <w:wordWrap/>
              <w:overflowPunct/>
              <w:topLinePunct w:val="0"/>
              <w:autoSpaceDE w:val="0"/>
              <w:autoSpaceDN w:val="0"/>
              <w:bidi w:val="0"/>
              <w:adjustRightInd w:val="0"/>
              <w:snapToGrid w:val="0"/>
              <w:spacing w:line="360" w:lineRule="auto"/>
              <w:ind w:firstLine="600" w:firstLineChars="200"/>
              <w:jc w:val="both"/>
              <w:textAlignment w:val="auto"/>
              <w:rPr>
                <w:rFonts w:hint="eastAsia"/>
                <w:vertAlign w:val="baseline"/>
              </w:rPr>
            </w:pPr>
            <w:r>
              <w:rPr>
                <w:rFonts w:hint="eastAsia" w:ascii="仿宋_GB2312" w:hAnsi="仿宋_GB2312" w:eastAsia="仿宋_GB2312" w:cs="仿宋_GB2312"/>
                <w:b w:val="0"/>
                <w:bCs w:val="0"/>
                <w:color w:val="auto"/>
                <w:sz w:val="30"/>
                <w:szCs w:val="30"/>
                <w:lang w:eastAsia="zh-CN"/>
              </w:rPr>
              <w:t>乐藏走廊。是国家川藏通道的重要组成部分，起于乐山，经雅安、甘孜等，通往拉萨，进而衔接中尼印陆路国际运输通道</w:t>
            </w:r>
            <w:r>
              <w:rPr>
                <w:rFonts w:hint="default" w:ascii="Times New Roman" w:hAnsi="Times New Roman" w:cs="Times New Roman"/>
                <w:b w:val="0"/>
                <w:bCs w:val="0"/>
                <w:color w:val="auto"/>
                <w:sz w:val="30"/>
                <w:szCs w:val="30"/>
                <w:lang w:eastAsia="zh-CN"/>
              </w:rPr>
              <w:t>。</w:t>
            </w:r>
          </w:p>
        </w:tc>
      </w:tr>
    </w:tbl>
    <w:p>
      <w:pPr>
        <w:keepNext w:val="0"/>
        <w:keepLines w:val="0"/>
        <w:pageBreakBefore w:val="0"/>
        <w:widowControl w:val="0"/>
        <w:kinsoku/>
        <w:wordWrap/>
        <w:overflowPunct/>
        <w:topLinePunct w:val="0"/>
        <w:autoSpaceDE/>
        <w:autoSpaceDN/>
        <w:bidi w:val="0"/>
        <w:adjustRightInd w:val="0"/>
        <w:snapToGrid w:val="0"/>
        <w:spacing w:before="313" w:beforeLines="100" w:line="240" w:lineRule="auto"/>
        <w:ind w:firstLine="0" w:firstLineChars="0"/>
        <w:jc w:val="center"/>
        <w:textAlignment w:val="auto"/>
        <w:rPr>
          <w:rFonts w:hint="default" w:ascii="Times New Roman" w:hAnsi="Times New Roman" w:eastAsia="楷体" w:cs="Times New Roman"/>
          <w:color w:val="auto"/>
          <w:lang w:eastAsia="zh-CN"/>
        </w:rPr>
      </w:pPr>
      <w:r>
        <w:rPr>
          <w:rFonts w:hint="default" w:ascii="Times New Roman" w:hAnsi="Times New Roman" w:eastAsia="楷体" w:cs="Times New Roman"/>
          <w:color w:val="auto"/>
          <w:lang w:eastAsia="zh-CN"/>
        </w:rPr>
        <w:drawing>
          <wp:inline distT="0" distB="0" distL="114300" distR="114300">
            <wp:extent cx="5760085" cy="4679950"/>
            <wp:effectExtent l="9525" t="9525" r="21590" b="15875"/>
            <wp:docPr id="30" name="图片 30" descr="7410cc1ac23033bf753c92879b6b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7410cc1ac23033bf753c92879b6b009"/>
                    <pic:cNvPicPr>
                      <a:picLocks noChangeAspect="1"/>
                    </pic:cNvPicPr>
                  </pic:nvPicPr>
                  <pic:blipFill>
                    <a:blip r:embed="rId53"/>
                    <a:srcRect t="2396"/>
                    <a:stretch>
                      <a:fillRect/>
                    </a:stretch>
                  </pic:blipFill>
                  <pic:spPr>
                    <a:xfrm>
                      <a:off x="0" y="0"/>
                      <a:ext cx="5760085" cy="4679950"/>
                    </a:xfrm>
                    <a:prstGeom prst="rect">
                      <a:avLst/>
                    </a:prstGeom>
                    <a:ln>
                      <a:solidFill>
                        <a:schemeClr val="bg2">
                          <a:lumMod val="90000"/>
                        </a:schemeClr>
                      </a:solidFill>
                    </a:ln>
                  </pic:spPr>
                </pic:pic>
              </a:graphicData>
            </a:graphic>
          </wp:inline>
        </w:drawing>
      </w:r>
    </w:p>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楷体" w:cs="Times New Roman"/>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6</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w:t>
      </w:r>
      <w:r>
        <w:rPr>
          <w:color w:val="auto"/>
        </w:rPr>
        <w:fldChar w:fldCharType="end"/>
      </w:r>
      <w:r>
        <w:rPr>
          <w:rFonts w:hint="eastAsia"/>
          <w:color w:val="auto"/>
          <w:lang w:val="en-US" w:eastAsia="zh-CN"/>
        </w:rPr>
        <w:t xml:space="preserve"> 乐山市“四向五廊”对外综合交通廊道</w:t>
      </w:r>
    </w:p>
    <w:p>
      <w:pPr>
        <w:spacing w:line="600" w:lineRule="exact"/>
        <w:ind w:firstLine="640" w:firstLineChars="200"/>
        <w:rPr>
          <w:rFonts w:hint="eastAsia" w:ascii="仿宋_GB2312" w:hAnsi="Times New Roman" w:eastAsia="仿宋_GB2312"/>
          <w:color w:val="auto"/>
          <w:sz w:val="32"/>
          <w:szCs w:val="32"/>
          <w:lang w:val="en-US" w:eastAsia="zh-CN"/>
        </w:rPr>
      </w:pPr>
      <w:r>
        <w:rPr>
          <w:rFonts w:hint="eastAsia" w:ascii="仿宋_GB2312" w:hAnsi="仿宋_GB2312" w:eastAsia="仿宋_GB2312" w:cs="仿宋_GB2312"/>
          <w:color w:val="auto"/>
          <w:sz w:val="32"/>
          <w:szCs w:val="32"/>
          <w:lang w:val="en-US" w:eastAsia="zh-CN"/>
        </w:rPr>
        <w:t>铁路方面。根据铁路规划，未来乐山将建设渝自（乐）雅铁路、乐宜铁路等，全面形成</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四</w:t>
      </w:r>
      <w:r>
        <w:rPr>
          <w:rFonts w:hint="eastAsia" w:ascii="仿宋_GB2312" w:hAnsi="仿宋_GB2312" w:eastAsia="仿宋_GB2312" w:cs="仿宋_GB2312"/>
          <w:color w:val="auto"/>
          <w:sz w:val="32"/>
          <w:szCs w:val="32"/>
        </w:rPr>
        <w:t>纵两横”铁路网</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大幅提升对成都平原、攀西等经济区的辐射带动作用，有效构建</w:t>
      </w:r>
      <w:r>
        <w:rPr>
          <w:rFonts w:hint="eastAsia" w:ascii="仿宋_GB2312" w:hAnsi="仿宋_GB2312" w:eastAsia="仿宋_GB2312" w:cs="仿宋_GB2312"/>
          <w:color w:val="auto"/>
          <w:sz w:val="32"/>
          <w:szCs w:val="32"/>
          <w:lang w:eastAsia="zh-CN"/>
        </w:rPr>
        <w:t>至成渝城市群内主要城市</w:t>
      </w:r>
      <w:r>
        <w:rPr>
          <w:rFonts w:hint="eastAsia" w:ascii="仿宋_GB2312" w:hAnsi="仿宋_GB2312" w:eastAsia="仿宋_GB2312" w:cs="仿宋_GB2312"/>
          <w:color w:val="auto"/>
          <w:sz w:val="32"/>
          <w:szCs w:val="32"/>
          <w:lang w:val="en-US" w:eastAsia="zh-CN"/>
        </w:rPr>
        <w:t>2</w:t>
      </w:r>
      <w:r>
        <w:rPr>
          <w:rFonts w:hint="eastAsia" w:ascii="仿宋_GB2312" w:hAnsi="仿宋_GB2312" w:eastAsia="仿宋_GB2312" w:cs="仿宋_GB2312"/>
          <w:color w:val="auto"/>
          <w:sz w:val="32"/>
          <w:szCs w:val="32"/>
          <w:lang w:eastAsia="zh-CN"/>
        </w:rPr>
        <w:t>小时，</w:t>
      </w:r>
      <w:r>
        <w:rPr>
          <w:rFonts w:hint="eastAsia" w:ascii="仿宋_GB2312" w:hAnsi="仿宋_GB2312" w:eastAsia="仿宋_GB2312" w:cs="仿宋_GB2312"/>
          <w:color w:val="auto"/>
          <w:sz w:val="32"/>
          <w:szCs w:val="32"/>
          <w:lang w:val="en-US" w:eastAsia="zh-CN"/>
        </w:rPr>
        <w:t>至</w:t>
      </w:r>
      <w:r>
        <w:rPr>
          <w:rFonts w:hint="eastAsia" w:ascii="仿宋_GB2312" w:hAnsi="仿宋_GB2312" w:eastAsia="仿宋_GB2312" w:cs="仿宋_GB2312"/>
          <w:color w:val="auto"/>
          <w:sz w:val="32"/>
          <w:szCs w:val="32"/>
          <w:lang w:eastAsia="zh-CN"/>
        </w:rPr>
        <w:t>西安、武汉等中西部</w:t>
      </w:r>
      <w:r>
        <w:rPr>
          <w:rFonts w:hint="eastAsia" w:ascii="仿宋_GB2312" w:hAnsi="仿宋_GB2312" w:eastAsia="仿宋_GB2312" w:cs="仿宋_GB2312"/>
          <w:color w:val="auto"/>
          <w:sz w:val="32"/>
          <w:szCs w:val="32"/>
          <w:lang w:val="en-US" w:eastAsia="zh-CN"/>
        </w:rPr>
        <w:t>主要</w:t>
      </w:r>
      <w:r>
        <w:rPr>
          <w:rFonts w:hint="eastAsia" w:ascii="仿宋_GB2312" w:hAnsi="仿宋_GB2312" w:eastAsia="仿宋_GB2312" w:cs="仿宋_GB2312"/>
          <w:color w:val="auto"/>
          <w:sz w:val="32"/>
          <w:szCs w:val="32"/>
          <w:lang w:eastAsia="zh-CN"/>
        </w:rPr>
        <w:t>城市</w:t>
      </w:r>
      <w:r>
        <w:rPr>
          <w:rFonts w:hint="eastAsia" w:ascii="仿宋_GB2312" w:hAnsi="仿宋_GB2312" w:eastAsia="仿宋_GB2312" w:cs="仿宋_GB2312"/>
          <w:color w:val="auto"/>
          <w:sz w:val="32"/>
          <w:szCs w:val="32"/>
          <w:lang w:val="en-US" w:eastAsia="zh-CN"/>
        </w:rPr>
        <w:t>5</w:t>
      </w:r>
      <w:r>
        <w:rPr>
          <w:rFonts w:hint="eastAsia" w:ascii="仿宋_GB2312" w:hAnsi="仿宋_GB2312" w:eastAsia="仿宋_GB2312" w:cs="仿宋_GB2312"/>
          <w:color w:val="auto"/>
          <w:sz w:val="32"/>
          <w:szCs w:val="32"/>
          <w:lang w:eastAsia="zh-CN"/>
        </w:rPr>
        <w:t>小时，</w:t>
      </w:r>
      <w:r>
        <w:rPr>
          <w:rFonts w:hint="eastAsia" w:ascii="仿宋_GB2312" w:hAnsi="仿宋_GB2312" w:eastAsia="仿宋_GB2312" w:cs="仿宋_GB2312"/>
          <w:color w:val="auto"/>
          <w:sz w:val="32"/>
          <w:szCs w:val="32"/>
          <w:lang w:val="en-US" w:eastAsia="zh-CN"/>
        </w:rPr>
        <w:t>至</w:t>
      </w:r>
      <w:r>
        <w:rPr>
          <w:rFonts w:hint="eastAsia" w:ascii="仿宋_GB2312" w:hAnsi="仿宋_GB2312" w:eastAsia="仿宋_GB2312" w:cs="仿宋_GB2312"/>
          <w:color w:val="auto"/>
          <w:sz w:val="32"/>
          <w:szCs w:val="32"/>
          <w:lang w:eastAsia="zh-CN"/>
        </w:rPr>
        <w:t>北京、上海、广州等国内主要城市</w:t>
      </w:r>
      <w:r>
        <w:rPr>
          <w:rFonts w:hint="eastAsia" w:ascii="仿宋_GB2312" w:hAnsi="仿宋_GB2312" w:eastAsia="仿宋_GB2312" w:cs="仿宋_GB2312"/>
          <w:color w:val="auto"/>
          <w:sz w:val="32"/>
          <w:szCs w:val="32"/>
          <w:lang w:val="en-US" w:eastAsia="zh-CN"/>
        </w:rPr>
        <w:t>8</w:t>
      </w:r>
      <w:r>
        <w:rPr>
          <w:rFonts w:hint="eastAsia" w:ascii="仿宋_GB2312" w:hAnsi="仿宋_GB2312" w:eastAsia="仿宋_GB2312" w:cs="仿宋_GB2312"/>
          <w:color w:val="auto"/>
          <w:sz w:val="32"/>
          <w:szCs w:val="32"/>
          <w:lang w:eastAsia="zh-CN"/>
        </w:rPr>
        <w:t>小时</w:t>
      </w:r>
      <w:r>
        <w:rPr>
          <w:rFonts w:hint="eastAsia" w:ascii="仿宋_GB2312" w:hAnsi="仿宋_GB2312" w:eastAsia="仿宋_GB2312" w:cs="仿宋_GB2312"/>
          <w:color w:val="auto"/>
          <w:sz w:val="32"/>
          <w:szCs w:val="32"/>
          <w:lang w:val="en-US" w:eastAsia="zh-CN"/>
        </w:rPr>
        <w:t>的“258”铁路</w:t>
      </w:r>
      <w:r>
        <w:rPr>
          <w:rFonts w:hint="eastAsia" w:ascii="仿宋_GB2312" w:hAnsi="仿宋_GB2312" w:eastAsia="仿宋_GB2312" w:cs="仿宋_GB2312"/>
          <w:color w:val="auto"/>
          <w:sz w:val="32"/>
          <w:szCs w:val="32"/>
          <w:lang w:eastAsia="zh-CN"/>
        </w:rPr>
        <w:t>交通圈。</w:t>
      </w:r>
      <w:r>
        <w:rPr>
          <w:rFonts w:hint="eastAsia" w:ascii="仿宋_GB2312" w:hAnsi="仿宋_GB2312" w:eastAsia="仿宋_GB2312" w:cs="仿宋_GB2312"/>
          <w:color w:val="auto"/>
          <w:sz w:val="32"/>
          <w:szCs w:val="32"/>
          <w:lang w:val="en-US" w:eastAsia="zh-CN"/>
        </w:rPr>
        <w:t>四</w:t>
      </w:r>
      <w:r>
        <w:rPr>
          <w:rFonts w:hint="eastAsia" w:ascii="仿宋_GB2312" w:hAnsi="仿宋_GB2312" w:eastAsia="仿宋_GB2312" w:cs="仿宋_GB2312"/>
          <w:color w:val="auto"/>
          <w:sz w:val="32"/>
          <w:szCs w:val="32"/>
        </w:rPr>
        <w:t>纵：成昆铁路、成昆铁路复线、</w:t>
      </w:r>
      <w:r>
        <w:rPr>
          <w:rFonts w:hint="eastAsia" w:ascii="仿宋_GB2312" w:hAnsi="Times New Roman" w:eastAsia="仿宋_GB2312"/>
          <w:color w:val="auto"/>
          <w:sz w:val="32"/>
          <w:szCs w:val="32"/>
        </w:rPr>
        <w:t>成贵铁路（成绵乐城际铁路）</w:t>
      </w:r>
      <w:r>
        <w:rPr>
          <w:rFonts w:hint="eastAsia" w:ascii="仿宋_GB2312"/>
          <w:color w:val="auto"/>
          <w:sz w:val="32"/>
          <w:szCs w:val="32"/>
          <w:lang w:eastAsia="zh-CN"/>
        </w:rPr>
        <w:t>、</w:t>
      </w:r>
      <w:r>
        <w:rPr>
          <w:rFonts w:hint="eastAsia" w:ascii="仿宋_GB2312"/>
          <w:color w:val="auto"/>
          <w:sz w:val="32"/>
          <w:szCs w:val="32"/>
          <w:lang w:val="en-US" w:eastAsia="zh-CN"/>
        </w:rPr>
        <w:t>乐宜铁路</w:t>
      </w:r>
      <w:r>
        <w:rPr>
          <w:rFonts w:hint="eastAsia" w:ascii="仿宋_GB2312" w:hAnsi="Times New Roman" w:eastAsia="仿宋_GB2312"/>
          <w:color w:val="auto"/>
          <w:sz w:val="32"/>
          <w:szCs w:val="32"/>
        </w:rPr>
        <w:t>；两横：</w:t>
      </w:r>
      <w:r>
        <w:rPr>
          <w:rFonts w:hint="eastAsia" w:ascii="仿宋_GB2312" w:hAnsi="Times New Roman"/>
          <w:color w:val="auto"/>
          <w:sz w:val="32"/>
          <w:szCs w:val="32"/>
          <w:lang w:val="en-US" w:eastAsia="zh-CN"/>
        </w:rPr>
        <w:t>渝自（乐）雅铁路</w:t>
      </w:r>
      <w:r>
        <w:rPr>
          <w:rFonts w:hint="eastAsia" w:ascii="仿宋_GB2312" w:hAnsi="Times New Roman" w:eastAsia="仿宋_GB2312"/>
          <w:color w:val="auto"/>
          <w:sz w:val="32"/>
          <w:szCs w:val="32"/>
        </w:rPr>
        <w:t>、</w:t>
      </w:r>
      <w:r>
        <w:rPr>
          <w:rFonts w:hint="eastAsia" w:ascii="仿宋_GB2312"/>
          <w:color w:val="auto"/>
          <w:sz w:val="32"/>
          <w:szCs w:val="32"/>
          <w:lang w:eastAsia="zh-CN"/>
        </w:rPr>
        <w:t>连燕</w:t>
      </w:r>
      <w:r>
        <w:rPr>
          <w:rFonts w:hint="eastAsia" w:ascii="仿宋_GB2312" w:hAnsi="Times New Roman" w:eastAsia="仿宋_GB2312"/>
          <w:color w:val="auto"/>
          <w:sz w:val="32"/>
          <w:szCs w:val="32"/>
        </w:rPr>
        <w:t>铁路。</w:t>
      </w:r>
      <w:r>
        <w:rPr>
          <w:rFonts w:hint="eastAsia" w:ascii="仿宋_GB2312" w:hAnsi="Times New Roman" w:eastAsia="仿宋_GB2312"/>
          <w:color w:val="auto"/>
          <w:sz w:val="32"/>
          <w:szCs w:val="32"/>
          <w:lang w:val="en-US" w:eastAsia="zh-CN"/>
        </w:rPr>
        <w:t>当前，乐山正积极推进规划的渝自（乐）雅铁路争取进入国家规划，项目建成后</w:t>
      </w:r>
      <w:r>
        <w:rPr>
          <w:rFonts w:hint="eastAsia" w:ascii="仿宋_GB2312"/>
          <w:color w:val="auto"/>
          <w:sz w:val="32"/>
          <w:szCs w:val="32"/>
          <w:lang w:val="en-US" w:eastAsia="zh-CN"/>
        </w:rPr>
        <w:t>可与经雅安过境的川藏铁路衔接，推动乐山进一步向我省川西地区和西藏自治区等内陆地区辐射</w:t>
      </w:r>
      <w:r>
        <w:rPr>
          <w:rFonts w:hint="eastAsia" w:ascii="仿宋_GB2312" w:hAnsi="Times New Roman" w:eastAsia="仿宋_GB2312"/>
          <w:color w:val="auto"/>
          <w:sz w:val="32"/>
          <w:szCs w:val="32"/>
          <w:lang w:val="en-US" w:eastAsia="zh-CN"/>
        </w:rPr>
        <w:t>，与</w:t>
      </w:r>
      <w:r>
        <w:rPr>
          <w:rFonts w:hint="eastAsia" w:ascii="仿宋_GB2312"/>
          <w:color w:val="auto"/>
          <w:sz w:val="32"/>
          <w:szCs w:val="32"/>
          <w:lang w:val="en-US" w:eastAsia="zh-CN"/>
        </w:rPr>
        <w:t>连燕</w:t>
      </w:r>
      <w:r>
        <w:rPr>
          <w:rFonts w:hint="eastAsia" w:ascii="仿宋_GB2312" w:hAnsi="Times New Roman" w:eastAsia="仿宋_GB2312"/>
          <w:color w:val="auto"/>
          <w:sz w:val="32"/>
          <w:szCs w:val="32"/>
          <w:lang w:val="en-US" w:eastAsia="zh-CN"/>
        </w:rPr>
        <w:t>铁路共同形成渝藏大宗货物运输通道。</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仿宋_GB2312" w:hAnsi="Times New Roman" w:eastAsia="仿宋_GB2312"/>
          <w:color w:val="auto"/>
          <w:sz w:val="32"/>
          <w:szCs w:val="32"/>
          <w:lang w:val="en-US" w:eastAsia="zh-CN"/>
        </w:rPr>
      </w:pPr>
      <w:r>
        <w:rPr>
          <w:rFonts w:hint="default" w:ascii="仿宋_GB2312" w:hAnsi="Times New Roman" w:eastAsia="仿宋_GB2312"/>
          <w:color w:val="auto"/>
          <w:sz w:val="32"/>
          <w:szCs w:val="32"/>
          <w:lang w:val="en-US" w:eastAsia="zh-CN"/>
        </w:rPr>
        <w:drawing>
          <wp:inline distT="0" distB="0" distL="114300" distR="114300">
            <wp:extent cx="5526405" cy="3924300"/>
            <wp:effectExtent l="9525" t="9525" r="26670" b="9525"/>
            <wp:docPr id="32" name="图片 32" descr="1d56026cb2bcdda31e1dc25b649e44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d56026cb2bcdda31e1dc25b649e44a9"/>
                    <pic:cNvPicPr>
                      <a:picLocks noChangeAspect="1"/>
                    </pic:cNvPicPr>
                  </pic:nvPicPr>
                  <pic:blipFill>
                    <a:blip r:embed="rId54"/>
                    <a:srcRect l="5233" t="3371" r="2450" b="3788"/>
                    <a:stretch>
                      <a:fillRect/>
                    </a:stretch>
                  </pic:blipFill>
                  <pic:spPr>
                    <a:xfrm>
                      <a:off x="0" y="0"/>
                      <a:ext cx="5526405" cy="3924300"/>
                    </a:xfrm>
                    <a:prstGeom prst="rect">
                      <a:avLst/>
                    </a:prstGeom>
                    <a:ln w="3175">
                      <a:solidFill>
                        <a:schemeClr val="bg1">
                          <a:lumMod val="85000"/>
                        </a:schemeClr>
                      </a:solidFill>
                    </a:ln>
                  </pic:spPr>
                </pic:pic>
              </a:graphicData>
            </a:graphic>
          </wp:inline>
        </w:drawing>
      </w:r>
    </w:p>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仿宋_GB2312" w:hAnsi="Times New Roman" w:eastAsia="楷体"/>
          <w:color w:val="auto"/>
          <w:sz w:val="32"/>
          <w:szCs w:val="32"/>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6</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2</w:t>
      </w:r>
      <w:r>
        <w:rPr>
          <w:color w:val="auto"/>
        </w:rPr>
        <w:fldChar w:fldCharType="end"/>
      </w:r>
      <w:r>
        <w:rPr>
          <w:rFonts w:hint="eastAsia"/>
          <w:color w:val="auto"/>
          <w:lang w:val="en-US" w:eastAsia="zh-CN"/>
        </w:rPr>
        <w:t xml:space="preserve"> 乐山市“258”铁路交通圈示意图</w:t>
      </w:r>
    </w:p>
    <w:p>
      <w:pPr>
        <w:spacing w:line="600" w:lineRule="exact"/>
        <w:ind w:firstLine="640" w:firstLineChars="200"/>
        <w:rPr>
          <w:rFonts w:hint="eastAsia" w:ascii="仿宋_GB2312" w:eastAsia="仿宋_GB2312"/>
          <w:color w:val="auto"/>
          <w:sz w:val="32"/>
          <w:szCs w:val="32"/>
        </w:rPr>
      </w:pPr>
      <w:r>
        <w:rPr>
          <w:rFonts w:hint="eastAsia" w:ascii="仿宋_GB2312" w:hAnsi="仿宋_GB2312" w:eastAsia="仿宋_GB2312" w:cs="仿宋_GB2312"/>
          <w:color w:val="auto"/>
          <w:sz w:val="32"/>
          <w:szCs w:val="32"/>
        </w:rPr>
        <w:t>高速公路</w:t>
      </w:r>
      <w:r>
        <w:rPr>
          <w:rFonts w:hint="eastAsia" w:ascii="仿宋_GB2312" w:hAnsi="仿宋_GB2312" w:eastAsia="仿宋_GB2312" w:cs="仿宋_GB2312"/>
          <w:color w:val="auto"/>
          <w:sz w:val="32"/>
          <w:szCs w:val="32"/>
          <w:lang w:val="en-US" w:eastAsia="zh-CN"/>
        </w:rPr>
        <w:t>方面</w:t>
      </w:r>
      <w:r>
        <w:rPr>
          <w:rFonts w:hint="eastAsia" w:ascii="仿宋_GB2312" w:hAnsi="仿宋_GB2312" w:eastAsia="仿宋_GB2312" w:cs="仿宋_GB2312"/>
          <w:color w:val="auto"/>
          <w:sz w:val="32"/>
          <w:szCs w:val="32"/>
        </w:rPr>
        <w:t>。规划形成“</w:t>
      </w:r>
      <w:r>
        <w:rPr>
          <w:rFonts w:hint="eastAsia" w:ascii="仿宋_GB2312" w:hAnsi="仿宋_GB2312" w:eastAsia="仿宋_GB2312" w:cs="仿宋_GB2312"/>
          <w:color w:val="auto"/>
          <w:sz w:val="32"/>
          <w:szCs w:val="32"/>
          <w:lang w:val="en-US" w:eastAsia="zh-CN"/>
        </w:rPr>
        <w:t>一</w:t>
      </w:r>
      <w:r>
        <w:rPr>
          <w:rFonts w:hint="eastAsia" w:ascii="仿宋_GB2312" w:hAnsi="仿宋_GB2312" w:eastAsia="仿宋_GB2312" w:cs="仿宋_GB2312"/>
          <w:color w:val="auto"/>
          <w:sz w:val="32"/>
          <w:szCs w:val="32"/>
        </w:rPr>
        <w:t>环</w:t>
      </w:r>
      <w:r>
        <w:rPr>
          <w:rFonts w:hint="eastAsia" w:ascii="仿宋_GB2312" w:hAnsi="仿宋_GB2312" w:eastAsia="仿宋_GB2312" w:cs="仿宋_GB2312"/>
          <w:color w:val="auto"/>
          <w:sz w:val="32"/>
          <w:szCs w:val="32"/>
          <w:lang w:val="en-US" w:eastAsia="zh-CN"/>
        </w:rPr>
        <w:t>九</w:t>
      </w:r>
      <w:r>
        <w:rPr>
          <w:rFonts w:hint="eastAsia" w:ascii="仿宋_GB2312" w:hAnsi="仿宋_GB2312" w:eastAsia="仿宋_GB2312" w:cs="仿宋_GB2312"/>
          <w:color w:val="auto"/>
          <w:sz w:val="32"/>
          <w:szCs w:val="32"/>
        </w:rPr>
        <w:t>射</w:t>
      </w:r>
      <w:r>
        <w:rPr>
          <w:rFonts w:hint="eastAsia" w:ascii="仿宋_GB2312" w:hAnsi="仿宋_GB2312" w:eastAsia="仿宋_GB2312" w:cs="仿宋_GB2312"/>
          <w:color w:val="auto"/>
          <w:sz w:val="32"/>
          <w:szCs w:val="32"/>
          <w:lang w:val="en-US" w:eastAsia="zh-CN"/>
        </w:rPr>
        <w:t>两</w:t>
      </w:r>
      <w:r>
        <w:rPr>
          <w:rFonts w:hint="eastAsia" w:ascii="仿宋_GB2312" w:hAnsi="仿宋_GB2312" w:eastAsia="仿宋_GB2312" w:cs="仿宋_GB2312"/>
          <w:color w:val="auto"/>
          <w:sz w:val="32"/>
          <w:szCs w:val="32"/>
        </w:rPr>
        <w:t>纵</w:t>
      </w:r>
      <w:r>
        <w:rPr>
          <w:rFonts w:hint="eastAsia" w:ascii="仿宋_GB2312" w:hAnsi="仿宋_GB2312" w:eastAsia="仿宋_GB2312" w:cs="仿宋_GB2312"/>
          <w:color w:val="auto"/>
          <w:sz w:val="32"/>
          <w:szCs w:val="32"/>
          <w:lang w:val="en-US" w:eastAsia="zh-CN"/>
        </w:rPr>
        <w:t>两</w:t>
      </w:r>
      <w:r>
        <w:rPr>
          <w:rFonts w:hint="eastAsia" w:ascii="仿宋_GB2312" w:hAnsi="仿宋_GB2312" w:eastAsia="仿宋_GB2312" w:cs="仿宋_GB2312"/>
          <w:color w:val="auto"/>
          <w:sz w:val="32"/>
          <w:szCs w:val="32"/>
        </w:rPr>
        <w:t>横</w:t>
      </w:r>
      <w:r>
        <w:rPr>
          <w:rFonts w:hint="eastAsia" w:ascii="仿宋_GB2312" w:hAnsi="仿宋_GB2312" w:eastAsia="仿宋_GB2312" w:cs="仿宋_GB2312"/>
          <w:color w:val="auto"/>
          <w:sz w:val="32"/>
          <w:szCs w:val="32"/>
          <w:lang w:val="en-US" w:eastAsia="zh-CN"/>
        </w:rPr>
        <w:t>一支</w:t>
      </w:r>
      <w:r>
        <w:rPr>
          <w:rFonts w:hint="eastAsia" w:ascii="仿宋_GB2312" w:hAnsi="仿宋_GB2312" w:eastAsia="仿宋_GB2312" w:cs="仿宋_GB2312"/>
          <w:color w:val="auto"/>
          <w:sz w:val="32"/>
          <w:szCs w:val="32"/>
        </w:rPr>
        <w:t>”高速公路网络，实现</w:t>
      </w:r>
      <w:r>
        <w:rPr>
          <w:rFonts w:hint="eastAsia" w:ascii="仿宋_GB2312" w:hAnsi="仿宋_GB2312" w:eastAsia="仿宋_GB2312" w:cs="仿宋_GB2312"/>
          <w:color w:val="auto"/>
          <w:sz w:val="32"/>
          <w:szCs w:val="32"/>
          <w:lang w:val="en-US" w:eastAsia="zh-CN"/>
        </w:rPr>
        <w:t>除金口河区以外</w:t>
      </w:r>
      <w:r>
        <w:rPr>
          <w:rFonts w:hint="eastAsia" w:ascii="仿宋_GB2312" w:hAnsi="仿宋_GB2312" w:eastAsia="仿宋_GB2312" w:cs="仿宋_GB2312"/>
          <w:color w:val="auto"/>
          <w:sz w:val="32"/>
          <w:szCs w:val="32"/>
        </w:rPr>
        <w:t>县县通</w:t>
      </w:r>
      <w:r>
        <w:rPr>
          <w:rFonts w:hint="eastAsia" w:ascii="仿宋_GB2312" w:hAnsi="仿宋_GB2312" w:eastAsia="仿宋_GB2312" w:cs="仿宋_GB2312"/>
          <w:color w:val="auto"/>
          <w:sz w:val="32"/>
          <w:szCs w:val="32"/>
          <w:lang w:val="en-US" w:eastAsia="zh-CN"/>
        </w:rPr>
        <w:t>双</w:t>
      </w:r>
      <w:r>
        <w:rPr>
          <w:rFonts w:hint="eastAsia" w:ascii="仿宋_GB2312" w:hAnsi="仿宋_GB2312" w:eastAsia="仿宋_GB2312" w:cs="仿宋_GB2312"/>
          <w:color w:val="auto"/>
          <w:sz w:val="32"/>
          <w:szCs w:val="32"/>
        </w:rPr>
        <w:t>高速</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全面形成至</w:t>
      </w:r>
      <w:r>
        <w:rPr>
          <w:rFonts w:hint="eastAsia" w:ascii="仿宋_GB2312" w:hAnsi="仿宋_GB2312" w:eastAsia="仿宋_GB2312" w:cs="仿宋_GB2312"/>
          <w:color w:val="auto"/>
          <w:sz w:val="32"/>
          <w:szCs w:val="32"/>
          <w:lang w:eastAsia="zh-CN"/>
        </w:rPr>
        <w:t>成渝城市群内主要城市</w:t>
      </w:r>
      <w:r>
        <w:rPr>
          <w:rFonts w:hint="eastAsia" w:ascii="仿宋_GB2312" w:hAnsi="仿宋_GB2312" w:eastAsia="仿宋_GB2312" w:cs="仿宋_GB2312"/>
          <w:color w:val="auto"/>
          <w:sz w:val="32"/>
          <w:szCs w:val="32"/>
          <w:lang w:val="en-US" w:eastAsia="zh-CN"/>
        </w:rPr>
        <w:t>3小时、至周边省会城市8小时、至</w:t>
      </w:r>
      <w:r>
        <w:rPr>
          <w:rFonts w:hint="eastAsia" w:ascii="仿宋_GB2312" w:hAnsi="仿宋_GB2312" w:eastAsia="仿宋_GB2312" w:cs="仿宋_GB2312"/>
          <w:color w:val="auto"/>
          <w:sz w:val="32"/>
          <w:szCs w:val="32"/>
          <w:lang w:eastAsia="zh-CN"/>
        </w:rPr>
        <w:t>北京、上海、广州等国内主要城市</w:t>
      </w:r>
      <w:r>
        <w:rPr>
          <w:rFonts w:hint="eastAsia" w:ascii="仿宋_GB2312" w:hAnsi="仿宋_GB2312" w:eastAsia="仿宋_GB2312" w:cs="仿宋_GB2312"/>
          <w:color w:val="auto"/>
          <w:sz w:val="32"/>
          <w:szCs w:val="32"/>
          <w:lang w:val="en-US" w:eastAsia="zh-CN"/>
        </w:rPr>
        <w:t>20小时的“3820”高速公路交通圈</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一</w:t>
      </w:r>
      <w:r>
        <w:rPr>
          <w:rFonts w:hint="eastAsia" w:ascii="仿宋_GB2312" w:hAnsi="仿宋_GB2312" w:eastAsia="仿宋_GB2312" w:cs="仿宋_GB2312"/>
          <w:color w:val="auto"/>
          <w:sz w:val="32"/>
          <w:szCs w:val="32"/>
        </w:rPr>
        <w:t>环为乐山绕城高速；</w:t>
      </w:r>
      <w:r>
        <w:rPr>
          <w:rFonts w:hint="eastAsia" w:ascii="仿宋_GB2312" w:hAnsi="仿宋_GB2312" w:eastAsia="仿宋_GB2312" w:cs="仿宋_GB2312"/>
          <w:color w:val="auto"/>
          <w:sz w:val="32"/>
          <w:szCs w:val="32"/>
          <w:lang w:val="en-US" w:eastAsia="zh-CN"/>
        </w:rPr>
        <w:t>九</w:t>
      </w:r>
      <w:r>
        <w:rPr>
          <w:rFonts w:hint="eastAsia" w:ascii="仿宋_GB2312" w:hAnsi="仿宋_GB2312" w:eastAsia="仿宋_GB2312" w:cs="仿宋_GB2312"/>
          <w:color w:val="auto"/>
          <w:sz w:val="32"/>
          <w:szCs w:val="32"/>
        </w:rPr>
        <w:t>射包括成都至乐山高速公路、乐山至宜宾高速公路、天府新区经眉山至乐山高速公路、乐山至自贡高速公路、乐山至西昌高速公路、峨眉至汉源高速</w:t>
      </w:r>
      <w:r>
        <w:rPr>
          <w:rFonts w:hint="eastAsia" w:ascii="仿宋_GB2312" w:eastAsia="仿宋_GB2312"/>
          <w:color w:val="auto"/>
          <w:sz w:val="32"/>
          <w:szCs w:val="32"/>
        </w:rPr>
        <w:t>公路、乐山至雅安高速公路、乐山至荥经高速公路、资中至乐山高速公路；</w:t>
      </w:r>
      <w:r>
        <w:rPr>
          <w:rFonts w:hint="eastAsia" w:ascii="仿宋_GB2312"/>
          <w:color w:val="auto"/>
          <w:sz w:val="32"/>
          <w:szCs w:val="32"/>
          <w:lang w:val="en-US" w:eastAsia="zh-CN"/>
        </w:rPr>
        <w:t>两</w:t>
      </w:r>
      <w:r>
        <w:rPr>
          <w:rFonts w:hint="eastAsia" w:ascii="仿宋_GB2312" w:eastAsia="仿宋_GB2312"/>
          <w:color w:val="auto"/>
          <w:sz w:val="32"/>
          <w:szCs w:val="32"/>
        </w:rPr>
        <w:t>纵为仁寿经沐川至宜宾新市（含马边支线）高速公路、成都至峨眉山高速公路；</w:t>
      </w:r>
      <w:r>
        <w:rPr>
          <w:rFonts w:hint="eastAsia" w:ascii="仿宋_GB2312"/>
          <w:color w:val="auto"/>
          <w:sz w:val="32"/>
          <w:szCs w:val="32"/>
          <w:lang w:val="en-US" w:eastAsia="zh-CN"/>
        </w:rPr>
        <w:t>两</w:t>
      </w:r>
      <w:r>
        <w:rPr>
          <w:rFonts w:hint="eastAsia" w:ascii="仿宋_GB2312" w:eastAsia="仿宋_GB2312"/>
          <w:color w:val="auto"/>
          <w:sz w:val="32"/>
          <w:szCs w:val="32"/>
        </w:rPr>
        <w:t>横为峨边经马边至屏山高速公路、乐至经自贡至犍为高速公路</w:t>
      </w:r>
      <w:r>
        <w:rPr>
          <w:rFonts w:hint="eastAsia" w:ascii="仿宋_GB2312"/>
          <w:color w:val="auto"/>
          <w:sz w:val="32"/>
          <w:szCs w:val="32"/>
          <w:lang w:eastAsia="zh-CN"/>
        </w:rPr>
        <w:t>；</w:t>
      </w:r>
      <w:r>
        <w:rPr>
          <w:rFonts w:hint="eastAsia" w:ascii="仿宋_GB2312"/>
          <w:color w:val="auto"/>
          <w:sz w:val="32"/>
          <w:szCs w:val="32"/>
          <w:lang w:val="en-US" w:eastAsia="zh-CN"/>
        </w:rPr>
        <w:t>一支为</w:t>
      </w:r>
      <w:r>
        <w:rPr>
          <w:rFonts w:hint="eastAsia" w:ascii="仿宋_GB2312" w:eastAsia="仿宋_GB2312"/>
          <w:color w:val="auto"/>
          <w:sz w:val="32"/>
          <w:szCs w:val="32"/>
        </w:rPr>
        <w:t>乐山机场高速公路。</w:t>
      </w:r>
    </w:p>
    <w:p>
      <w:pPr>
        <w:pStyle w:val="27"/>
        <w:bidi w:val="0"/>
        <w:rPr>
          <w:rFonts w:hint="eastAsia" w:eastAsia="宋体"/>
          <w:color w:val="auto"/>
          <w:lang w:eastAsia="zh-CN"/>
        </w:rPr>
      </w:pPr>
      <w:r>
        <w:rPr>
          <w:rFonts w:hint="eastAsia" w:eastAsia="宋体"/>
          <w:color w:val="auto"/>
          <w:lang w:eastAsia="zh-CN"/>
        </w:rPr>
        <w:drawing>
          <wp:inline distT="0" distB="0" distL="114300" distR="114300">
            <wp:extent cx="5394960" cy="6501765"/>
            <wp:effectExtent l="9525" t="9525" r="24765" b="22860"/>
            <wp:docPr id="47" name="图片 47" descr="0f61381a60342a53cea7879a1f6ca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f61381a60342a53cea7879a1f6ca478"/>
                    <pic:cNvPicPr>
                      <a:picLocks noChangeAspect="1"/>
                    </pic:cNvPicPr>
                  </pic:nvPicPr>
                  <pic:blipFill>
                    <a:blip r:embed="rId55"/>
                    <a:srcRect l="5886" t="13090" r="5586" b="3777"/>
                    <a:stretch>
                      <a:fillRect/>
                    </a:stretch>
                  </pic:blipFill>
                  <pic:spPr>
                    <a:xfrm>
                      <a:off x="0" y="0"/>
                      <a:ext cx="5394960" cy="6501765"/>
                    </a:xfrm>
                    <a:prstGeom prst="rect">
                      <a:avLst/>
                    </a:prstGeom>
                    <a:ln w="3175">
                      <a:solidFill>
                        <a:schemeClr val="bg1">
                          <a:lumMod val="85000"/>
                        </a:schemeClr>
                      </a:solidFill>
                    </a:ln>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6</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3</w:t>
      </w:r>
      <w:r>
        <w:rPr>
          <w:color w:val="auto"/>
        </w:rPr>
        <w:fldChar w:fldCharType="end"/>
      </w:r>
      <w:r>
        <w:rPr>
          <w:rFonts w:hint="eastAsia"/>
          <w:color w:val="auto"/>
          <w:lang w:val="en-US" w:eastAsia="zh-CN"/>
        </w:rPr>
        <w:t xml:space="preserve"> 乐山市规划高速公路网图</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水运</w:t>
      </w:r>
      <w:r>
        <w:rPr>
          <w:rFonts w:hint="eastAsia" w:ascii="仿宋_GB2312" w:hAnsi="仿宋_GB2312" w:eastAsia="仿宋_GB2312" w:cs="仿宋_GB2312"/>
          <w:color w:val="auto"/>
          <w:sz w:val="32"/>
          <w:szCs w:val="32"/>
          <w:lang w:val="en-US" w:eastAsia="zh-CN"/>
        </w:rPr>
        <w:t>方面</w:t>
      </w:r>
      <w:r>
        <w:rPr>
          <w:rFonts w:hint="eastAsia" w:ascii="仿宋_GB2312" w:hAnsi="仿宋_GB2312" w:eastAsia="仿宋_GB2312" w:cs="仿宋_GB2312"/>
          <w:color w:val="auto"/>
          <w:sz w:val="32"/>
          <w:szCs w:val="32"/>
        </w:rPr>
        <w:t>。规划形成“</w:t>
      </w:r>
      <w:r>
        <w:rPr>
          <w:rFonts w:hint="eastAsia" w:ascii="仿宋_GB2312" w:hAnsi="仿宋_GB2312" w:eastAsia="仿宋_GB2312" w:cs="仿宋_GB2312"/>
          <w:color w:val="auto"/>
          <w:sz w:val="32"/>
          <w:szCs w:val="32"/>
          <w:lang w:val="en-US" w:eastAsia="zh-CN"/>
        </w:rPr>
        <w:t>一</w:t>
      </w:r>
      <w:r>
        <w:rPr>
          <w:rFonts w:hint="eastAsia" w:ascii="仿宋_GB2312" w:hAnsi="仿宋_GB2312" w:eastAsia="仿宋_GB2312" w:cs="仿宋_GB2312"/>
          <w:color w:val="auto"/>
          <w:sz w:val="32"/>
          <w:szCs w:val="32"/>
        </w:rPr>
        <w:t>干</w:t>
      </w:r>
      <w:r>
        <w:rPr>
          <w:rFonts w:hint="eastAsia" w:ascii="仿宋_GB2312" w:hAnsi="仿宋_GB2312" w:eastAsia="仿宋_GB2312" w:cs="仿宋_GB2312"/>
          <w:color w:val="auto"/>
          <w:sz w:val="32"/>
          <w:szCs w:val="32"/>
          <w:lang w:val="en-US" w:eastAsia="zh-CN"/>
        </w:rPr>
        <w:t>三</w:t>
      </w:r>
      <w:r>
        <w:rPr>
          <w:rFonts w:hint="eastAsia" w:ascii="仿宋_GB2312" w:hAnsi="仿宋_GB2312" w:eastAsia="仿宋_GB2312" w:cs="仿宋_GB2312"/>
          <w:color w:val="auto"/>
          <w:sz w:val="32"/>
          <w:szCs w:val="32"/>
        </w:rPr>
        <w:t>支多线”航道网络体系</w:t>
      </w:r>
      <w:r>
        <w:rPr>
          <w:rFonts w:hint="eastAsia" w:ascii="仿宋_GB2312" w:hAnsi="仿宋_GB2312" w:eastAsia="仿宋_GB2312" w:cs="仿宋_GB2312"/>
          <w:color w:val="auto"/>
          <w:sz w:val="32"/>
          <w:szCs w:val="32"/>
          <w:lang w:val="en-US" w:eastAsia="zh-CN"/>
        </w:rPr>
        <w:t>和“双核两带多点”港口布局体系</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推动乐山港打造成都平原经济区“天府港”。</w:t>
      </w:r>
      <w:r>
        <w:rPr>
          <w:rFonts w:hint="eastAsia" w:ascii="仿宋_GB2312" w:hAnsi="仿宋_GB2312" w:eastAsia="仿宋_GB2312" w:cs="仿宋_GB2312"/>
          <w:color w:val="auto"/>
          <w:sz w:val="32"/>
          <w:szCs w:val="32"/>
          <w:lang w:val="en-US" w:eastAsia="zh-CN"/>
        </w:rPr>
        <w:t>一</w:t>
      </w:r>
      <w:r>
        <w:rPr>
          <w:rFonts w:hint="eastAsia" w:ascii="仿宋_GB2312" w:hAnsi="仿宋_GB2312" w:eastAsia="仿宋_GB2312" w:cs="仿宋_GB2312"/>
          <w:color w:val="auto"/>
          <w:sz w:val="32"/>
          <w:szCs w:val="32"/>
        </w:rPr>
        <w:t>干</w:t>
      </w:r>
      <w:r>
        <w:rPr>
          <w:rFonts w:hint="eastAsia" w:ascii="仿宋_GB2312" w:hAnsi="仿宋_GB2312" w:eastAsia="仿宋_GB2312" w:cs="仿宋_GB2312"/>
          <w:color w:val="auto"/>
          <w:sz w:val="32"/>
          <w:szCs w:val="32"/>
          <w:lang w:val="en-US" w:eastAsia="zh-CN"/>
        </w:rPr>
        <w:t>三</w:t>
      </w:r>
      <w:r>
        <w:rPr>
          <w:rFonts w:hint="eastAsia" w:ascii="仿宋_GB2312" w:hAnsi="仿宋_GB2312" w:eastAsia="仿宋_GB2312" w:cs="仿宋_GB2312"/>
          <w:color w:val="auto"/>
          <w:sz w:val="32"/>
          <w:szCs w:val="32"/>
        </w:rPr>
        <w:t>支多线</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以岷江航道为骨干，以大渡河、青衣江、沐溪河等支线航道为支撑，</w:t>
      </w:r>
      <w:r>
        <w:rPr>
          <w:rFonts w:hint="eastAsia" w:ascii="仿宋_GB2312" w:hAnsi="仿宋_GB2312" w:eastAsia="仿宋_GB2312" w:cs="仿宋_GB2312"/>
          <w:color w:val="auto"/>
          <w:sz w:val="32"/>
          <w:szCs w:val="32"/>
          <w:lang w:eastAsia="zh-CN"/>
        </w:rPr>
        <w:t>以其他</w:t>
      </w:r>
      <w:r>
        <w:rPr>
          <w:rFonts w:hint="eastAsia" w:ascii="仿宋_GB2312" w:hAnsi="仿宋_GB2312" w:eastAsia="仿宋_GB2312" w:cs="仿宋_GB2312"/>
          <w:color w:val="auto"/>
          <w:sz w:val="32"/>
          <w:szCs w:val="32"/>
        </w:rPr>
        <w:t>一般航道通航库区为补充，共同组成乐山干支相辅的内河航道网络体系。</w:t>
      </w:r>
      <w:r>
        <w:rPr>
          <w:rFonts w:hint="eastAsia" w:ascii="仿宋_GB2312" w:hAnsi="仿宋_GB2312" w:eastAsia="仿宋_GB2312" w:cs="仿宋_GB2312"/>
          <w:color w:val="auto"/>
          <w:sz w:val="32"/>
          <w:szCs w:val="32"/>
          <w:lang w:val="en-US" w:eastAsia="zh-CN"/>
        </w:rPr>
        <w:t>双核两带多点：以嘉州港区为客运核心港区，以犍为港区为货运核心港区，以岷江、大渡河为两带，以五通桥港区、沐川港区、沙湾港区、峨边港区、金口河港区、夹江港区为多点，</w:t>
      </w:r>
      <w:r>
        <w:rPr>
          <w:rFonts w:hint="eastAsia" w:ascii="仿宋_GB2312" w:hAnsi="仿宋_GB2312" w:eastAsia="仿宋_GB2312" w:cs="仿宋_GB2312"/>
          <w:color w:val="auto"/>
          <w:sz w:val="32"/>
          <w:szCs w:val="32"/>
        </w:rPr>
        <w:t>共同组成</w:t>
      </w:r>
      <w:r>
        <w:rPr>
          <w:rFonts w:hint="eastAsia" w:ascii="仿宋_GB2312" w:hAnsi="仿宋_GB2312" w:eastAsia="仿宋_GB2312" w:cs="仿宋_GB2312"/>
          <w:color w:val="auto"/>
          <w:sz w:val="32"/>
          <w:szCs w:val="32"/>
          <w:lang w:val="en-US" w:eastAsia="zh-CN"/>
        </w:rPr>
        <w:t>乐山协调联动的港口布局体系。</w:t>
      </w:r>
    </w:p>
    <w:p>
      <w:pPr>
        <w:spacing w:line="600" w:lineRule="exact"/>
        <w:ind w:firstLine="640" w:firstLineChars="200"/>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机场</w:t>
      </w:r>
      <w:r>
        <w:rPr>
          <w:rFonts w:hint="eastAsia" w:ascii="仿宋_GB2312" w:hAnsi="仿宋_GB2312" w:eastAsia="仿宋_GB2312" w:cs="仿宋_GB2312"/>
          <w:color w:val="auto"/>
          <w:sz w:val="32"/>
          <w:szCs w:val="32"/>
          <w:lang w:val="en-US" w:eastAsia="zh-CN"/>
        </w:rPr>
        <w:t>方面</w:t>
      </w:r>
      <w:r>
        <w:rPr>
          <w:rFonts w:hint="eastAsia" w:ascii="仿宋_GB2312" w:hAnsi="仿宋_GB2312" w:eastAsia="仿宋_GB2312" w:cs="仿宋_GB2312"/>
          <w:color w:val="auto"/>
          <w:sz w:val="32"/>
          <w:szCs w:val="32"/>
        </w:rPr>
        <w:t>。规划</w:t>
      </w:r>
      <w:r>
        <w:rPr>
          <w:rFonts w:hint="eastAsia" w:ascii="仿宋_GB2312" w:hAnsi="仿宋_GB2312" w:eastAsia="仿宋_GB2312" w:cs="仿宋_GB2312"/>
          <w:color w:val="auto"/>
          <w:sz w:val="32"/>
          <w:szCs w:val="32"/>
          <w:lang w:val="en-US" w:eastAsia="zh-CN"/>
        </w:rPr>
        <w:t>形成</w:t>
      </w:r>
      <w:r>
        <w:rPr>
          <w:rFonts w:hint="eastAsia" w:ascii="仿宋_GB2312" w:hAnsi="仿宋_GB2312" w:eastAsia="仿宋_GB2312" w:cs="仿宋_GB2312"/>
          <w:color w:val="auto"/>
          <w:sz w:val="32"/>
          <w:szCs w:val="32"/>
        </w:rPr>
        <w:t>“1+4+N”航空体系</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“1</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为</w:t>
      </w:r>
      <w:r>
        <w:rPr>
          <w:rFonts w:hint="eastAsia" w:ascii="仿宋_GB2312" w:hAnsi="仿宋_GB2312" w:eastAsia="仿宋_GB2312" w:cs="仿宋_GB2312"/>
          <w:color w:val="auto"/>
          <w:sz w:val="32"/>
          <w:szCs w:val="32"/>
          <w:lang w:val="en-US" w:eastAsia="zh-CN"/>
        </w:rPr>
        <w:t>在建</w:t>
      </w:r>
      <w:r>
        <w:rPr>
          <w:rFonts w:hint="eastAsia" w:ascii="仿宋_GB2312" w:hAnsi="仿宋_GB2312" w:eastAsia="仿宋_GB2312" w:cs="仿宋_GB2312"/>
          <w:color w:val="auto"/>
          <w:sz w:val="32"/>
          <w:szCs w:val="32"/>
        </w:rPr>
        <w:t>乐山机场，</w:t>
      </w:r>
      <w:r>
        <w:rPr>
          <w:rFonts w:hint="eastAsia" w:ascii="仿宋_GB2312" w:hAnsi="仿宋_GB2312" w:eastAsia="仿宋_GB2312" w:cs="仿宋_GB2312"/>
          <w:color w:val="auto"/>
          <w:sz w:val="32"/>
          <w:szCs w:val="32"/>
          <w:lang w:val="en-US" w:eastAsia="zh-CN"/>
        </w:rPr>
        <w:t>定位为</w:t>
      </w:r>
      <w:r>
        <w:rPr>
          <w:rFonts w:hint="eastAsia" w:ascii="仿宋_GB2312" w:hAnsi="仿宋_GB2312" w:eastAsia="仿宋_GB2312" w:cs="仿宋_GB2312"/>
          <w:color w:val="auto"/>
          <w:sz w:val="32"/>
          <w:szCs w:val="32"/>
        </w:rPr>
        <w:t>军民合用4C级机场</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预留远期升级为4E等级的建设条件；“4”为规划建设峨眉山市、峨边彝族自治县、马边彝族自治县、沙湾区4个通用机场；“N”为根据旅游</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应急救援</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低空物流</w:t>
      </w:r>
      <w:r>
        <w:rPr>
          <w:rFonts w:hint="eastAsia" w:ascii="仿宋_GB2312" w:hAnsi="仿宋_GB2312" w:eastAsia="仿宋_GB2312" w:cs="仿宋_GB2312"/>
          <w:color w:val="auto"/>
          <w:sz w:val="32"/>
          <w:szCs w:val="32"/>
        </w:rPr>
        <w:t>需求建设N个停机坪。</w:t>
      </w:r>
    </w:p>
    <w:p>
      <w:pPr>
        <w:pStyle w:val="5"/>
        <w:bidi w:val="0"/>
        <w:rPr>
          <w:rFonts w:hint="eastAsia"/>
          <w:color w:val="auto"/>
          <w:lang w:val="en-US" w:eastAsia="zh-CN"/>
        </w:rPr>
      </w:pPr>
      <w:bookmarkStart w:id="137" w:name="_Toc25067"/>
      <w:r>
        <w:rPr>
          <w:rFonts w:hint="eastAsia"/>
          <w:color w:val="auto"/>
          <w:lang w:val="en-US" w:eastAsia="zh-CN"/>
        </w:rPr>
        <w:t>干线路网支撑条件</w:t>
      </w:r>
      <w:bookmarkEnd w:id="137"/>
    </w:p>
    <w:p>
      <w:pPr>
        <w:spacing w:line="600" w:lineRule="exact"/>
        <w:ind w:firstLine="640" w:firstLineChars="200"/>
        <w:rPr>
          <w:rFonts w:hint="eastAsia" w:ascii="仿宋_GB2312" w:hAnsi="Times New Roman"/>
          <w:color w:val="auto"/>
          <w:sz w:val="32"/>
          <w:szCs w:val="32"/>
          <w:lang w:val="en-US" w:eastAsia="zh-CN"/>
        </w:rPr>
      </w:pPr>
      <w:r>
        <w:rPr>
          <w:rFonts w:hint="eastAsia" w:ascii="仿宋_GB2312"/>
          <w:color w:val="auto"/>
          <w:sz w:val="32"/>
          <w:szCs w:val="32"/>
          <w:lang w:val="en-US" w:eastAsia="zh-CN"/>
        </w:rPr>
        <w:t>规</w:t>
      </w:r>
      <w:r>
        <w:rPr>
          <w:rFonts w:hint="eastAsia" w:ascii="仿宋_GB2312"/>
          <w:color w:val="auto"/>
          <w:spacing w:val="6"/>
          <w:sz w:val="32"/>
          <w:szCs w:val="32"/>
          <w:lang w:val="en-US" w:eastAsia="zh-CN"/>
        </w:rPr>
        <w:t>划形成</w:t>
      </w:r>
      <w:r>
        <w:rPr>
          <w:rFonts w:hint="eastAsia" w:ascii="仿宋_GB2312" w:eastAsia="仿宋_GB2312"/>
          <w:color w:val="auto"/>
          <w:spacing w:val="6"/>
          <w:sz w:val="32"/>
          <w:szCs w:val="32"/>
        </w:rPr>
        <w:t>“五纵五横两环”</w:t>
      </w:r>
      <w:r>
        <w:rPr>
          <w:rFonts w:hint="eastAsia" w:ascii="仿宋_GB2312"/>
          <w:color w:val="auto"/>
          <w:spacing w:val="6"/>
          <w:sz w:val="32"/>
          <w:szCs w:val="32"/>
          <w:lang w:val="en-US" w:eastAsia="zh-CN"/>
        </w:rPr>
        <w:t>的普通公路干线网络布局</w:t>
      </w:r>
      <w:r>
        <w:rPr>
          <w:rFonts w:hint="eastAsia" w:ascii="仿宋_GB2312"/>
          <w:color w:val="auto"/>
          <w:spacing w:val="6"/>
          <w:sz w:val="32"/>
          <w:szCs w:val="32"/>
          <w:lang w:eastAsia="zh-CN"/>
        </w:rPr>
        <w:t>，</w:t>
      </w:r>
      <w:r>
        <w:rPr>
          <w:rFonts w:hint="eastAsia" w:ascii="仿宋_GB2312"/>
          <w:color w:val="auto"/>
          <w:spacing w:val="6"/>
          <w:sz w:val="32"/>
          <w:szCs w:val="32"/>
          <w:lang w:val="en-US" w:eastAsia="zh-CN"/>
        </w:rPr>
        <w:t>着力构建</w:t>
      </w:r>
      <w:r>
        <w:rPr>
          <w:rFonts w:hint="eastAsia" w:ascii="仿宋_GB2312" w:hAnsi="Times New Roman"/>
          <w:color w:val="auto"/>
          <w:spacing w:val="6"/>
          <w:sz w:val="32"/>
          <w:szCs w:val="32"/>
          <w:lang w:val="en-US" w:eastAsia="zh-CN"/>
        </w:rPr>
        <w:t>县际高效互联、枢纽快速集散、内外紧密衔接的高品质普通干线公路网络。五纵G213、S103、G245—S429—G348、S428—S215、S428—S539—</w:t>
      </w:r>
      <w:r>
        <w:rPr>
          <w:rFonts w:hint="eastAsia" w:ascii="仿宋_GB2312" w:hAnsi="Times New Roman"/>
          <w:color w:val="auto"/>
          <w:sz w:val="32"/>
          <w:szCs w:val="32"/>
          <w:lang w:val="en-US" w:eastAsia="zh-CN"/>
        </w:rPr>
        <w:t>G245—S309；四横为S401—G245—S215、G348—S429—G245、S308、S309；两环线为中心城区环城公路（S215—G348—S103—S308），卫星城市环线（G245—S429—G213—S401—G245）。</w:t>
      </w:r>
    </w:p>
    <w:p>
      <w:pPr>
        <w:pStyle w:val="27"/>
        <w:bidi w:val="0"/>
        <w:rPr>
          <w:rFonts w:hint="eastAsia"/>
          <w:color w:val="auto"/>
          <w:lang w:val="en-US" w:eastAsia="zh-CN"/>
        </w:rPr>
      </w:pPr>
      <w:r>
        <w:rPr>
          <w:rFonts w:hint="eastAsia"/>
          <w:color w:val="auto"/>
          <w:lang w:val="en-US" w:eastAsia="zh-CN"/>
        </w:rPr>
        <w:drawing>
          <wp:inline distT="0" distB="0" distL="114300" distR="114300">
            <wp:extent cx="5760085" cy="7371080"/>
            <wp:effectExtent l="9525" t="9525" r="21590" b="10795"/>
            <wp:docPr id="36" name="图片 36" descr="41e475ff2ff6e046a3190c9b1bed48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41e475ff2ff6e046a3190c9b1bed483f"/>
                    <pic:cNvPicPr>
                      <a:picLocks noChangeAspect="1"/>
                    </pic:cNvPicPr>
                  </pic:nvPicPr>
                  <pic:blipFill>
                    <a:blip r:embed="rId56"/>
                    <a:srcRect l="363" t="6634" r="121" b="3419"/>
                    <a:stretch>
                      <a:fillRect/>
                    </a:stretch>
                  </pic:blipFill>
                  <pic:spPr>
                    <a:xfrm>
                      <a:off x="0" y="0"/>
                      <a:ext cx="5760085" cy="7371080"/>
                    </a:xfrm>
                    <a:prstGeom prst="rect">
                      <a:avLst/>
                    </a:prstGeom>
                    <a:ln w="3175">
                      <a:solidFill>
                        <a:schemeClr val="bg1">
                          <a:lumMod val="85000"/>
                        </a:schemeClr>
                      </a:solidFill>
                    </a:ln>
                  </pic:spPr>
                </pic:pic>
              </a:graphicData>
            </a:graphic>
          </wp:inline>
        </w:drawing>
      </w:r>
    </w:p>
    <w:p>
      <w:pPr>
        <w:pStyle w:val="7"/>
        <w:bidi w:val="0"/>
        <w:rPr>
          <w:rFonts w:hint="eastAsia"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6</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4</w:t>
      </w:r>
      <w:r>
        <w:rPr>
          <w:color w:val="auto"/>
        </w:rPr>
        <w:fldChar w:fldCharType="end"/>
      </w:r>
      <w:r>
        <w:rPr>
          <w:rFonts w:hint="eastAsia"/>
          <w:color w:val="auto"/>
          <w:lang w:val="en-US" w:eastAsia="zh-CN"/>
        </w:rPr>
        <w:t xml:space="preserve"> 乐山“五纵五横两环”的普通公路干线网络</w:t>
      </w:r>
    </w:p>
    <w:p>
      <w:pPr>
        <w:spacing w:line="600" w:lineRule="exact"/>
        <w:ind w:firstLine="640" w:firstLineChars="200"/>
        <w:rPr>
          <w:rFonts w:hint="default" w:ascii="Times New Roman" w:hAnsi="Times New Roman" w:cs="Times New Roman"/>
          <w:color w:val="auto"/>
          <w:sz w:val="32"/>
          <w:szCs w:val="32"/>
          <w:lang w:val="en-US" w:eastAsia="zh-CN"/>
        </w:rPr>
      </w:pPr>
    </w:p>
    <w:p>
      <w:pPr>
        <w:pStyle w:val="4"/>
        <w:bidi w:val="0"/>
        <w:rPr>
          <w:rFonts w:hint="default" w:ascii="Times New Roman" w:hAnsi="Times New Roman" w:cs="Times New Roman"/>
          <w:color w:val="auto"/>
          <w:lang w:val="en-US" w:eastAsia="zh-CN"/>
        </w:rPr>
      </w:pPr>
      <w:bookmarkStart w:id="138" w:name="_Toc32350"/>
      <w:r>
        <w:rPr>
          <w:rFonts w:hint="default" w:ascii="Times New Roman" w:hAnsi="Times New Roman" w:cs="Times New Roman"/>
          <w:color w:val="auto"/>
          <w:lang w:val="en-US" w:eastAsia="zh-CN"/>
        </w:rPr>
        <w:t>选址方案</w:t>
      </w:r>
      <w:bookmarkEnd w:id="138"/>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未来，示范基地计划引入铁路专用线打造公铁水空一站式多式联运基地。依据《老江坝作业区专用线方案研究》最新成果，示范基地初步确定专用线方案为：</w:t>
      </w:r>
      <w:r>
        <w:rPr>
          <w:rFonts w:hint="eastAsia" w:ascii="Times New Roman" w:hAnsi="Times New Roman" w:cs="Times New Roman"/>
          <w:color w:val="auto"/>
          <w:lang w:val="en-US" w:eastAsia="zh-CN"/>
        </w:rPr>
        <w:t>在</w:t>
      </w:r>
      <w:r>
        <w:rPr>
          <w:rFonts w:hint="default" w:ascii="Times New Roman" w:hAnsi="Times New Roman" w:cs="Times New Roman"/>
          <w:color w:val="auto"/>
          <w:lang w:val="en-US" w:eastAsia="zh-CN"/>
        </w:rPr>
        <w:t>规划</w:t>
      </w:r>
      <w:r>
        <w:rPr>
          <w:rFonts w:hint="eastAsia" w:ascii="Times New Roman" w:hAnsi="Times New Roman" w:cs="Times New Roman"/>
          <w:color w:val="auto"/>
          <w:lang w:val="en-US" w:eastAsia="zh-CN"/>
        </w:rPr>
        <w:t>的</w:t>
      </w:r>
      <w:r>
        <w:rPr>
          <w:rFonts w:hint="default" w:ascii="Times New Roman" w:hAnsi="Times New Roman" w:cs="Times New Roman"/>
          <w:color w:val="auto"/>
          <w:lang w:val="en-US" w:eastAsia="zh-CN"/>
        </w:rPr>
        <w:t>乐宜铁路自</w:t>
      </w:r>
      <w:r>
        <w:rPr>
          <w:rFonts w:hint="eastAsia" w:cs="Times New Roman"/>
          <w:color w:val="auto"/>
          <w:lang w:val="en-US" w:eastAsia="zh-CN"/>
        </w:rPr>
        <w:t>连燕</w:t>
      </w:r>
      <w:r>
        <w:rPr>
          <w:rFonts w:hint="default" w:ascii="Times New Roman" w:hAnsi="Times New Roman" w:cs="Times New Roman"/>
          <w:color w:val="auto"/>
          <w:lang w:val="en-US" w:eastAsia="zh-CN"/>
        </w:rPr>
        <w:t>铁路</w:t>
      </w:r>
      <w:r>
        <w:rPr>
          <w:rFonts w:hint="eastAsia" w:cs="Times New Roman"/>
          <w:color w:val="auto"/>
          <w:lang w:val="en-US" w:eastAsia="zh-CN"/>
        </w:rPr>
        <w:t>踏水</w:t>
      </w:r>
      <w:r>
        <w:rPr>
          <w:rFonts w:hint="default" w:ascii="Times New Roman" w:hAnsi="Times New Roman" w:cs="Times New Roman"/>
          <w:color w:val="auto"/>
          <w:lang w:val="en-US" w:eastAsia="zh-CN"/>
        </w:rPr>
        <w:t>站</w:t>
      </w:r>
      <w:r>
        <w:rPr>
          <w:rFonts w:hint="eastAsia" w:ascii="Times New Roman" w:hAnsi="Times New Roman" w:cs="Times New Roman"/>
          <w:color w:val="auto"/>
          <w:lang w:val="en-US" w:eastAsia="zh-CN"/>
        </w:rPr>
        <w:t>接轨</w:t>
      </w:r>
      <w:r>
        <w:rPr>
          <w:rFonts w:hint="default" w:ascii="Times New Roman" w:hAnsi="Times New Roman" w:cs="Times New Roman"/>
          <w:color w:val="auto"/>
          <w:lang w:val="en-US" w:eastAsia="zh-CN"/>
        </w:rPr>
        <w:t>引出</w:t>
      </w:r>
      <w:r>
        <w:rPr>
          <w:rFonts w:hint="eastAsia" w:ascii="Times New Roman" w:hAnsi="Times New Roman" w:cs="Times New Roman"/>
          <w:color w:val="auto"/>
          <w:lang w:val="en-US" w:eastAsia="zh-CN"/>
        </w:rPr>
        <w:t>后</w:t>
      </w:r>
      <w:r>
        <w:rPr>
          <w:rFonts w:hint="default" w:ascii="Times New Roman" w:hAnsi="Times New Roman" w:cs="Times New Roman"/>
          <w:color w:val="auto"/>
          <w:lang w:val="en-US" w:eastAsia="zh-CN"/>
        </w:rPr>
        <w:t>，利用部分乐宜铁路建设专用线接入大件码头。</w:t>
      </w:r>
    </w:p>
    <w:p>
      <w:pPr>
        <w:pStyle w:val="27"/>
        <w:bidi w:val="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760085" cy="3487420"/>
            <wp:effectExtent l="9525" t="9525" r="21590" b="27305"/>
            <wp:docPr id="12" name="图片 12" descr="老江坝铁路专用线方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老江坝铁路专用线方案"/>
                    <pic:cNvPicPr>
                      <a:picLocks noChangeAspect="1"/>
                    </pic:cNvPicPr>
                  </pic:nvPicPr>
                  <pic:blipFill>
                    <a:blip r:embed="rId57"/>
                    <a:srcRect l="2134" t="11090" r="2154" b="12517"/>
                    <a:stretch>
                      <a:fillRect/>
                    </a:stretch>
                  </pic:blipFill>
                  <pic:spPr>
                    <a:xfrm>
                      <a:off x="0" y="0"/>
                      <a:ext cx="5760085" cy="3487420"/>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大件码头铁路专用线方案</w:t>
      </w:r>
    </w:p>
    <w:p>
      <w:pPr>
        <w:spacing w:line="600" w:lineRule="exact"/>
        <w:ind w:firstLine="640" w:firstLineChars="200"/>
        <w:rPr>
          <w:rFonts w:hint="default" w:ascii="Times New Roman" w:hAnsi="Times New Roman" w:cs="Times New Roman"/>
          <w:color w:val="auto"/>
          <w:sz w:val="32"/>
          <w:szCs w:val="32"/>
          <w:lang w:val="en-US" w:eastAsia="zh-CN"/>
        </w:rPr>
      </w:pPr>
      <w:r>
        <w:rPr>
          <w:rFonts w:hint="eastAsia" w:ascii="Times New Roman" w:hAnsi="Times New Roman" w:eastAsia="仿宋_GB2312"/>
          <w:color w:val="auto"/>
          <w:sz w:val="32"/>
          <w:szCs w:val="32"/>
          <w:lang w:val="en-US" w:eastAsia="zh-CN"/>
        </w:rPr>
        <w:t>充分</w:t>
      </w:r>
      <w:r>
        <w:rPr>
          <w:rFonts w:hint="eastAsia"/>
          <w:color w:val="auto"/>
          <w:sz w:val="32"/>
          <w:szCs w:val="32"/>
          <w:lang w:val="en-US" w:eastAsia="zh-CN"/>
        </w:rPr>
        <w:t>考虑示范基地的功能定位，结合全市和周边腹地经济产业发展情况，基地周边用地情况，规划铁路专用线线位情况，以及公铁水空交通物流基础设施建设现状和空间拓展能力，提出示范基地的两种选址方案。</w:t>
      </w:r>
    </w:p>
    <w:p>
      <w:pPr>
        <w:spacing w:line="600" w:lineRule="exact"/>
        <w:ind w:firstLine="640" w:firstLineChars="200"/>
        <w:rPr>
          <w:rFonts w:hint="eastAsia" w:ascii="Times New Roman" w:hAnsi="Times New Roman"/>
          <w:color w:val="auto"/>
          <w:sz w:val="32"/>
          <w:szCs w:val="32"/>
          <w:lang w:val="en-US" w:eastAsia="zh-CN"/>
        </w:rPr>
      </w:pPr>
      <w:r>
        <w:rPr>
          <w:rFonts w:hint="eastAsia"/>
          <w:b w:val="0"/>
          <w:bCs w:val="0"/>
          <w:color w:val="auto"/>
          <w:sz w:val="32"/>
          <w:szCs w:val="32"/>
          <w:lang w:val="en-US" w:eastAsia="zh-CN"/>
        </w:rPr>
        <w:t>示范基地选址方案Ⅰ：</w:t>
      </w:r>
      <w:r>
        <w:rPr>
          <w:rFonts w:hint="default" w:ascii="Times New Roman" w:hAnsi="Times New Roman" w:cs="Times New Roman"/>
          <w:b w:val="0"/>
          <w:bCs w:val="0"/>
          <w:color w:val="auto"/>
          <w:sz w:val="32"/>
          <w:szCs w:val="32"/>
          <w:lang w:val="en-US" w:eastAsia="zh-CN"/>
        </w:rPr>
        <w:t>由老</w:t>
      </w:r>
      <w:r>
        <w:rPr>
          <w:rFonts w:hint="default" w:ascii="Times New Roman" w:hAnsi="Times New Roman" w:cs="Times New Roman"/>
          <w:color w:val="auto"/>
          <w:sz w:val="32"/>
          <w:szCs w:val="32"/>
          <w:lang w:val="en-US" w:eastAsia="zh-CN"/>
        </w:rPr>
        <w:t>江坝作业区进港公路（规划）—进港大道—横一路（规划）—纵一路（规划）—</w:t>
      </w:r>
      <w:r>
        <w:rPr>
          <w:rFonts w:hint="eastAsia" w:ascii="Times New Roman" w:hAnsi="Times New Roman" w:cs="Times New Roman"/>
          <w:color w:val="auto"/>
          <w:sz w:val="32"/>
          <w:szCs w:val="32"/>
          <w:lang w:val="en-US" w:eastAsia="zh-CN"/>
        </w:rPr>
        <w:t>成贵高铁</w:t>
      </w:r>
      <w:r>
        <w:rPr>
          <w:rFonts w:hint="default" w:ascii="Times New Roman" w:hAnsi="Times New Roman" w:cs="Times New Roman"/>
          <w:color w:val="auto"/>
          <w:sz w:val="32"/>
          <w:szCs w:val="32"/>
          <w:lang w:val="en-US" w:eastAsia="zh-CN"/>
        </w:rPr>
        <w:t>—进港大道—老木孔枢纽连接道路（规划）—岷江围合而成，占地面积</w:t>
      </w:r>
      <w:r>
        <w:rPr>
          <w:rFonts w:hint="eastAsia" w:ascii="Times New Roman" w:hAnsi="Times New Roman" w:cs="Times New Roman"/>
          <w:color w:val="auto"/>
          <w:sz w:val="32"/>
          <w:szCs w:val="32"/>
          <w:lang w:val="en-US" w:eastAsia="zh-CN"/>
        </w:rPr>
        <w:t>12</w:t>
      </w:r>
      <w:r>
        <w:rPr>
          <w:rFonts w:hint="default" w:ascii="Times New Roman" w:hAnsi="Times New Roman" w:cs="Times New Roman"/>
          <w:color w:val="auto"/>
          <w:sz w:val="32"/>
          <w:szCs w:val="32"/>
          <w:lang w:val="en-US" w:eastAsia="zh-CN"/>
        </w:rPr>
        <w:t>平方公里</w:t>
      </w:r>
      <w:r>
        <w:rPr>
          <w:rFonts w:hint="eastAsia" w:ascii="Times New Roman" w:hAnsi="Times New Roman" w:cs="Times New Roman"/>
          <w:color w:val="auto"/>
          <w:sz w:val="32"/>
          <w:szCs w:val="32"/>
          <w:lang w:val="en-US" w:eastAsia="zh-CN"/>
        </w:rPr>
        <w:t>（不含乐山机场占地面积，下同）</w:t>
      </w:r>
      <w:r>
        <w:rPr>
          <w:rFonts w:hint="eastAsia" w:ascii="Times New Roman" w:hAnsi="Times New Roman"/>
          <w:color w:val="auto"/>
          <w:sz w:val="32"/>
          <w:szCs w:val="32"/>
          <w:lang w:val="en-US" w:eastAsia="zh-CN"/>
        </w:rPr>
        <w:t>。</w:t>
      </w:r>
    </w:p>
    <w:p>
      <w:pPr>
        <w:pStyle w:val="27"/>
        <w:bidi w:val="0"/>
        <w:rPr>
          <w:color w:val="auto"/>
        </w:rPr>
      </w:pPr>
      <w:r>
        <w:rPr>
          <w:color w:val="auto"/>
        </w:rPr>
        <w:drawing>
          <wp:inline distT="0" distB="0" distL="114300" distR="114300">
            <wp:extent cx="5760085" cy="5533390"/>
            <wp:effectExtent l="9525" t="9525" r="21590" b="196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8"/>
                    <a:stretch>
                      <a:fillRect/>
                    </a:stretch>
                  </pic:blipFill>
                  <pic:spPr>
                    <a:xfrm>
                      <a:off x="0" y="0"/>
                      <a:ext cx="5760085" cy="5533390"/>
                    </a:xfrm>
                    <a:prstGeom prst="rect">
                      <a:avLst/>
                    </a:prstGeom>
                    <a:noFill/>
                    <a:ln>
                      <a:solidFill>
                        <a:schemeClr val="bg2">
                          <a:lumMod val="90000"/>
                        </a:schemeClr>
                      </a:solidFill>
                    </a:ln>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6</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6</w:t>
      </w:r>
      <w:r>
        <w:rPr>
          <w:color w:val="auto"/>
        </w:rPr>
        <w:fldChar w:fldCharType="end"/>
      </w:r>
      <w:r>
        <w:rPr>
          <w:rFonts w:hint="eastAsia"/>
          <w:color w:val="auto"/>
          <w:lang w:val="en-US" w:eastAsia="zh-CN"/>
        </w:rPr>
        <w:t xml:space="preserve"> 方案一选址示意图</w:t>
      </w:r>
    </w:p>
    <w:p>
      <w:pPr>
        <w:spacing w:line="600" w:lineRule="exact"/>
        <w:ind w:firstLine="640" w:firstLineChars="200"/>
        <w:rPr>
          <w:rFonts w:hint="default"/>
          <w:b/>
          <w:bCs/>
          <w:color w:val="auto"/>
          <w:sz w:val="32"/>
          <w:szCs w:val="32"/>
          <w:lang w:val="en-US" w:eastAsia="zh-CN"/>
        </w:rPr>
      </w:pPr>
      <w:r>
        <w:rPr>
          <w:rFonts w:hint="eastAsia"/>
          <w:b w:val="0"/>
          <w:bCs w:val="0"/>
          <w:color w:val="auto"/>
          <w:sz w:val="32"/>
          <w:szCs w:val="32"/>
          <w:lang w:val="en-US" w:eastAsia="zh-CN"/>
        </w:rPr>
        <w:t>示范基地选址方案Ⅱ：由东西</w:t>
      </w:r>
      <w:r>
        <w:rPr>
          <w:rFonts w:hint="eastAsia"/>
          <w:color w:val="auto"/>
          <w:sz w:val="32"/>
          <w:szCs w:val="32"/>
          <w:lang w:val="en-US" w:eastAsia="zh-CN"/>
        </w:rPr>
        <w:t>两个组团共同组成，其中东组团为大件码头组团，由岷江、大件码头进港公路、进港大道、老木孔枢纽连接公路围合而成，占地面积2.5平方公里；西组团由乐宜高速、G348（规划）、S215（规划）—铁路专用线（规划）围合而成，占地面积11.6平方</w:t>
      </w:r>
      <w:r>
        <w:rPr>
          <w:rFonts w:hint="eastAsia" w:ascii="Times New Roman" w:hAnsi="Times New Roman"/>
          <w:color w:val="auto"/>
          <w:sz w:val="32"/>
          <w:szCs w:val="32"/>
          <w:lang w:val="en-US" w:eastAsia="zh-CN"/>
        </w:rPr>
        <w:t>公里</w:t>
      </w:r>
      <w:r>
        <w:rPr>
          <w:rFonts w:hint="eastAsia"/>
          <w:color w:val="auto"/>
          <w:sz w:val="32"/>
          <w:szCs w:val="32"/>
          <w:lang w:val="en-US" w:eastAsia="zh-CN"/>
        </w:rPr>
        <w:t>，两个组团总占地面积14.1平方公里</w:t>
      </w:r>
      <w:r>
        <w:rPr>
          <w:rFonts w:hint="eastAsia"/>
          <w:b w:val="0"/>
          <w:bCs w:val="0"/>
          <w:color w:val="auto"/>
          <w:sz w:val="32"/>
          <w:szCs w:val="32"/>
          <w:lang w:val="en-US" w:eastAsia="zh-CN"/>
        </w:rPr>
        <w:t>。</w:t>
      </w:r>
    </w:p>
    <w:p>
      <w:pPr>
        <w:pStyle w:val="27"/>
        <w:bidi w:val="0"/>
        <w:rPr>
          <w:color w:val="auto"/>
        </w:rPr>
      </w:pPr>
      <w:r>
        <w:rPr>
          <w:color w:val="auto"/>
        </w:rPr>
        <w:drawing>
          <wp:inline distT="0" distB="0" distL="114300" distR="114300">
            <wp:extent cx="5760085" cy="5241290"/>
            <wp:effectExtent l="9525" t="9525" r="21590" b="260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9"/>
                    <a:stretch>
                      <a:fillRect/>
                    </a:stretch>
                  </pic:blipFill>
                  <pic:spPr>
                    <a:xfrm>
                      <a:off x="0" y="0"/>
                      <a:ext cx="5760085" cy="5241290"/>
                    </a:xfrm>
                    <a:prstGeom prst="rect">
                      <a:avLst/>
                    </a:prstGeom>
                    <a:noFill/>
                    <a:ln>
                      <a:solidFill>
                        <a:schemeClr val="bg2">
                          <a:lumMod val="90000"/>
                        </a:schemeClr>
                      </a:solidFill>
                    </a:ln>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6</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7</w:t>
      </w:r>
      <w:r>
        <w:rPr>
          <w:color w:val="auto"/>
        </w:rPr>
        <w:fldChar w:fldCharType="end"/>
      </w:r>
      <w:r>
        <w:rPr>
          <w:rFonts w:hint="eastAsia"/>
          <w:color w:val="auto"/>
          <w:lang w:val="en-US" w:eastAsia="zh-CN"/>
        </w:rPr>
        <w:t xml:space="preserve"> 方案二选址示意图</w:t>
      </w:r>
    </w:p>
    <w:p>
      <w:pPr>
        <w:spacing w:line="600" w:lineRule="exact"/>
        <w:ind w:firstLine="640" w:firstLineChars="200"/>
        <w:rPr>
          <w:rFonts w:hint="default"/>
          <w:color w:val="auto"/>
          <w:sz w:val="32"/>
          <w:szCs w:val="32"/>
          <w:lang w:val="en-US" w:eastAsia="zh-CN"/>
        </w:rPr>
      </w:pPr>
      <w:r>
        <w:rPr>
          <w:rFonts w:hint="eastAsia"/>
          <w:b w:val="0"/>
          <w:bCs w:val="0"/>
          <w:color w:val="auto"/>
          <w:sz w:val="32"/>
          <w:szCs w:val="32"/>
          <w:lang w:val="en-US" w:eastAsia="zh-CN"/>
        </w:rPr>
        <w:t>选址比较：方案Ⅰ和方案Ⅱ在进港大道东侧空间范围相同，在进港大道西侧存在差异，</w:t>
      </w:r>
      <w:r>
        <w:rPr>
          <w:rFonts w:hint="eastAsia"/>
          <w:color w:val="auto"/>
          <w:sz w:val="32"/>
          <w:szCs w:val="32"/>
          <w:lang w:val="en-US" w:eastAsia="zh-CN"/>
        </w:rPr>
        <w:t>但结合国土空间规划“三区三线”划定方案来看，两方案在进港大道西侧均会占用大量基本农田，存在较大用地制约，具体优劣势分析见下表。</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6</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r>
        <w:rPr>
          <w:rFonts w:hint="eastAsia"/>
          <w:color w:val="auto"/>
          <w:lang w:val="en-US" w:eastAsia="zh-CN"/>
        </w:rPr>
        <w:t xml:space="preserve"> 方案Ⅰ和方案Ⅱ优劣势对比表</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5"/>
        <w:gridCol w:w="4105"/>
        <w:gridCol w:w="4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blHeader/>
        </w:trPr>
        <w:tc>
          <w:tcPr>
            <w:tcW w:w="650" w:type="pct"/>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黑体" w:hAnsi="黑体" w:eastAsia="黑体" w:cs="黑体"/>
                <w:color w:val="auto"/>
                <w:sz w:val="24"/>
                <w:szCs w:val="24"/>
                <w:vertAlign w:val="baseline"/>
                <w:lang w:val="en-US" w:eastAsia="zh-CN"/>
              </w:rPr>
            </w:pPr>
            <w:r>
              <w:rPr>
                <w:rFonts w:hint="eastAsia" w:ascii="黑体" w:hAnsi="黑体" w:eastAsia="黑体" w:cs="黑体"/>
                <w:color w:val="auto"/>
                <w:sz w:val="24"/>
                <w:szCs w:val="24"/>
                <w:vertAlign w:val="baseline"/>
                <w:lang w:val="en-US" w:eastAsia="zh-CN"/>
              </w:rPr>
              <w:t>方案</w:t>
            </w:r>
          </w:p>
        </w:tc>
        <w:tc>
          <w:tcPr>
            <w:tcW w:w="2044" w:type="pct"/>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黑体" w:hAnsi="黑体" w:eastAsia="黑体" w:cs="黑体"/>
                <w:color w:val="auto"/>
                <w:sz w:val="24"/>
                <w:szCs w:val="24"/>
                <w:vertAlign w:val="baseline"/>
                <w:lang w:val="en-US" w:eastAsia="zh-CN"/>
              </w:rPr>
            </w:pPr>
            <w:r>
              <w:rPr>
                <w:rFonts w:hint="eastAsia" w:ascii="黑体" w:hAnsi="黑体" w:eastAsia="黑体" w:cs="黑体"/>
                <w:color w:val="auto"/>
                <w:sz w:val="24"/>
                <w:szCs w:val="24"/>
                <w:vertAlign w:val="baseline"/>
                <w:lang w:val="en-US" w:eastAsia="zh-CN"/>
              </w:rPr>
              <w:t>优势</w:t>
            </w:r>
          </w:p>
        </w:tc>
        <w:tc>
          <w:tcPr>
            <w:tcW w:w="2305" w:type="pct"/>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黑体" w:hAnsi="黑体" w:eastAsia="黑体" w:cs="黑体"/>
                <w:color w:val="auto"/>
                <w:sz w:val="24"/>
                <w:szCs w:val="24"/>
                <w:vertAlign w:val="baseline"/>
                <w:lang w:val="en-US" w:eastAsia="zh-CN"/>
              </w:rPr>
            </w:pPr>
            <w:r>
              <w:rPr>
                <w:rFonts w:hint="eastAsia" w:ascii="黑体" w:hAnsi="黑体" w:eastAsia="黑体" w:cs="黑体"/>
                <w:color w:val="auto"/>
                <w:sz w:val="24"/>
                <w:szCs w:val="24"/>
                <w:vertAlign w:val="baseline"/>
                <w:lang w:val="en-US" w:eastAsia="zh-CN"/>
              </w:rPr>
              <w:t>劣势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trPr>
        <w:tc>
          <w:tcPr>
            <w:tcW w:w="650"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方案Ⅰ</w:t>
            </w:r>
          </w:p>
        </w:tc>
        <w:tc>
          <w:tcPr>
            <w:tcW w:w="2044"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由干线公路和航道围合而成的单一区域，整体呈连片开发状态，未来示范基地内各规划功能区之间可在较短距离内实现资源要素的相互流通</w:t>
            </w:r>
          </w:p>
        </w:tc>
        <w:tc>
          <w:tcPr>
            <w:tcW w:w="2305"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olor w:val="auto"/>
                <w:sz w:val="24"/>
                <w:szCs w:val="24"/>
                <w:lang w:val="en-US" w:eastAsia="zh-CN"/>
              </w:rPr>
            </w:pPr>
            <w:r>
              <w:rPr>
                <w:rFonts w:hint="eastAsia" w:ascii="Times New Roman" w:hAnsi="Times New Roman"/>
                <w:color w:val="auto"/>
                <w:sz w:val="24"/>
                <w:szCs w:val="24"/>
                <w:lang w:val="en-US" w:eastAsia="zh-CN"/>
              </w:rPr>
              <w:t>进港大道西侧用地是现冠英镇主要场镇区域，存在大量的已建成建筑设施，工程拆迁成本高。</w:t>
            </w:r>
            <w:r>
              <w:rPr>
                <w:rFonts w:hint="eastAsia"/>
                <w:color w:val="auto"/>
                <w:sz w:val="24"/>
                <w:szCs w:val="24"/>
                <w:lang w:val="en-US" w:eastAsia="zh-CN"/>
              </w:rPr>
              <w:t>此外，铁路专用线对选址用地分割较大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0" w:type="pct"/>
            <w:vAlign w:val="center"/>
          </w:tcPr>
          <w:p>
            <w:pPr>
              <w:keepNext w:val="0"/>
              <w:keepLines/>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方案Ⅱ</w:t>
            </w:r>
          </w:p>
        </w:tc>
        <w:tc>
          <w:tcPr>
            <w:tcW w:w="2044" w:type="pct"/>
            <w:vAlign w:val="center"/>
          </w:tcPr>
          <w:p>
            <w:pPr>
              <w:keepNext w:val="0"/>
              <w:keepLines/>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olor w:val="auto"/>
                <w:sz w:val="24"/>
                <w:szCs w:val="24"/>
                <w:lang w:val="en-US" w:eastAsia="zh-CN"/>
              </w:rPr>
            </w:pPr>
            <w:r>
              <w:rPr>
                <w:rFonts w:hint="eastAsia" w:ascii="Times New Roman" w:hAnsi="Times New Roman"/>
                <w:color w:val="auto"/>
                <w:sz w:val="24"/>
                <w:szCs w:val="24"/>
                <w:lang w:val="en-US" w:eastAsia="zh-CN"/>
              </w:rPr>
              <w:t>西组团现状零星分布乡村建设设施，拆迁成本较低。</w:t>
            </w:r>
            <w:r>
              <w:rPr>
                <w:rFonts w:hint="eastAsia"/>
                <w:color w:val="auto"/>
                <w:sz w:val="24"/>
                <w:szCs w:val="24"/>
                <w:lang w:val="en-US" w:eastAsia="zh-CN"/>
              </w:rPr>
              <w:t>铁路专用线对选址地块影响较小</w:t>
            </w:r>
          </w:p>
        </w:tc>
        <w:tc>
          <w:tcPr>
            <w:tcW w:w="2305" w:type="pct"/>
            <w:vAlign w:val="center"/>
          </w:tcPr>
          <w:p>
            <w:pPr>
              <w:keepNext w:val="0"/>
              <w:keepLines/>
              <w:pageBreakBefore w:val="0"/>
              <w:widowControl/>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需要经过S215</w:t>
            </w:r>
            <w:r>
              <w:rPr>
                <w:rFonts w:hint="eastAsia"/>
                <w:color w:val="auto"/>
                <w:sz w:val="24"/>
                <w:szCs w:val="24"/>
                <w:lang w:val="en-US" w:eastAsia="zh-CN"/>
              </w:rPr>
              <w:t>（大件公路）</w:t>
            </w:r>
            <w:r>
              <w:rPr>
                <w:rFonts w:hint="eastAsia" w:ascii="Times New Roman" w:hAnsi="Times New Roman"/>
                <w:color w:val="auto"/>
                <w:sz w:val="24"/>
                <w:szCs w:val="24"/>
                <w:lang w:val="en-US" w:eastAsia="zh-CN"/>
              </w:rPr>
              <w:t>实现东西组团间相互联系，资源要素流通效率低</w:t>
            </w:r>
          </w:p>
        </w:tc>
      </w:tr>
    </w:tbl>
    <w:p>
      <w:pPr>
        <w:spacing w:line="600" w:lineRule="exact"/>
        <w:ind w:firstLine="640" w:firstLineChars="200"/>
        <w:rPr>
          <w:rFonts w:hint="eastAsia"/>
          <w:color w:val="auto"/>
          <w:lang w:val="en-US" w:eastAsia="zh-CN"/>
        </w:rPr>
      </w:pPr>
      <w:r>
        <w:rPr>
          <w:rFonts w:hint="eastAsia"/>
          <w:b w:val="0"/>
          <w:bCs w:val="0"/>
          <w:color w:val="auto"/>
          <w:lang w:val="en-US" w:eastAsia="zh-CN"/>
        </w:rPr>
        <w:t>综合考虑示范基地交通组织效率和开发建设空间协调性，暂定方案一为推荐示范基地陆路和水路运输承载用地范围，并与在建乐山机场共同形成水港、铁路港和航空港三港联动发展格局。在铁路专用线建成前，则由连燕铁路乐山港站承载铁路运输功能，实现三港联动发展。</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乐山示范基地占地面积与其他城市</w:t>
      </w:r>
      <w:r>
        <w:rPr>
          <w:rFonts w:hint="eastAsia" w:ascii="Times New Roman" w:hAnsi="Times New Roman" w:cs="Times New Roman"/>
          <w:color w:val="auto"/>
          <w:lang w:val="en-US" w:eastAsia="zh-CN"/>
        </w:rPr>
        <w:t>园区</w:t>
      </w:r>
      <w:r>
        <w:rPr>
          <w:rFonts w:hint="default" w:ascii="Times New Roman" w:hAnsi="Times New Roman" w:cs="Times New Roman"/>
          <w:color w:val="auto"/>
          <w:lang w:val="en-US" w:eastAsia="zh-CN"/>
        </w:rPr>
        <w:t>对比表</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9"/>
        <w:gridCol w:w="1309"/>
        <w:gridCol w:w="1416"/>
        <w:gridCol w:w="1331"/>
        <w:gridCol w:w="1643"/>
        <w:gridCol w:w="16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4"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城市</w:t>
            </w:r>
          </w:p>
        </w:tc>
        <w:tc>
          <w:tcPr>
            <w:tcW w:w="652"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乐山示范基地</w:t>
            </w:r>
          </w:p>
        </w:tc>
        <w:tc>
          <w:tcPr>
            <w:tcW w:w="705"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宜昌白洋港物流园</w:t>
            </w:r>
          </w:p>
        </w:tc>
        <w:tc>
          <w:tcPr>
            <w:tcW w:w="663"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南充现代物流园</w:t>
            </w:r>
          </w:p>
        </w:tc>
        <w:tc>
          <w:tcPr>
            <w:tcW w:w="818"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重庆果园港物流枢纽</w:t>
            </w:r>
          </w:p>
        </w:tc>
        <w:tc>
          <w:tcPr>
            <w:tcW w:w="835" w:type="pct"/>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扬州六圩港口物流园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4"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占地面积（平方公里）</w:t>
            </w:r>
          </w:p>
        </w:tc>
        <w:tc>
          <w:tcPr>
            <w:tcW w:w="652"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12</w:t>
            </w:r>
          </w:p>
        </w:tc>
        <w:tc>
          <w:tcPr>
            <w:tcW w:w="705"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3.5</w:t>
            </w:r>
          </w:p>
        </w:tc>
        <w:tc>
          <w:tcPr>
            <w:tcW w:w="66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12.2</w:t>
            </w:r>
          </w:p>
        </w:tc>
        <w:tc>
          <w:tcPr>
            <w:tcW w:w="818"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13.8</w:t>
            </w:r>
          </w:p>
        </w:tc>
        <w:tc>
          <w:tcPr>
            <w:tcW w:w="835"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10</w:t>
            </w:r>
          </w:p>
        </w:tc>
      </w:tr>
    </w:tbl>
    <w:p>
      <w:pPr>
        <w:pStyle w:val="4"/>
        <w:bidi w:val="0"/>
        <w:rPr>
          <w:rFonts w:hint="default" w:ascii="Times New Roman" w:hAnsi="Times New Roman" w:cs="Times New Roman"/>
          <w:color w:val="auto"/>
          <w:lang w:val="en-US" w:eastAsia="zh-CN"/>
        </w:rPr>
      </w:pPr>
      <w:bookmarkStart w:id="139" w:name="_Toc31241"/>
      <w:r>
        <w:rPr>
          <w:rFonts w:hint="default" w:ascii="Times New Roman" w:hAnsi="Times New Roman" w:cs="Times New Roman"/>
          <w:color w:val="auto"/>
          <w:lang w:val="en-US" w:eastAsia="zh-CN"/>
        </w:rPr>
        <w:t>功能布局</w:t>
      </w:r>
      <w:bookmarkEnd w:id="139"/>
    </w:p>
    <w:p>
      <w:pPr>
        <w:spacing w:line="600" w:lineRule="exact"/>
        <w:ind w:firstLine="640" w:firstLineChars="200"/>
        <w:rPr>
          <w:rFonts w:hint="default" w:ascii="Times New Roman" w:hAnsi="Times New Roman" w:cs="Times New Roman"/>
          <w:color w:val="auto"/>
          <w:sz w:val="32"/>
          <w:szCs w:val="32"/>
          <w:lang w:val="en-US" w:eastAsia="zh-CN"/>
        </w:rPr>
      </w:pPr>
      <w:r>
        <w:rPr>
          <w:rFonts w:hint="eastAsia"/>
          <w:color w:val="auto"/>
          <w:sz w:val="32"/>
          <w:szCs w:val="32"/>
          <w:lang w:val="en-US" w:eastAsia="zh-CN"/>
        </w:rPr>
        <w:t>围绕满足人民日益增长的美好生活需要、保障国家战略资源高效流通，结合全市重要生产企业调研掌握的物流发展需求，明确示范</w:t>
      </w:r>
      <w:r>
        <w:rPr>
          <w:rFonts w:hint="eastAsia" w:ascii="Times New Roman" w:hAnsi="Times New Roman"/>
          <w:color w:val="auto"/>
          <w:sz w:val="32"/>
          <w:szCs w:val="32"/>
          <w:lang w:val="en-US" w:eastAsia="zh-CN"/>
        </w:rPr>
        <w:t>基地采取</w:t>
      </w:r>
      <w:r>
        <w:rPr>
          <w:rFonts w:hint="default" w:ascii="Times New Roman" w:hAnsi="Times New Roman"/>
          <w:color w:val="auto"/>
          <w:sz w:val="32"/>
          <w:szCs w:val="32"/>
          <w:lang w:val="en-US" w:eastAsia="zh-CN"/>
        </w:rPr>
        <w:t>“物流基本功能连片、</w:t>
      </w:r>
      <w:r>
        <w:rPr>
          <w:rFonts w:hint="eastAsia"/>
          <w:color w:val="auto"/>
          <w:sz w:val="32"/>
          <w:szCs w:val="32"/>
          <w:lang w:val="en-US" w:eastAsia="zh-CN"/>
        </w:rPr>
        <w:t>远近开发</w:t>
      </w:r>
      <w:r>
        <w:rPr>
          <w:rFonts w:hint="default" w:ascii="Times New Roman" w:hAnsi="Times New Roman"/>
          <w:color w:val="auto"/>
          <w:sz w:val="32"/>
          <w:szCs w:val="32"/>
          <w:lang w:val="en-US" w:eastAsia="zh-CN"/>
        </w:rPr>
        <w:t>有机结合”的</w:t>
      </w:r>
      <w:r>
        <w:rPr>
          <w:rFonts w:hint="eastAsia" w:ascii="Times New Roman" w:hAnsi="Times New Roman"/>
          <w:color w:val="auto"/>
          <w:sz w:val="32"/>
          <w:szCs w:val="32"/>
          <w:lang w:val="en-US" w:eastAsia="zh-CN"/>
        </w:rPr>
        <w:t>功能布局</w:t>
      </w:r>
      <w:r>
        <w:rPr>
          <w:rFonts w:hint="default" w:ascii="Times New Roman" w:hAnsi="Times New Roman"/>
          <w:color w:val="auto"/>
          <w:sz w:val="32"/>
          <w:szCs w:val="32"/>
          <w:lang w:val="en-US" w:eastAsia="zh-CN"/>
        </w:rPr>
        <w:t>思路</w:t>
      </w:r>
      <w:r>
        <w:rPr>
          <w:rFonts w:hint="eastAsia" w:ascii="Times New Roman" w:hAnsi="Times New Roman"/>
          <w:color w:val="auto"/>
          <w:sz w:val="32"/>
          <w:szCs w:val="32"/>
          <w:lang w:val="en-US" w:eastAsia="zh-CN"/>
        </w:rPr>
        <w:t>，</w:t>
      </w:r>
      <w:r>
        <w:rPr>
          <w:rFonts w:hint="eastAsia"/>
          <w:color w:val="auto"/>
          <w:sz w:val="32"/>
          <w:szCs w:val="32"/>
          <w:lang w:val="en-US" w:eastAsia="zh-CN"/>
        </w:rPr>
        <w:t>结合即将建成投用的航</w:t>
      </w:r>
      <w:r>
        <w:rPr>
          <w:rFonts w:hint="eastAsia" w:ascii="Times New Roman" w:hAnsi="Times New Roman"/>
          <w:color w:val="auto"/>
          <w:sz w:val="32"/>
          <w:szCs w:val="32"/>
          <w:lang w:val="en-US" w:eastAsia="zh-CN"/>
        </w:rPr>
        <w:t>空机场，</w:t>
      </w:r>
      <w:r>
        <w:rPr>
          <w:rFonts w:hint="eastAsia"/>
          <w:color w:val="auto"/>
          <w:sz w:val="32"/>
          <w:szCs w:val="32"/>
          <w:lang w:val="en-US" w:eastAsia="zh-CN"/>
        </w:rPr>
        <w:t>规划形成4大功能组团，包</w:t>
      </w:r>
      <w:r>
        <w:rPr>
          <w:rFonts w:hint="eastAsia" w:ascii="仿宋_GB2312" w:hAnsi="仿宋_GB2312" w:eastAsia="仿宋_GB2312" w:cs="仿宋_GB2312"/>
          <w:b w:val="0"/>
          <w:bCs w:val="0"/>
          <w:color w:val="auto"/>
          <w:sz w:val="32"/>
          <w:szCs w:val="32"/>
          <w:lang w:val="en-US" w:eastAsia="zh-CN"/>
        </w:rPr>
        <w:t>括生产性物流功能组团、生活性物流功能组团、配套服务组团和产业发展预留组团。其中生产性物流功能组团重点满足晶硅光伏、绿色化工、新型建材、轻工纺织</w:t>
      </w:r>
      <w:r>
        <w:rPr>
          <w:rFonts w:hint="eastAsia"/>
          <w:color w:val="auto"/>
          <w:sz w:val="32"/>
          <w:szCs w:val="32"/>
          <w:lang w:val="en-US" w:eastAsia="zh-CN"/>
        </w:rPr>
        <w:t>等乐山优势产业物流需求，</w:t>
      </w:r>
      <w:r>
        <w:rPr>
          <w:rFonts w:hint="eastAsia" w:ascii="Times New Roman" w:hAnsi="Times New Roman"/>
          <w:color w:val="auto"/>
          <w:sz w:val="32"/>
          <w:szCs w:val="32"/>
          <w:lang w:val="en-US" w:eastAsia="zh-CN"/>
        </w:rPr>
        <w:t>生活性物流功能组团重点满足乐山及周边辐射城市食品、快递、医药等民生物资物流需求，配套服务组团</w:t>
      </w:r>
      <w:r>
        <w:rPr>
          <w:rFonts w:hint="eastAsia"/>
          <w:color w:val="auto"/>
          <w:sz w:val="32"/>
          <w:szCs w:val="32"/>
          <w:lang w:val="en-US" w:eastAsia="zh-CN"/>
        </w:rPr>
        <w:t>主要提供商务办公、商业餐饮、车辆维修检测等配套服务</w:t>
      </w:r>
      <w:r>
        <w:rPr>
          <w:rFonts w:hint="eastAsia" w:ascii="Times New Roman" w:hAnsi="Times New Roman"/>
          <w:color w:val="auto"/>
          <w:sz w:val="32"/>
          <w:szCs w:val="32"/>
          <w:lang w:val="en-US" w:eastAsia="zh-CN"/>
        </w:rPr>
        <w:t>，</w:t>
      </w:r>
      <w:r>
        <w:rPr>
          <w:rFonts w:hint="eastAsia"/>
          <w:color w:val="auto"/>
          <w:sz w:val="32"/>
          <w:szCs w:val="32"/>
          <w:lang w:val="en-US" w:eastAsia="zh-CN"/>
        </w:rPr>
        <w:t>产业发展预留组团主要预留未来临港产业发展用地。</w:t>
      </w:r>
    </w:p>
    <w:p>
      <w:pPr>
        <w:pStyle w:val="27"/>
        <w:bidi w:val="0"/>
        <w:rPr>
          <w:rFonts w:hint="default" w:ascii="Times New Roman" w:hAnsi="Times New Roman" w:cs="Times New Roman"/>
          <w:color w:val="auto"/>
        </w:rPr>
      </w:pPr>
      <w:r>
        <w:drawing>
          <wp:inline distT="0" distB="0" distL="114300" distR="114300">
            <wp:extent cx="5400040" cy="5475605"/>
            <wp:effectExtent l="0" t="0" r="10160" b="1079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60"/>
                    <a:srcRect b="13933"/>
                    <a:stretch>
                      <a:fillRect/>
                    </a:stretch>
                  </pic:blipFill>
                  <pic:spPr>
                    <a:xfrm>
                      <a:off x="0" y="0"/>
                      <a:ext cx="5400040" cy="5475605"/>
                    </a:xfrm>
                    <a:prstGeom prst="rect">
                      <a:avLst/>
                    </a:prstGeom>
                    <a:noFill/>
                    <a:ln>
                      <a:noFill/>
                    </a:ln>
                  </pic:spPr>
                </pic:pic>
              </a:graphicData>
            </a:graphic>
          </wp:inline>
        </w:drawing>
      </w:r>
    </w:p>
    <w:p>
      <w:pPr>
        <w:pStyle w:val="7"/>
        <w:bidi w:val="0"/>
        <w:rPr>
          <w:rFonts w:hint="default" w:ascii="Times New Roman" w:hAnsi="Times New Roman"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8</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示范基地功能区布局示意图</w:t>
      </w:r>
    </w:p>
    <w:p>
      <w:pPr>
        <w:spacing w:line="600" w:lineRule="exact"/>
        <w:ind w:firstLine="643" w:firstLineChars="200"/>
        <w:outlineLvl w:val="3"/>
        <w:rPr>
          <w:rFonts w:hint="default" w:ascii="Times New Roman" w:hAnsi="Times New Roman" w:cs="Times New Roman"/>
          <w:b/>
          <w:bCs/>
          <w:color w:val="auto"/>
          <w:sz w:val="32"/>
          <w:szCs w:val="32"/>
          <w:lang w:val="en-US" w:eastAsia="zh-CN"/>
        </w:rPr>
      </w:pPr>
      <w:r>
        <w:rPr>
          <w:rFonts w:hint="eastAsia" w:cs="Times New Roman"/>
          <w:b/>
          <w:bCs/>
          <w:color w:val="auto"/>
          <w:sz w:val="32"/>
          <w:szCs w:val="32"/>
          <w:lang w:val="en-US" w:eastAsia="zh-CN"/>
        </w:rPr>
        <w:t>1.</w:t>
      </w:r>
      <w:r>
        <w:rPr>
          <w:rFonts w:hint="eastAsia" w:ascii="Times New Roman" w:hAnsi="Times New Roman" w:cs="Times New Roman"/>
          <w:b/>
          <w:bCs/>
          <w:color w:val="auto"/>
          <w:sz w:val="32"/>
          <w:szCs w:val="32"/>
          <w:lang w:val="en-US" w:eastAsia="zh-CN"/>
        </w:rPr>
        <w:t>生产性物流功能组团</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Times New Roman" w:hAnsi="Times New Roman"/>
          <w:color w:val="auto"/>
          <w:sz w:val="32"/>
          <w:szCs w:val="32"/>
          <w:lang w:val="en-US" w:eastAsia="zh-CN"/>
        </w:rPr>
      </w:pPr>
      <w:r>
        <w:rPr>
          <w:rFonts w:hint="eastAsia"/>
          <w:color w:val="auto"/>
          <w:sz w:val="32"/>
          <w:szCs w:val="32"/>
          <w:lang w:val="en-US" w:eastAsia="zh-CN"/>
        </w:rPr>
        <w:t>生产性物流功能组团包括</w:t>
      </w:r>
      <w:r>
        <w:rPr>
          <w:rFonts w:hint="eastAsia" w:ascii="Times New Roman" w:hAnsi="Times New Roman"/>
          <w:color w:val="auto"/>
          <w:sz w:val="32"/>
          <w:szCs w:val="32"/>
          <w:lang w:val="en-US" w:eastAsia="zh-CN"/>
        </w:rPr>
        <w:t>港口物流功能区、铁路物流功能区、航空物流功能区、国际物流功能区、大宗商品物贸一体功能区、智慧公路物流功能区、粮食物流功能区</w:t>
      </w:r>
      <w:r>
        <w:rPr>
          <w:rFonts w:hint="eastAsia"/>
          <w:color w:val="auto"/>
          <w:sz w:val="32"/>
          <w:szCs w:val="32"/>
          <w:lang w:val="en-US" w:eastAsia="zh-CN"/>
        </w:rPr>
        <w:t>7</w:t>
      </w:r>
      <w:r>
        <w:rPr>
          <w:rFonts w:hint="eastAsia" w:ascii="Times New Roman" w:hAnsi="Times New Roman"/>
          <w:color w:val="auto"/>
          <w:sz w:val="32"/>
          <w:szCs w:val="32"/>
          <w:lang w:val="en-US" w:eastAsia="zh-CN"/>
        </w:rPr>
        <w:t>大片区</w:t>
      </w:r>
      <w:r>
        <w:rPr>
          <w:rFonts w:hint="eastAsia"/>
          <w:color w:val="auto"/>
          <w:sz w:val="32"/>
          <w:szCs w:val="32"/>
          <w:lang w:val="en-US" w:eastAsia="zh-CN"/>
        </w:rPr>
        <w:t>。</w:t>
      </w:r>
    </w:p>
    <w:p>
      <w:pPr>
        <w:pStyle w:val="7"/>
        <w:rPr>
          <w:rFonts w:hint="default" w:eastAsia="楷体"/>
          <w:lang w:val="en-US" w:eastAsia="zh-CN"/>
        </w:rPr>
      </w:pPr>
      <w:r>
        <w:t xml:space="preserve">表 </w:t>
      </w:r>
      <w:r>
        <w:fldChar w:fldCharType="begin"/>
      </w:r>
      <w:r>
        <w:instrText xml:space="preserve"> STYLEREF 1 \s </w:instrText>
      </w:r>
      <w:r>
        <w:fldChar w:fldCharType="separate"/>
      </w:r>
      <w:r>
        <w:t>6</w:t>
      </w:r>
      <w:r>
        <w:fldChar w:fldCharType="end"/>
      </w:r>
      <w:r>
        <w:rPr>
          <w:rFonts w:hint="eastAsia"/>
          <w:lang w:eastAsia="zh-CN"/>
        </w:rPr>
        <w:t>-</w:t>
      </w:r>
      <w:r>
        <w:fldChar w:fldCharType="begin"/>
      </w:r>
      <w:r>
        <w:instrText xml:space="preserve"> SEQ 表 \* ARABIC \s 1 </w:instrText>
      </w:r>
      <w:r>
        <w:fldChar w:fldCharType="separate"/>
      </w:r>
      <w:r>
        <w:t>3</w:t>
      </w:r>
      <w:r>
        <w:fldChar w:fldCharType="end"/>
      </w:r>
      <w:r>
        <w:rPr>
          <w:rFonts w:hint="eastAsia"/>
          <w:lang w:val="en-US" w:eastAsia="zh-CN"/>
        </w:rPr>
        <w:t xml:space="preserve"> 生产性物流功能组团构成明细表</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516"/>
        <w:gridCol w:w="3503"/>
        <w:gridCol w:w="3778"/>
        <w:gridCol w:w="12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0" w:hRule="atLeast"/>
        </w:trPr>
        <w:tc>
          <w:tcPr>
            <w:tcW w:w="755"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p>
        </w:tc>
        <w:tc>
          <w:tcPr>
            <w:tcW w:w="1744"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片区名称</w:t>
            </w:r>
          </w:p>
        </w:tc>
        <w:tc>
          <w:tcPr>
            <w:tcW w:w="1881"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净占地面积（亩）</w:t>
            </w:r>
          </w:p>
          <w:p>
            <w:pPr>
              <w:keepNext/>
              <w:keepLines w:val="0"/>
              <w:pageBreakBefore w:val="0"/>
              <w:widowControl w:val="0"/>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（不含配套城市道路用地）</w:t>
            </w:r>
          </w:p>
        </w:tc>
        <w:tc>
          <w:tcPr>
            <w:tcW w:w="618"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地块编号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0" w:hRule="atLeast"/>
        </w:trPr>
        <w:tc>
          <w:tcPr>
            <w:tcW w:w="755" w:type="pct"/>
            <w:vMerge w:val="restar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生产性物流功能组团</w:t>
            </w:r>
          </w:p>
        </w:tc>
        <w:tc>
          <w:tcPr>
            <w:tcW w:w="174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港口物流功能区</w:t>
            </w:r>
          </w:p>
        </w:tc>
        <w:tc>
          <w:tcPr>
            <w:tcW w:w="188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405</w:t>
            </w:r>
          </w:p>
        </w:tc>
        <w:tc>
          <w:tcPr>
            <w:tcW w:w="61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55"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p>
        </w:tc>
        <w:tc>
          <w:tcPr>
            <w:tcW w:w="174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铁路物流功能区</w:t>
            </w:r>
          </w:p>
        </w:tc>
        <w:tc>
          <w:tcPr>
            <w:tcW w:w="188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593</w:t>
            </w:r>
          </w:p>
        </w:tc>
        <w:tc>
          <w:tcPr>
            <w:tcW w:w="61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55"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p>
        </w:tc>
        <w:tc>
          <w:tcPr>
            <w:tcW w:w="174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国际物流功能区</w:t>
            </w:r>
          </w:p>
        </w:tc>
        <w:tc>
          <w:tcPr>
            <w:tcW w:w="188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410</w:t>
            </w:r>
          </w:p>
        </w:tc>
        <w:tc>
          <w:tcPr>
            <w:tcW w:w="61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55"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p>
        </w:tc>
        <w:tc>
          <w:tcPr>
            <w:tcW w:w="174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粮食物流功能区</w:t>
            </w:r>
          </w:p>
        </w:tc>
        <w:tc>
          <w:tcPr>
            <w:tcW w:w="188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237</w:t>
            </w:r>
          </w:p>
        </w:tc>
        <w:tc>
          <w:tcPr>
            <w:tcW w:w="61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55"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p>
        </w:tc>
        <w:tc>
          <w:tcPr>
            <w:tcW w:w="174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大宗商品物贸一体功能区</w:t>
            </w:r>
          </w:p>
        </w:tc>
        <w:tc>
          <w:tcPr>
            <w:tcW w:w="188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720</w:t>
            </w:r>
          </w:p>
        </w:tc>
        <w:tc>
          <w:tcPr>
            <w:tcW w:w="61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55"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p>
        </w:tc>
        <w:tc>
          <w:tcPr>
            <w:tcW w:w="174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智慧公路物流功能区</w:t>
            </w:r>
          </w:p>
        </w:tc>
        <w:tc>
          <w:tcPr>
            <w:tcW w:w="188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780</w:t>
            </w:r>
          </w:p>
        </w:tc>
        <w:tc>
          <w:tcPr>
            <w:tcW w:w="61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55"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p>
        </w:tc>
        <w:tc>
          <w:tcPr>
            <w:tcW w:w="174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航空物流功能区</w:t>
            </w:r>
          </w:p>
        </w:tc>
        <w:tc>
          <w:tcPr>
            <w:tcW w:w="188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华文宋体" w:hAnsi="华文宋体" w:eastAsia="华文宋体" w:cs="华文宋体"/>
                <w:color w:val="auto"/>
                <w:sz w:val="24"/>
                <w:szCs w:val="24"/>
                <w:lang w:val="en-US" w:eastAsia="zh-CN"/>
              </w:rPr>
              <w:t>——</w:t>
            </w:r>
          </w:p>
        </w:tc>
        <w:tc>
          <w:tcPr>
            <w:tcW w:w="61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7</w:t>
            </w:r>
          </w:p>
        </w:tc>
      </w:tr>
    </w:tbl>
    <w:p>
      <w:pPr>
        <w:pStyle w:val="27"/>
        <w:bidi w:val="0"/>
      </w:pPr>
      <w:r>
        <w:drawing>
          <wp:inline distT="0" distB="0" distL="114300" distR="114300">
            <wp:extent cx="5400040" cy="5491480"/>
            <wp:effectExtent l="0" t="0" r="10160" b="1397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61"/>
                    <a:srcRect t="5119" b="8545"/>
                    <a:stretch>
                      <a:fillRect/>
                    </a:stretch>
                  </pic:blipFill>
                  <pic:spPr>
                    <a:xfrm>
                      <a:off x="0" y="0"/>
                      <a:ext cx="5400040" cy="5491480"/>
                    </a:xfrm>
                    <a:prstGeom prst="rect">
                      <a:avLst/>
                    </a:prstGeom>
                    <a:noFill/>
                    <a:ln>
                      <a:noFill/>
                    </a:ln>
                  </pic:spPr>
                </pic:pic>
              </a:graphicData>
            </a:graphic>
          </wp:inline>
        </w:drawing>
      </w:r>
    </w:p>
    <w:p>
      <w:pPr>
        <w:pStyle w:val="7"/>
        <w:bidi w:val="0"/>
        <w:rPr>
          <w:rFonts w:hint="default" w:eastAsia="楷体"/>
          <w:lang w:val="en-US" w:eastAsia="zh-CN"/>
        </w:rPr>
      </w:pPr>
      <w:r>
        <w:t xml:space="preserve">图 </w:t>
      </w:r>
      <w:r>
        <w:fldChar w:fldCharType="begin"/>
      </w:r>
      <w:r>
        <w:instrText xml:space="preserve"> STYLEREF 1 \s </w:instrText>
      </w:r>
      <w:r>
        <w:fldChar w:fldCharType="separate"/>
      </w:r>
      <w:r>
        <w:t>6</w:t>
      </w:r>
      <w:r>
        <w:fldChar w:fldCharType="end"/>
      </w:r>
      <w:r>
        <w:rPr>
          <w:rFonts w:hint="eastAsia"/>
          <w:lang w:eastAsia="zh-CN"/>
        </w:rPr>
        <w:t>-</w:t>
      </w:r>
      <w:r>
        <w:fldChar w:fldCharType="begin"/>
      </w:r>
      <w:r>
        <w:instrText xml:space="preserve"> SEQ 图 \* ARABIC \s 1 </w:instrText>
      </w:r>
      <w:r>
        <w:fldChar w:fldCharType="separate"/>
      </w:r>
      <w:r>
        <w:t>9</w:t>
      </w:r>
      <w:r>
        <w:fldChar w:fldCharType="end"/>
      </w:r>
      <w:r>
        <w:rPr>
          <w:rFonts w:hint="eastAsia"/>
          <w:lang w:val="en-US" w:eastAsia="zh-CN"/>
        </w:rPr>
        <w:t xml:space="preserve"> 生产性物流功能组团片区布局图</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港口物流功能区。</w:t>
      </w:r>
      <w:r>
        <w:rPr>
          <w:rFonts w:hint="eastAsia" w:ascii="仿宋_GB2312" w:hAnsi="仿宋_GB2312" w:eastAsia="仿宋_GB2312" w:cs="仿宋_GB2312"/>
          <w:color w:val="auto"/>
          <w:sz w:val="32"/>
          <w:szCs w:val="32"/>
          <w:lang w:val="en-US" w:eastAsia="zh-CN"/>
        </w:rPr>
        <w:t>港口物流功能区占地面积约405亩，由乐山港老江坝作业区大件码头及后方仓储、转运设施承担，是示范基地的核心功能作业区。依据《乐山港总体规划（2023—2035年）》以及相关成果，大件码头规划布置1个1000吨级重大件泊位、3个1000吨级多用途泊</w:t>
      </w:r>
      <w:r>
        <w:rPr>
          <w:rFonts w:hint="eastAsia" w:ascii="仿宋_GB2312" w:hAnsi="仿宋_GB2312" w:eastAsia="仿宋_GB2312" w:cs="仿宋_GB2312"/>
          <w:color w:val="auto"/>
          <w:spacing w:val="-11"/>
          <w:sz w:val="32"/>
          <w:szCs w:val="32"/>
          <w:lang w:val="en-US" w:eastAsia="zh-CN"/>
        </w:rPr>
        <w:t>位、1个1000吨级通用泊位，占用岸线600米，通过能力重件15万吨/年、</w:t>
      </w:r>
      <w:r>
        <w:rPr>
          <w:rFonts w:hint="eastAsia" w:ascii="仿宋_GB2312" w:hAnsi="仿宋_GB2312" w:eastAsia="仿宋_GB2312" w:cs="仿宋_GB2312"/>
          <w:color w:val="auto"/>
          <w:sz w:val="32"/>
          <w:szCs w:val="32"/>
          <w:lang w:val="en-US" w:eastAsia="zh-CN"/>
        </w:rPr>
        <w:t>集装箱15万标箱/年、件杂货120万吨/年，重点满足成都平</w:t>
      </w:r>
      <w:r>
        <w:rPr>
          <w:rFonts w:hint="eastAsia" w:ascii="仿宋_GB2312" w:hAnsi="仿宋_GB2312" w:cs="仿宋_GB2312"/>
          <w:color w:val="auto"/>
          <w:sz w:val="32"/>
          <w:szCs w:val="32"/>
          <w:lang w:val="en-US" w:eastAsia="zh-CN"/>
        </w:rPr>
        <w:t>原</w:t>
      </w:r>
      <w:r>
        <w:rPr>
          <w:rFonts w:hint="eastAsia" w:ascii="仿宋_GB2312" w:hAnsi="仿宋_GB2312" w:eastAsia="仿宋_GB2312" w:cs="仿宋_GB2312"/>
          <w:color w:val="auto"/>
          <w:sz w:val="32"/>
          <w:szCs w:val="32"/>
          <w:lang w:val="en-US" w:eastAsia="zh-CN"/>
        </w:rPr>
        <w:t>经济区的重型装备、普通化工产品及原材料、矿建材料、集装箱等运输需求，兼顾玄武岩、煤炭等散货运输。</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cs="Times New Roman"/>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铁路物流功能区。</w:t>
      </w:r>
      <w:r>
        <w:rPr>
          <w:rFonts w:hint="eastAsia" w:ascii="仿宋_GB2312" w:hAnsi="仿宋_GB2312" w:eastAsia="仿宋_GB2312" w:cs="仿宋_GB2312"/>
          <w:color w:val="auto"/>
          <w:sz w:val="32"/>
          <w:szCs w:val="32"/>
          <w:lang w:val="en-US" w:eastAsia="zh-CN"/>
        </w:rPr>
        <w:t>铁</w:t>
      </w:r>
      <w:r>
        <w:rPr>
          <w:rFonts w:hint="default" w:ascii="Times New Roman" w:hAnsi="Times New Roman" w:cs="Times New Roman"/>
          <w:color w:val="auto"/>
          <w:sz w:val="32"/>
          <w:szCs w:val="32"/>
          <w:lang w:val="en-US" w:eastAsia="zh-CN"/>
        </w:rPr>
        <w:t>路物流功能区占地面积约</w:t>
      </w:r>
      <w:r>
        <w:rPr>
          <w:rFonts w:hint="eastAsia" w:cs="Times New Roman"/>
          <w:color w:val="auto"/>
          <w:sz w:val="32"/>
          <w:szCs w:val="32"/>
          <w:lang w:val="en-US" w:eastAsia="zh-CN"/>
        </w:rPr>
        <w:t>593</w:t>
      </w:r>
      <w:r>
        <w:rPr>
          <w:rFonts w:hint="default" w:ascii="Times New Roman" w:hAnsi="Times New Roman" w:cs="Times New Roman"/>
          <w:color w:val="auto"/>
          <w:sz w:val="32"/>
          <w:szCs w:val="32"/>
          <w:lang w:val="en-US" w:eastAsia="zh-CN"/>
        </w:rPr>
        <w:t>亩，位于港口物流功能区后方，规划建设</w:t>
      </w:r>
      <w:r>
        <w:rPr>
          <w:rFonts w:hint="default" w:ascii="Times New Roman" w:hAnsi="Times New Roman" w:cs="Times New Roman"/>
          <w:color w:val="auto"/>
          <w:szCs w:val="32"/>
          <w:lang w:val="en-US" w:eastAsia="zh-CN"/>
        </w:rPr>
        <w:t>集装箱作业区及堆场、件杂货堆场、散货堆场及仓库等铁路物流设施，为乐山及周边地区的机械电器、</w:t>
      </w:r>
      <w:r>
        <w:rPr>
          <w:rFonts w:hint="eastAsia" w:cs="Times New Roman"/>
          <w:color w:val="auto"/>
          <w:szCs w:val="32"/>
          <w:lang w:val="en-US" w:eastAsia="zh-CN"/>
        </w:rPr>
        <w:t>普通</w:t>
      </w:r>
      <w:r>
        <w:rPr>
          <w:rFonts w:hint="default" w:ascii="Times New Roman" w:hAnsi="Times New Roman" w:cs="Times New Roman"/>
          <w:color w:val="auto"/>
          <w:szCs w:val="32"/>
          <w:lang w:val="en-US" w:eastAsia="zh-CN"/>
        </w:rPr>
        <w:t>化工产品，以及煤炭、金属矿等原材料提供铁路仓储、转运、分拨运输</w:t>
      </w:r>
      <w:r>
        <w:rPr>
          <w:rFonts w:hint="eastAsia" w:cs="Times New Roman"/>
          <w:color w:val="auto"/>
          <w:szCs w:val="32"/>
          <w:lang w:val="en-US" w:eastAsia="zh-CN"/>
        </w:rPr>
        <w:t>服务</w:t>
      </w:r>
      <w:r>
        <w:rPr>
          <w:rFonts w:hint="default" w:ascii="Times New Roman" w:hAnsi="Times New Roman" w:cs="Times New Roman"/>
          <w:color w:val="auto"/>
          <w:szCs w:val="32"/>
          <w:lang w:val="en-US" w:eastAsia="zh-CN"/>
        </w:rPr>
        <w:t>，是示范基地开展铁水联运、公</w:t>
      </w:r>
      <w:r>
        <w:rPr>
          <w:rFonts w:hint="eastAsia" w:ascii="Times New Roman" w:hAnsi="Times New Roman" w:cs="Times New Roman"/>
          <w:color w:val="auto"/>
          <w:szCs w:val="32"/>
          <w:lang w:val="en-US" w:eastAsia="zh-CN"/>
        </w:rPr>
        <w:t>铁</w:t>
      </w:r>
      <w:r>
        <w:rPr>
          <w:rFonts w:hint="default" w:ascii="Times New Roman" w:hAnsi="Times New Roman" w:cs="Times New Roman"/>
          <w:color w:val="auto"/>
          <w:szCs w:val="32"/>
          <w:lang w:val="en-US" w:eastAsia="zh-CN"/>
        </w:rPr>
        <w:t>联运的重要承载功能区。</w:t>
      </w:r>
      <w:r>
        <w:rPr>
          <w:rFonts w:hint="eastAsia" w:cs="Times New Roman"/>
          <w:color w:val="auto"/>
          <w:szCs w:val="32"/>
          <w:lang w:val="en-US" w:eastAsia="zh-CN"/>
        </w:rPr>
        <w:t>在设施上，针对普通化工品、粮食等铁路主要运输物资，完善怕湿货物专用仓库等配套设施，打造分品类专业化设施群；积极对接铁路运输需求大的大型工业园区和重点企业，多方筹资加快铁路专用线建设，降低单一企业前期投入成本。在服务上，拓展简单加工、分拣、包装、贴签等增值服务，让铁路货运站成为客户的前置仓或分销中心；对于没有专用线的货主，在周边工业聚集区设立铁路无轨站，提供“一站式”受理、短驳运输组织、提还箱等服务。</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b w:val="0"/>
          <w:bCs w:val="0"/>
          <w:color w:val="auto"/>
          <w:sz w:val="32"/>
          <w:szCs w:val="32"/>
          <w:lang w:val="en-US" w:eastAsia="zh-CN"/>
        </w:rPr>
        <w:t>国际物流功能区。</w:t>
      </w:r>
      <w:r>
        <w:rPr>
          <w:rFonts w:hint="eastAsia" w:ascii="仿宋_GB2312" w:hAnsi="仿宋_GB2312" w:eastAsia="仿宋_GB2312" w:cs="仿宋_GB2312"/>
          <w:color w:val="auto"/>
          <w:sz w:val="32"/>
          <w:szCs w:val="32"/>
          <w:lang w:val="en-US" w:eastAsia="zh-CN"/>
        </w:rPr>
        <w:t>国际物流功能区包括口岸设施和保税功能设施两大类，累计占地面积约410亩。口岸设施规划建设铁路、</w:t>
      </w:r>
      <w:r>
        <w:rPr>
          <w:rFonts w:hint="eastAsia" w:ascii="仿宋_GB2312" w:hAnsi="仿宋_GB2312" w:eastAsia="仿宋_GB2312" w:cs="仿宋_GB2312"/>
          <w:color w:val="auto"/>
          <w:kern w:val="2"/>
          <w:sz w:val="32"/>
          <w:szCs w:val="32"/>
          <w:lang w:bidi="ar-SA"/>
        </w:rPr>
        <w:t>水路运输类海关监管作业场所</w:t>
      </w:r>
      <w:r>
        <w:rPr>
          <w:rFonts w:hint="eastAsia" w:ascii="仿宋_GB2312" w:hAnsi="仿宋_GB2312" w:eastAsia="仿宋_GB2312" w:cs="仿宋_GB2312"/>
          <w:color w:val="auto"/>
          <w:kern w:val="2"/>
          <w:sz w:val="32"/>
          <w:szCs w:val="32"/>
          <w:lang w:eastAsia="zh-CN" w:bidi="ar-SA"/>
        </w:rPr>
        <w:t>，</w:t>
      </w:r>
      <w:r>
        <w:rPr>
          <w:rFonts w:hint="eastAsia" w:ascii="仿宋_GB2312" w:hAnsi="仿宋_GB2312" w:eastAsia="仿宋_GB2312" w:cs="仿宋_GB2312"/>
          <w:color w:val="auto"/>
          <w:kern w:val="2"/>
          <w:sz w:val="32"/>
          <w:szCs w:val="32"/>
          <w:lang w:val="en-US" w:eastAsia="zh-CN" w:bidi="ar-SA"/>
        </w:rPr>
        <w:t>主要承担</w:t>
      </w:r>
      <w:r>
        <w:rPr>
          <w:rFonts w:hint="eastAsia" w:ascii="仿宋_GB2312" w:hAnsi="仿宋_GB2312" w:eastAsia="仿宋_GB2312" w:cs="仿宋_GB2312"/>
          <w:color w:val="auto"/>
          <w:sz w:val="32"/>
          <w:szCs w:val="32"/>
        </w:rPr>
        <w:t>进出境运输工具或者境内承运海关监管货物的运输工具进出、停靠</w:t>
      </w:r>
      <w:r>
        <w:rPr>
          <w:rFonts w:hint="eastAsia" w:ascii="仿宋_GB2312" w:hAnsi="仿宋_GB2312" w:eastAsia="仿宋_GB2312" w:cs="仿宋_GB2312"/>
          <w:color w:val="auto"/>
          <w:sz w:val="32"/>
          <w:szCs w:val="32"/>
          <w:lang w:val="en-US" w:eastAsia="zh-CN"/>
        </w:rPr>
        <w:t>功能</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为需要</w:t>
      </w:r>
      <w:r>
        <w:rPr>
          <w:rFonts w:hint="eastAsia" w:ascii="仿宋_GB2312" w:hAnsi="仿宋_GB2312" w:eastAsia="仿宋_GB2312" w:cs="仿宋_GB2312"/>
          <w:color w:val="auto"/>
          <w:sz w:val="32"/>
          <w:szCs w:val="32"/>
        </w:rPr>
        <w:t>海关监管</w:t>
      </w:r>
      <w:r>
        <w:rPr>
          <w:rFonts w:hint="eastAsia" w:ascii="仿宋_GB2312" w:hAnsi="仿宋_GB2312" w:eastAsia="仿宋_GB2312" w:cs="仿宋_GB2312"/>
          <w:color w:val="auto"/>
          <w:sz w:val="32"/>
          <w:szCs w:val="32"/>
          <w:lang w:val="en-US" w:eastAsia="zh-CN"/>
        </w:rPr>
        <w:t>的</w:t>
      </w:r>
      <w:r>
        <w:rPr>
          <w:rFonts w:hint="eastAsia" w:ascii="仿宋_GB2312" w:hAnsi="仿宋_GB2312" w:eastAsia="仿宋_GB2312" w:cs="仿宋_GB2312"/>
          <w:color w:val="auto"/>
          <w:sz w:val="32"/>
          <w:szCs w:val="32"/>
        </w:rPr>
        <w:t>货物</w:t>
      </w:r>
      <w:r>
        <w:rPr>
          <w:rFonts w:hint="eastAsia" w:ascii="仿宋_GB2312" w:hAnsi="仿宋_GB2312" w:eastAsia="仿宋_GB2312" w:cs="仿宋_GB2312"/>
          <w:color w:val="auto"/>
          <w:sz w:val="32"/>
          <w:szCs w:val="32"/>
          <w:lang w:val="en-US" w:eastAsia="zh-CN"/>
        </w:rPr>
        <w:t>提供</w:t>
      </w:r>
      <w:r>
        <w:rPr>
          <w:rFonts w:hint="eastAsia" w:ascii="仿宋_GB2312" w:hAnsi="仿宋_GB2312" w:eastAsia="仿宋_GB2312" w:cs="仿宋_GB2312"/>
          <w:color w:val="auto"/>
          <w:sz w:val="32"/>
          <w:szCs w:val="32"/>
        </w:rPr>
        <w:t>装卸、储存、集拼、暂时存放等</w:t>
      </w:r>
      <w:r>
        <w:rPr>
          <w:rFonts w:hint="eastAsia" w:ascii="仿宋_GB2312" w:hAnsi="仿宋_GB2312" w:eastAsia="仿宋_GB2312" w:cs="仿宋_GB2312"/>
          <w:color w:val="auto"/>
          <w:sz w:val="32"/>
          <w:szCs w:val="32"/>
          <w:lang w:val="en-US" w:eastAsia="zh-CN"/>
        </w:rPr>
        <w:t>服务</w:t>
      </w:r>
      <w:r>
        <w:rPr>
          <w:rFonts w:hint="eastAsia" w:ascii="仿宋_GB2312" w:hAnsi="仿宋_GB2312" w:eastAsia="仿宋_GB2312" w:cs="仿宋_GB2312"/>
          <w:color w:val="auto"/>
          <w:kern w:val="2"/>
          <w:sz w:val="32"/>
          <w:szCs w:val="32"/>
          <w:lang w:val="en-US" w:eastAsia="zh-CN" w:bidi="ar-SA"/>
        </w:rPr>
        <w:t>，同时具有</w:t>
      </w:r>
      <w:r>
        <w:rPr>
          <w:rFonts w:hint="eastAsia" w:ascii="仿宋_GB2312" w:hAnsi="仿宋_GB2312" w:eastAsia="仿宋_GB2312" w:cs="仿宋_GB2312"/>
          <w:color w:val="auto"/>
          <w:sz w:val="32"/>
          <w:szCs w:val="32"/>
          <w:lang w:val="en-US" w:eastAsia="zh-CN"/>
        </w:rPr>
        <w:t>报关、征税、稽查、统计等口岸职能，</w:t>
      </w:r>
      <w:r>
        <w:rPr>
          <w:rFonts w:hint="eastAsia" w:ascii="仿宋_GB2312" w:hAnsi="仿宋_GB2312" w:eastAsia="仿宋_GB2312" w:cs="仿宋_GB2312"/>
          <w:color w:val="auto"/>
          <w:kern w:val="2"/>
          <w:sz w:val="32"/>
          <w:szCs w:val="32"/>
          <w:lang w:val="en-US" w:eastAsia="zh-CN" w:bidi="ar-SA"/>
        </w:rPr>
        <w:t>实现进出口货物</w:t>
      </w:r>
      <w:r>
        <w:rPr>
          <w:rFonts w:hint="eastAsia" w:ascii="仿宋_GB2312" w:hAnsi="仿宋_GB2312" w:eastAsia="仿宋_GB2312" w:cs="仿宋_GB2312"/>
          <w:color w:val="auto"/>
          <w:sz w:val="32"/>
          <w:szCs w:val="32"/>
          <w:lang w:val="en-US" w:eastAsia="zh-CN"/>
        </w:rPr>
        <w:t>在乐山口岸</w:t>
      </w:r>
      <w:r>
        <w:rPr>
          <w:rFonts w:hint="eastAsia" w:ascii="仿宋_GB2312" w:hAnsi="仿宋_GB2312" w:eastAsia="仿宋_GB2312" w:cs="仿宋_GB2312"/>
          <w:color w:val="auto"/>
          <w:sz w:val="32"/>
          <w:szCs w:val="32"/>
        </w:rPr>
        <w:t>“一次申报、一次查验、一次放行”</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提高货物进出境效率。同时积极争取设置</w:t>
      </w:r>
      <w:r>
        <w:rPr>
          <w:rFonts w:hint="eastAsia" w:ascii="仿宋_GB2312" w:hAnsi="仿宋_GB2312" w:eastAsia="仿宋_GB2312" w:cs="仿宋_GB2312"/>
          <w:color w:val="auto"/>
          <w:sz w:val="32"/>
          <w:szCs w:val="32"/>
          <w:lang w:eastAsia="zh-CN"/>
        </w:rPr>
        <w:t>进境</w:t>
      </w:r>
      <w:r>
        <w:rPr>
          <w:rFonts w:hint="eastAsia" w:ascii="仿宋_GB2312" w:hAnsi="仿宋_GB2312" w:eastAsia="仿宋_GB2312" w:cs="仿宋_GB2312"/>
          <w:color w:val="auto"/>
          <w:sz w:val="32"/>
          <w:szCs w:val="32"/>
        </w:rPr>
        <w:t>冰鲜水产品</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肉类、粮食等</w:t>
      </w:r>
      <w:r>
        <w:rPr>
          <w:rFonts w:hint="eastAsia" w:ascii="仿宋_GB2312" w:hAnsi="仿宋_GB2312" w:eastAsia="仿宋_GB2312" w:cs="仿宋_GB2312"/>
          <w:color w:val="auto"/>
          <w:sz w:val="32"/>
          <w:szCs w:val="32"/>
        </w:rPr>
        <w:t>指定监管场地</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实现</w:t>
      </w:r>
      <w:r>
        <w:rPr>
          <w:rFonts w:hint="eastAsia" w:ascii="仿宋_GB2312" w:hAnsi="仿宋_GB2312" w:eastAsia="仿宋_GB2312" w:cs="仿宋_GB2312"/>
          <w:color w:val="auto"/>
          <w:sz w:val="32"/>
          <w:szCs w:val="32"/>
        </w:rPr>
        <w:t>对特定进境高风险动植物及其产品实施查验、检验、检疫</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提高乐山口岸经济竞争力。</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保税设施按照近远期分步推进建设。近期，先行在老江坝大件码头作业区建设公用型保税仓库，满足基本保税仓储需求，并结合前期保税仓库建设运营情况，依托国际物流功能区推进乐山保税物流中心（B型）建设，完善保税货物仓储、转运、简单加工、配送、展示交易等功能，为开展跨境电商保税备货、信息处理、跨境商品展示、国际中转、国际分拨配送等业务提供支撑，重点衔接港口物流功能区。远景升级打造综合保税区，拓展保税加工功能，支持本地企业延伸产业链条，入区开展电子信息、高端装备等加工制造业务。</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cs="Times New Roman"/>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粮食物流功能区。</w:t>
      </w:r>
      <w:r>
        <w:rPr>
          <w:rFonts w:hint="eastAsia" w:ascii="仿宋_GB2312" w:hAnsi="仿宋_GB2312" w:eastAsia="仿宋_GB2312" w:cs="仿宋_GB2312"/>
          <w:color w:val="auto"/>
          <w:szCs w:val="32"/>
          <w:lang w:val="en-US" w:eastAsia="zh-CN"/>
        </w:rPr>
        <w:t>202</w:t>
      </w:r>
      <w:r>
        <w:rPr>
          <w:rFonts w:hint="eastAsia" w:ascii="Times New Roman" w:hAnsi="Times New Roman" w:cs="Times New Roman"/>
          <w:color w:val="auto"/>
          <w:szCs w:val="32"/>
          <w:lang w:val="en-US" w:eastAsia="zh-CN"/>
        </w:rPr>
        <w:t>3年《国务院关于确保国家粮食安全工作情况的报告》明确提出“在重要枢纽节点布局建设一批集粮食仓储、物流、加工、交易等功能于一体的粮食物流园区，辐射带动和调拨集散能力明显提升。”</w:t>
      </w:r>
      <w:r>
        <w:rPr>
          <w:rFonts w:hint="eastAsia" w:cs="Times New Roman"/>
          <w:color w:val="auto"/>
          <w:szCs w:val="32"/>
          <w:lang w:val="en-US" w:eastAsia="zh-CN"/>
        </w:rPr>
        <w:t>乐山作为全省重要的区域交通物流枢纽，有必要建设粮食物流设施，作为成都、泸州两个国家</w:t>
      </w:r>
      <w:r>
        <w:rPr>
          <w:rFonts w:hint="eastAsia" w:ascii="Times New Roman" w:hAnsi="Times New Roman" w:cs="Times New Roman"/>
          <w:color w:val="auto"/>
          <w:sz w:val="32"/>
          <w:szCs w:val="32"/>
          <w:lang w:val="en-US" w:eastAsia="zh-CN"/>
        </w:rPr>
        <w:t>粮食物流核心枢纽</w:t>
      </w:r>
      <w:r>
        <w:rPr>
          <w:rFonts w:hint="eastAsia" w:cs="Times New Roman"/>
          <w:color w:val="auto"/>
          <w:sz w:val="32"/>
          <w:szCs w:val="32"/>
          <w:lang w:val="en-US" w:eastAsia="zh-CN"/>
        </w:rPr>
        <w:t>的重要</w:t>
      </w:r>
      <w:r>
        <w:rPr>
          <w:rFonts w:hint="eastAsia" w:cs="Times New Roman"/>
          <w:color w:val="auto"/>
          <w:szCs w:val="32"/>
          <w:lang w:val="en-US" w:eastAsia="zh-CN"/>
        </w:rPr>
        <w:t>补充。</w:t>
      </w:r>
      <w:r>
        <w:rPr>
          <w:rFonts w:hint="eastAsia" w:ascii="Times New Roman" w:hAnsi="Times New Roman" w:cs="Times New Roman"/>
          <w:color w:val="auto"/>
          <w:sz w:val="32"/>
          <w:szCs w:val="32"/>
          <w:lang w:val="en-US" w:eastAsia="zh-CN"/>
        </w:rPr>
        <w:t>未来，示范基地内的粮食物流功能区与</w:t>
      </w:r>
      <w:r>
        <w:rPr>
          <w:rFonts w:hint="eastAsia" w:cs="Times New Roman"/>
          <w:color w:val="auto"/>
          <w:sz w:val="32"/>
          <w:szCs w:val="32"/>
          <w:lang w:val="en-US" w:eastAsia="zh-CN"/>
        </w:rPr>
        <w:t>成都、</w:t>
      </w:r>
      <w:r>
        <w:rPr>
          <w:rFonts w:hint="eastAsia" w:ascii="Times New Roman" w:hAnsi="Times New Roman" w:cs="Times New Roman"/>
          <w:color w:val="auto"/>
          <w:sz w:val="32"/>
          <w:szCs w:val="32"/>
          <w:lang w:val="en-US" w:eastAsia="zh-CN"/>
        </w:rPr>
        <w:t>泸州国际粮食物流产业园等坚持差异化发展原则，</w:t>
      </w:r>
      <w:r>
        <w:rPr>
          <w:rFonts w:hint="eastAsia" w:cs="Times New Roman"/>
          <w:color w:val="auto"/>
          <w:sz w:val="32"/>
          <w:szCs w:val="32"/>
          <w:lang w:val="en-US" w:eastAsia="zh-CN"/>
        </w:rPr>
        <w:t>参考南充现代物流园粮食物流中心的发展模式，</w:t>
      </w:r>
      <w:r>
        <w:rPr>
          <w:rFonts w:hint="eastAsia" w:ascii="Times New Roman" w:hAnsi="Times New Roman" w:cs="Times New Roman"/>
          <w:color w:val="auto"/>
          <w:sz w:val="32"/>
          <w:szCs w:val="32"/>
          <w:lang w:val="en-US" w:eastAsia="zh-CN"/>
        </w:rPr>
        <w:t>以区域性粮食集散中心为定位，聚焦服务成都平原西南部、攀西和川西北等地区，积极发展省级政策性粮食储备、</w:t>
      </w:r>
      <w:r>
        <w:rPr>
          <w:rFonts w:hint="eastAsia" w:cs="Times New Roman"/>
          <w:color w:val="auto"/>
          <w:sz w:val="32"/>
          <w:szCs w:val="32"/>
          <w:lang w:val="en-US" w:eastAsia="zh-CN"/>
        </w:rPr>
        <w:t>粮食加工产业物流</w:t>
      </w:r>
      <w:r>
        <w:rPr>
          <w:rFonts w:hint="eastAsia" w:ascii="Times New Roman" w:hAnsi="Times New Roman" w:cs="Times New Roman"/>
          <w:color w:val="auto"/>
          <w:sz w:val="32"/>
          <w:szCs w:val="32"/>
          <w:lang w:val="en-US" w:eastAsia="zh-CN"/>
        </w:rPr>
        <w:t>、区域粮食集散等业务，打造四川粮食物流关键节点。</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cs="Times New Roman"/>
          <w:color w:val="auto"/>
          <w:sz w:val="32"/>
          <w:szCs w:val="32"/>
          <w:lang w:val="en-US" w:eastAsia="zh-CN"/>
        </w:rPr>
      </w:pPr>
      <w:r>
        <w:rPr>
          <w:rFonts w:hint="default" w:ascii="Times New Roman" w:hAnsi="Times New Roman" w:cs="Times New Roman"/>
          <w:color w:val="auto"/>
          <w:sz w:val="32"/>
          <w:szCs w:val="32"/>
          <w:lang w:val="en-US" w:eastAsia="zh-CN"/>
        </w:rPr>
        <w:t>粮食物流功能区占地面积约</w:t>
      </w:r>
      <w:r>
        <w:rPr>
          <w:rFonts w:hint="eastAsia" w:cs="Times New Roman"/>
          <w:color w:val="auto"/>
          <w:sz w:val="32"/>
          <w:szCs w:val="32"/>
          <w:lang w:val="en-US" w:eastAsia="zh-CN"/>
        </w:rPr>
        <w:t>237</w:t>
      </w:r>
      <w:r>
        <w:rPr>
          <w:rFonts w:hint="default" w:ascii="Times New Roman" w:hAnsi="Times New Roman" w:cs="Times New Roman"/>
          <w:color w:val="auto"/>
          <w:sz w:val="32"/>
          <w:szCs w:val="32"/>
          <w:lang w:val="en-US" w:eastAsia="zh-CN"/>
        </w:rPr>
        <w:t>亩，规划建设现代化粮食、食用油等仓库，为全省粮食、食用油提供规模化仓储（含低温仓）、机械化装卸、烘干整理、质量检测、散粮集装箱中转、加工企业直供配送等服务，打造集储备、加工、交易于一体的大型粮油基地，对外衔接长江中下游粮食主销区及成渝消费市场，对内覆盖县域粮食加工企业、应急供应网点及偏远乡镇粮站。</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大宗商品物贸一体功能区。</w:t>
      </w:r>
      <w:r>
        <w:rPr>
          <w:rFonts w:hint="eastAsia" w:ascii="仿宋_GB2312" w:hAnsi="仿宋_GB2312" w:eastAsia="仿宋_GB2312" w:cs="仿宋_GB2312"/>
          <w:color w:val="auto"/>
          <w:sz w:val="32"/>
          <w:szCs w:val="32"/>
          <w:lang w:val="en-US" w:eastAsia="zh-CN"/>
        </w:rPr>
        <w:t>大宗商品物贸一体功能区占地面积约720亩，规划建设针对钢材产品、陶瓷产品、水泥产品、普通化工产品的专业化仓储设施，如防潮水泥库、重型钢材库、防碎陶瓷库等高标准仓库，同步建设大宗生产资料交易办公设施，重点为大型制造业企业生产的钒钛钢、不锈钢、新型干法水泥、陶瓷、装配式建筑等产品提供仓储展示、线下交易、分拨运输等服务，配套全流程质量监控与电子追溯系统、集装箱堆场标准化管理。同时，积极争取在功能区内设立大宗商品期货交割库，提升乐山在全国大宗商品交易市场的话语权，吸引期货产品相关上下游企业在乐山聚集，形成产业集群效应。该功能区重点衔接港口物流功能区、铁路物流功能区，强化大宗物资公铁、公水多式联运能力。</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智慧公路物流功能区。</w:t>
      </w:r>
      <w:r>
        <w:rPr>
          <w:rFonts w:hint="eastAsia" w:ascii="仿宋_GB2312" w:hAnsi="仿宋_GB2312" w:eastAsia="仿宋_GB2312" w:cs="仿宋_GB2312"/>
          <w:color w:val="auto"/>
          <w:sz w:val="32"/>
          <w:szCs w:val="32"/>
          <w:lang w:val="en-US" w:eastAsia="zh-CN"/>
        </w:rPr>
        <w:t>智慧公路物流功能区占地面积约780亩，规划建设公路运输标准仓库和共同配送设施，主要包括国内分拨配送中心、城际分拨配送中心、城市共同配送中心等，提供集装箱货物堆存、保管调度、交接共享、清洗维护、掏拼箱，以及商品公共仓储，城市城际共同配送、车辆配载等服务，重点为造纸及纸制品、纺纱面料等市内轻工纺织产品，茶、酒水饮料等市内食品饮料产品，以及晶硅光伏、电子元件等先进材料承担城际、市域内物资配送功能，着力构建对外面向成渝地区双城经济圈、对内面向市域城乡的区域分拨网络。</w:t>
      </w:r>
    </w:p>
    <w:p>
      <w:pPr>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仿宋_GB2312" w:cs="Times New Roman"/>
          <w:color w:val="auto"/>
          <w:kern w:val="2"/>
          <w:sz w:val="32"/>
          <w:szCs w:val="32"/>
          <w:lang w:val="en-US" w:eastAsia="zh-CN" w:bidi="ar-SA"/>
        </w:rPr>
      </w:pPr>
      <w:r>
        <w:rPr>
          <w:rFonts w:hint="eastAsia" w:ascii="仿宋_GB2312" w:hAnsi="仿宋_GB2312" w:eastAsia="仿宋_GB2312" w:cs="仿宋_GB2312"/>
          <w:b w:val="0"/>
          <w:bCs w:val="0"/>
          <w:color w:val="auto"/>
          <w:sz w:val="32"/>
          <w:szCs w:val="32"/>
          <w:lang w:val="en-US" w:eastAsia="zh-CN"/>
        </w:rPr>
        <w:t>航空物流功能区。</w:t>
      </w:r>
      <w:r>
        <w:rPr>
          <w:rFonts w:hint="eastAsia" w:ascii="仿宋_GB2312" w:hAnsi="仿宋_GB2312" w:eastAsia="仿宋_GB2312" w:cs="仿宋_GB2312"/>
          <w:color w:val="auto"/>
          <w:kern w:val="2"/>
          <w:sz w:val="32"/>
          <w:szCs w:val="32"/>
          <w:lang w:val="en-US" w:eastAsia="zh-CN" w:bidi="ar-SA"/>
        </w:rPr>
        <w:t>航</w:t>
      </w:r>
      <w:r>
        <w:rPr>
          <w:rFonts w:hint="eastAsia" w:ascii="Times New Roman" w:hAnsi="Times New Roman" w:eastAsia="仿宋_GB2312" w:cs="Times New Roman"/>
          <w:color w:val="auto"/>
          <w:kern w:val="2"/>
          <w:sz w:val="32"/>
          <w:szCs w:val="32"/>
          <w:lang w:val="en-US" w:eastAsia="zh-CN" w:bidi="ar-SA"/>
        </w:rPr>
        <w:t>空物流功能区包含在建的乐山机场航空货运站，以及配套的仓库、堆场等设施，辐射周边的雅安、凉山、自贡、眉山等城市，积极发展腹舱带货、航空货运专线、低空物流等服务，该功能区重点衔接电商快递物流功能区，实现航空物流和公路</w:t>
      </w:r>
      <w:r>
        <w:rPr>
          <w:rFonts w:hint="eastAsia" w:cs="Times New Roman"/>
          <w:color w:val="auto"/>
          <w:kern w:val="2"/>
          <w:sz w:val="32"/>
          <w:szCs w:val="32"/>
          <w:lang w:val="en-US" w:eastAsia="zh-CN" w:bidi="ar-SA"/>
        </w:rPr>
        <w:t>物流</w:t>
      </w:r>
      <w:r>
        <w:rPr>
          <w:rFonts w:hint="eastAsia" w:ascii="Times New Roman" w:hAnsi="Times New Roman" w:eastAsia="仿宋_GB2312" w:cs="Times New Roman"/>
          <w:color w:val="auto"/>
          <w:kern w:val="2"/>
          <w:sz w:val="32"/>
          <w:szCs w:val="32"/>
          <w:lang w:val="en-US" w:eastAsia="zh-CN" w:bidi="ar-SA"/>
        </w:rPr>
        <w:t>无缝衔接</w:t>
      </w:r>
      <w:r>
        <w:rPr>
          <w:rFonts w:hint="default" w:ascii="Times New Roman" w:hAnsi="Times New Roman" w:eastAsia="仿宋_GB2312" w:cs="Times New Roman"/>
          <w:color w:val="auto"/>
          <w:kern w:val="2"/>
          <w:sz w:val="32"/>
          <w:szCs w:val="32"/>
          <w:lang w:val="en-US" w:eastAsia="zh-CN" w:bidi="ar-SA"/>
        </w:rPr>
        <w:t>。</w:t>
      </w:r>
    </w:p>
    <w:p>
      <w:pPr>
        <w:spacing w:line="600" w:lineRule="exact"/>
        <w:ind w:firstLine="643" w:firstLineChars="200"/>
        <w:outlineLvl w:val="3"/>
        <w:rPr>
          <w:rFonts w:hint="default" w:ascii="Times New Roman" w:hAnsi="Times New Roman" w:cs="Times New Roman"/>
          <w:b/>
          <w:bCs/>
          <w:color w:val="auto"/>
          <w:sz w:val="32"/>
          <w:szCs w:val="32"/>
          <w:lang w:val="en-US" w:eastAsia="zh-CN"/>
        </w:rPr>
      </w:pPr>
      <w:r>
        <w:rPr>
          <w:rFonts w:hint="eastAsia" w:cs="Times New Roman"/>
          <w:b/>
          <w:bCs/>
          <w:color w:val="auto"/>
          <w:sz w:val="32"/>
          <w:szCs w:val="32"/>
          <w:lang w:val="en-US" w:eastAsia="zh-CN"/>
        </w:rPr>
        <w:t>2.生活性物流功能组团</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color w:val="auto"/>
          <w:sz w:val="32"/>
          <w:szCs w:val="32"/>
          <w:lang w:val="en-US" w:eastAsia="zh-CN"/>
        </w:rPr>
      </w:pPr>
      <w:r>
        <w:rPr>
          <w:rFonts w:hint="eastAsia" w:ascii="Times New Roman" w:hAnsi="Times New Roman"/>
          <w:color w:val="auto"/>
          <w:sz w:val="32"/>
          <w:szCs w:val="32"/>
          <w:lang w:val="en-US" w:eastAsia="zh-CN"/>
        </w:rPr>
        <w:t>生活性物流功能组团包括冷链物流功能区、医药及应急物流功能区、电商快递物流功能区3大片区</w:t>
      </w:r>
      <w:r>
        <w:rPr>
          <w:rFonts w:hint="eastAsia"/>
          <w:color w:val="auto"/>
          <w:sz w:val="32"/>
          <w:szCs w:val="32"/>
          <w:lang w:val="en-US" w:eastAsia="zh-CN"/>
        </w:rPr>
        <w:t>。</w:t>
      </w:r>
    </w:p>
    <w:p>
      <w:pPr>
        <w:pStyle w:val="7"/>
        <w:rPr>
          <w:rFonts w:hint="eastAsia" w:eastAsia="楷体"/>
          <w:lang w:val="en-US" w:eastAsia="zh-CN"/>
        </w:rPr>
      </w:pPr>
      <w:r>
        <w:t xml:space="preserve">表 </w:t>
      </w:r>
      <w:r>
        <w:fldChar w:fldCharType="begin"/>
      </w:r>
      <w:r>
        <w:instrText xml:space="preserve"> STYLEREF 1 \s </w:instrText>
      </w:r>
      <w:r>
        <w:fldChar w:fldCharType="separate"/>
      </w:r>
      <w:r>
        <w:t>6</w:t>
      </w:r>
      <w:r>
        <w:fldChar w:fldCharType="end"/>
      </w:r>
      <w:r>
        <w:rPr>
          <w:rFonts w:hint="eastAsia"/>
          <w:lang w:eastAsia="zh-CN"/>
        </w:rPr>
        <w:t>-</w:t>
      </w:r>
      <w:r>
        <w:fldChar w:fldCharType="begin"/>
      </w:r>
      <w:r>
        <w:instrText xml:space="preserve"> SEQ 表 \* ARABIC \s 1 </w:instrText>
      </w:r>
      <w:r>
        <w:fldChar w:fldCharType="separate"/>
      </w:r>
      <w:r>
        <w:t>4</w:t>
      </w:r>
      <w:r>
        <w:fldChar w:fldCharType="end"/>
      </w:r>
      <w:r>
        <w:rPr>
          <w:rFonts w:hint="eastAsia"/>
          <w:lang w:val="en-US" w:eastAsia="zh-CN"/>
        </w:rPr>
        <w:t xml:space="preserve"> 生活性物流功能组团构成明细表</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633"/>
        <w:gridCol w:w="3312"/>
        <w:gridCol w:w="3820"/>
        <w:gridCol w:w="1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83" w:hRule="atLeast"/>
        </w:trPr>
        <w:tc>
          <w:tcPr>
            <w:tcW w:w="813"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p>
        </w:tc>
        <w:tc>
          <w:tcPr>
            <w:tcW w:w="1649"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片区名称</w:t>
            </w:r>
          </w:p>
        </w:tc>
        <w:tc>
          <w:tcPr>
            <w:tcW w:w="1902"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净占地面积（亩）</w:t>
            </w:r>
          </w:p>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（不含配套城市道路用地）</w:t>
            </w:r>
          </w:p>
        </w:tc>
        <w:tc>
          <w:tcPr>
            <w:tcW w:w="634"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地块编号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0" w:hRule="atLeast"/>
        </w:trPr>
        <w:tc>
          <w:tcPr>
            <w:tcW w:w="813" w:type="pct"/>
            <w:vMerge w:val="restar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生活性物流功能组团</w:t>
            </w:r>
          </w:p>
        </w:tc>
        <w:tc>
          <w:tcPr>
            <w:tcW w:w="1649"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医药及应急物流功能区</w:t>
            </w:r>
          </w:p>
        </w:tc>
        <w:tc>
          <w:tcPr>
            <w:tcW w:w="1902"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474</w:t>
            </w:r>
          </w:p>
        </w:tc>
        <w:tc>
          <w:tcPr>
            <w:tcW w:w="63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813"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p>
        </w:tc>
        <w:tc>
          <w:tcPr>
            <w:tcW w:w="1649"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冷链物流功能区</w:t>
            </w:r>
          </w:p>
        </w:tc>
        <w:tc>
          <w:tcPr>
            <w:tcW w:w="1902"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685</w:t>
            </w:r>
          </w:p>
        </w:tc>
        <w:tc>
          <w:tcPr>
            <w:tcW w:w="63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813"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p>
        </w:tc>
        <w:tc>
          <w:tcPr>
            <w:tcW w:w="1649"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电商快递物流功能区</w:t>
            </w:r>
          </w:p>
        </w:tc>
        <w:tc>
          <w:tcPr>
            <w:tcW w:w="1902"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749</w:t>
            </w:r>
          </w:p>
        </w:tc>
        <w:tc>
          <w:tcPr>
            <w:tcW w:w="634"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3</w:t>
            </w:r>
          </w:p>
        </w:tc>
      </w:tr>
    </w:tbl>
    <w:p>
      <w:pPr>
        <w:pStyle w:val="27"/>
        <w:bidi w:val="0"/>
      </w:pPr>
      <w:r>
        <w:drawing>
          <wp:inline distT="0" distB="0" distL="114300" distR="114300">
            <wp:extent cx="5400040" cy="5599430"/>
            <wp:effectExtent l="0" t="0" r="0" b="0"/>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62"/>
                    <a:srcRect t="2865" b="9105"/>
                    <a:stretch>
                      <a:fillRect/>
                    </a:stretch>
                  </pic:blipFill>
                  <pic:spPr>
                    <a:xfrm>
                      <a:off x="0" y="0"/>
                      <a:ext cx="5400040" cy="5599430"/>
                    </a:xfrm>
                    <a:prstGeom prst="rect">
                      <a:avLst/>
                    </a:prstGeom>
                    <a:noFill/>
                    <a:ln>
                      <a:noFill/>
                    </a:ln>
                  </pic:spPr>
                </pic:pic>
              </a:graphicData>
            </a:graphic>
          </wp:inline>
        </w:drawing>
      </w:r>
    </w:p>
    <w:p>
      <w:pPr>
        <w:pStyle w:val="7"/>
        <w:bidi w:val="0"/>
        <w:rPr>
          <w:rFonts w:hint="eastAsia" w:eastAsia="楷体"/>
          <w:lang w:val="en-US" w:eastAsia="zh-CN"/>
        </w:rPr>
      </w:pPr>
      <w:r>
        <w:t xml:space="preserve">图 </w:t>
      </w:r>
      <w:r>
        <w:fldChar w:fldCharType="begin"/>
      </w:r>
      <w:r>
        <w:instrText xml:space="preserve"> STYLEREF 1 \s </w:instrText>
      </w:r>
      <w:r>
        <w:fldChar w:fldCharType="separate"/>
      </w:r>
      <w:r>
        <w:t>6</w:t>
      </w:r>
      <w:r>
        <w:fldChar w:fldCharType="end"/>
      </w:r>
      <w:r>
        <w:rPr>
          <w:rFonts w:hint="eastAsia"/>
          <w:lang w:eastAsia="zh-CN"/>
        </w:rPr>
        <w:t>-</w:t>
      </w:r>
      <w:r>
        <w:fldChar w:fldCharType="begin"/>
      </w:r>
      <w:r>
        <w:instrText xml:space="preserve"> SEQ 图 \* ARABIC \s 1 </w:instrText>
      </w:r>
      <w:r>
        <w:fldChar w:fldCharType="separate"/>
      </w:r>
      <w:r>
        <w:t>10</w:t>
      </w:r>
      <w:r>
        <w:fldChar w:fldCharType="end"/>
      </w:r>
      <w:r>
        <w:rPr>
          <w:rFonts w:hint="eastAsia"/>
          <w:lang w:val="en-US" w:eastAsia="zh-CN"/>
        </w:rPr>
        <w:t xml:space="preserve"> 生活性物流功能组团片区布局图</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cs="Times New Roman"/>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医药和应急物流功能区。医药和应急物流功能区占地面积约474亩，规划建设医药专业仓储中心（含恒</w:t>
      </w:r>
      <w:r>
        <w:rPr>
          <w:rFonts w:hint="eastAsia" w:ascii="Times New Roman" w:hAnsi="Times New Roman" w:cs="Times New Roman"/>
          <w:b w:val="0"/>
          <w:bCs w:val="0"/>
          <w:color w:val="auto"/>
          <w:sz w:val="32"/>
          <w:szCs w:val="32"/>
          <w:lang w:val="en-US" w:eastAsia="zh-CN"/>
        </w:rPr>
        <w:t>温、冷藏、冷冻及特殊药品库）、医药及应急物资分拨中心、医药物流加工处理区（如贴标、分包）、应急物资战略储备中心及专用配送集散区等功能设施。该功能区将紧密联动成渝区域内的医药产业园区及其他应急物资储备库，构建覆盖乐山全市、辐射周边地区的医药产品与应急物资保障网络，确保关键医药供应链的安全稳定与应急物资的精准快速投送，显著提升区域公共卫生应急保障能力和医药流通现代化水平。</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cs="Times New Roman"/>
          <w:b w:val="0"/>
          <w:bCs w:val="0"/>
          <w:color w:val="auto"/>
          <w:sz w:val="32"/>
          <w:szCs w:val="32"/>
          <w:lang w:eastAsia="zh-CN" w:bidi="ar"/>
        </w:rPr>
      </w:pPr>
      <w:r>
        <w:rPr>
          <w:rFonts w:hint="eastAsia" w:ascii="仿宋_GB2312" w:hAnsi="仿宋_GB2312" w:eastAsia="仿宋_GB2312" w:cs="仿宋_GB2312"/>
          <w:b w:val="0"/>
          <w:bCs w:val="0"/>
          <w:color w:val="auto"/>
          <w:sz w:val="32"/>
          <w:szCs w:val="32"/>
          <w:lang w:val="en-US" w:eastAsia="zh-CN"/>
        </w:rPr>
        <w:t>冷链</w:t>
      </w:r>
      <w:r>
        <w:rPr>
          <w:rFonts w:hint="default" w:ascii="仿宋_GB2312" w:hAnsi="仿宋_GB2312" w:eastAsia="仿宋_GB2312" w:cs="仿宋_GB2312"/>
          <w:b w:val="0"/>
          <w:bCs w:val="0"/>
          <w:color w:val="auto"/>
          <w:sz w:val="32"/>
          <w:szCs w:val="32"/>
          <w:lang w:val="en-US" w:eastAsia="zh-CN"/>
        </w:rPr>
        <w:t>物流功能区</w:t>
      </w:r>
      <w:r>
        <w:rPr>
          <w:rFonts w:hint="eastAsia" w:ascii="仿宋_GB2312" w:hAnsi="仿宋_GB2312" w:eastAsia="仿宋_GB2312" w:cs="仿宋_GB2312"/>
          <w:b w:val="0"/>
          <w:bCs w:val="0"/>
          <w:color w:val="auto"/>
          <w:sz w:val="32"/>
          <w:szCs w:val="32"/>
          <w:lang w:val="en-US" w:eastAsia="zh-CN"/>
        </w:rPr>
        <w:t>。</w:t>
      </w:r>
      <w:r>
        <w:rPr>
          <w:rFonts w:hint="default" w:ascii="仿宋_GB2312" w:hAnsi="仿宋_GB2312" w:eastAsia="仿宋_GB2312" w:cs="仿宋_GB2312"/>
          <w:b w:val="0"/>
          <w:bCs w:val="0"/>
          <w:color w:val="auto"/>
          <w:sz w:val="32"/>
          <w:szCs w:val="32"/>
          <w:lang w:val="en-US" w:eastAsia="zh-CN"/>
        </w:rPr>
        <w:t>冷链物流功能区占地面积约</w:t>
      </w:r>
      <w:r>
        <w:rPr>
          <w:rFonts w:hint="eastAsia" w:ascii="仿宋_GB2312" w:hAnsi="仿宋_GB2312" w:eastAsia="仿宋_GB2312" w:cs="仿宋_GB2312"/>
          <w:b w:val="0"/>
          <w:bCs w:val="0"/>
          <w:color w:val="auto"/>
          <w:sz w:val="32"/>
          <w:szCs w:val="32"/>
          <w:lang w:val="en-US" w:eastAsia="zh-CN"/>
        </w:rPr>
        <w:t>685</w:t>
      </w:r>
      <w:r>
        <w:rPr>
          <w:rFonts w:hint="default" w:ascii="仿宋_GB2312" w:hAnsi="仿宋_GB2312" w:eastAsia="仿宋_GB2312" w:cs="仿宋_GB2312"/>
          <w:b w:val="0"/>
          <w:bCs w:val="0"/>
          <w:color w:val="auto"/>
          <w:sz w:val="32"/>
          <w:szCs w:val="32"/>
          <w:lang w:val="en-US" w:eastAsia="zh-CN"/>
        </w:rPr>
        <w:t>亩，规划建设冷链区域分拨中心、冷链仓</w:t>
      </w:r>
      <w:r>
        <w:rPr>
          <w:rFonts w:hint="default" w:ascii="Times New Roman" w:hAnsi="Times New Roman" w:cs="Times New Roman"/>
          <w:b w:val="0"/>
          <w:bCs w:val="0"/>
          <w:color w:val="auto"/>
          <w:sz w:val="32"/>
          <w:szCs w:val="32"/>
          <w:lang w:val="en-US" w:eastAsia="zh-CN"/>
        </w:rPr>
        <w:t>储中心、城市冷链共同配送中心、冷链加工厂房、农产品交易市场</w:t>
      </w:r>
      <w:r>
        <w:rPr>
          <w:rFonts w:hint="eastAsia" w:cs="Times New Roman"/>
          <w:b w:val="0"/>
          <w:bCs w:val="0"/>
          <w:color w:val="auto"/>
          <w:sz w:val="32"/>
          <w:szCs w:val="32"/>
          <w:lang w:val="en-US" w:eastAsia="zh-CN"/>
        </w:rPr>
        <w:t>、预制菜产业园</w:t>
      </w:r>
      <w:r>
        <w:rPr>
          <w:rFonts w:hint="default" w:ascii="Times New Roman" w:hAnsi="Times New Roman" w:cs="Times New Roman"/>
          <w:b w:val="0"/>
          <w:bCs w:val="0"/>
          <w:color w:val="auto"/>
          <w:sz w:val="32"/>
          <w:szCs w:val="32"/>
          <w:lang w:val="en-US" w:eastAsia="zh-CN"/>
        </w:rPr>
        <w:t>等设施，联动</w:t>
      </w:r>
      <w:r>
        <w:rPr>
          <w:rFonts w:hint="default" w:ascii="Times New Roman" w:hAnsi="Times New Roman" w:eastAsia="仿宋_GB2312" w:cs="Times New Roman"/>
          <w:b w:val="0"/>
          <w:bCs w:val="0"/>
          <w:color w:val="auto"/>
          <w:kern w:val="2"/>
          <w:sz w:val="32"/>
          <w:szCs w:val="32"/>
          <w:lang w:val="en-US" w:eastAsia="zh-CN" w:bidi="ar"/>
        </w:rPr>
        <w:t>蓝雁冷链物流园</w:t>
      </w:r>
      <w:r>
        <w:rPr>
          <w:rFonts w:hint="default" w:ascii="Times New Roman" w:hAnsi="Times New Roman" w:cs="Times New Roman"/>
          <w:b w:val="0"/>
          <w:bCs w:val="0"/>
          <w:color w:val="auto"/>
          <w:kern w:val="2"/>
          <w:sz w:val="32"/>
          <w:szCs w:val="32"/>
          <w:lang w:val="en-US" w:eastAsia="zh-CN" w:bidi="ar"/>
        </w:rPr>
        <w:t>、乐山西部冷链物流园、沐川冷链物流园等设施，</w:t>
      </w:r>
      <w:r>
        <w:rPr>
          <w:rFonts w:hint="default" w:ascii="Times New Roman" w:hAnsi="Times New Roman" w:cs="Times New Roman"/>
          <w:b w:val="0"/>
          <w:bCs w:val="0"/>
          <w:color w:val="auto"/>
          <w:sz w:val="32"/>
          <w:szCs w:val="32"/>
          <w:lang w:val="en-US" w:eastAsia="zh-CN"/>
        </w:rPr>
        <w:t>重点为乐山周边地区及乐山全市提供生鲜农产品、冷冻食品等商品的预冷处理、多温区仓储、全程温度监控与追溯，冷藏集装箱（冷链箱）堆存与维护、冷链货物分拣加工（如分切、包装）、线下交易等服务，</w:t>
      </w:r>
      <w:r>
        <w:rPr>
          <w:rFonts w:hint="default" w:ascii="Times New Roman" w:hAnsi="Times New Roman" w:cs="Times New Roman"/>
          <w:b w:val="0"/>
          <w:bCs w:val="0"/>
          <w:color w:val="auto"/>
          <w:kern w:val="2"/>
          <w:sz w:val="32"/>
          <w:szCs w:val="32"/>
          <w:highlight w:val="none"/>
          <w:lang w:val="en-US" w:eastAsia="zh-CN" w:bidi="ar"/>
        </w:rPr>
        <w:t>满足成都都市圈、攀西和川南地区</w:t>
      </w:r>
      <w:r>
        <w:rPr>
          <w:rFonts w:hint="default" w:ascii="Times New Roman" w:hAnsi="Times New Roman" w:cs="Times New Roman"/>
          <w:b w:val="0"/>
          <w:bCs w:val="0"/>
          <w:color w:val="auto"/>
          <w:sz w:val="32"/>
          <w:szCs w:val="32"/>
          <w:lang w:val="en-US" w:eastAsia="zh-CN"/>
        </w:rPr>
        <w:t>对冷链产品的需</w:t>
      </w:r>
      <w:r>
        <w:rPr>
          <w:rFonts w:hint="default" w:ascii="Times New Roman" w:hAnsi="Times New Roman" w:cs="Times New Roman"/>
          <w:b w:val="0"/>
          <w:bCs w:val="0"/>
          <w:color w:val="auto"/>
          <w:sz w:val="32"/>
          <w:szCs w:val="32"/>
          <w:lang w:val="en-US" w:eastAsia="zh-CN" w:bidi="ar"/>
        </w:rPr>
        <w:t>求，助推乐山区域消费中心城市建设。该功能区</w:t>
      </w:r>
      <w:r>
        <w:rPr>
          <w:rFonts w:hint="default" w:ascii="Times New Roman" w:hAnsi="Times New Roman" w:cs="Times New Roman"/>
          <w:color w:val="auto"/>
        </w:rPr>
        <w:t>重点衔接国际物流服务功能区、</w:t>
      </w:r>
      <w:r>
        <w:rPr>
          <w:rFonts w:hint="default" w:ascii="Times New Roman" w:hAnsi="Times New Roman" w:cs="Times New Roman"/>
          <w:color w:val="auto"/>
          <w:lang w:val="en-US" w:eastAsia="zh-CN"/>
        </w:rPr>
        <w:t>铁路及港口物流功能区</w:t>
      </w:r>
      <w:r>
        <w:rPr>
          <w:rFonts w:hint="default" w:ascii="Times New Roman" w:hAnsi="Times New Roman" w:cs="Times New Roman"/>
          <w:color w:val="auto"/>
        </w:rPr>
        <w:t>（冷藏集装箱运输、冷链专线）</w:t>
      </w:r>
      <w:r>
        <w:rPr>
          <w:rFonts w:hint="default" w:ascii="Times New Roman" w:hAnsi="Times New Roman" w:eastAsia="仿宋_GB2312" w:cs="Times New Roman"/>
          <w:b w:val="0"/>
          <w:bCs w:val="0"/>
          <w:color w:val="auto"/>
          <w:sz w:val="32"/>
          <w:szCs w:val="32"/>
          <w:lang w:bidi="ar"/>
        </w:rPr>
        <w:t>，实现冷链物流各环节的无缝对接与资源高效协同</w:t>
      </w:r>
      <w:r>
        <w:rPr>
          <w:rFonts w:hint="default" w:ascii="Times New Roman" w:hAnsi="Times New Roman" w:cs="Times New Roman"/>
          <w:b w:val="0"/>
          <w:bCs w:val="0"/>
          <w:color w:val="auto"/>
          <w:sz w:val="32"/>
          <w:szCs w:val="32"/>
          <w:lang w:eastAsia="zh-CN" w:bidi="ar"/>
        </w:rPr>
        <w:t>。</w:t>
      </w:r>
    </w:p>
    <w:p>
      <w:pPr>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cs="Times New Roman"/>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电商</w:t>
      </w:r>
      <w:r>
        <w:rPr>
          <w:rFonts w:hint="default" w:ascii="仿宋_GB2312" w:hAnsi="仿宋_GB2312" w:eastAsia="仿宋_GB2312" w:cs="仿宋_GB2312"/>
          <w:b w:val="0"/>
          <w:bCs w:val="0"/>
          <w:color w:val="auto"/>
          <w:sz w:val="32"/>
          <w:szCs w:val="32"/>
          <w:lang w:val="en-US" w:eastAsia="zh-CN"/>
        </w:rPr>
        <w:t>快递</w:t>
      </w:r>
      <w:r>
        <w:rPr>
          <w:rFonts w:hint="eastAsia" w:ascii="仿宋_GB2312" w:hAnsi="仿宋_GB2312" w:eastAsia="仿宋_GB2312" w:cs="仿宋_GB2312"/>
          <w:b w:val="0"/>
          <w:bCs w:val="0"/>
          <w:color w:val="auto"/>
          <w:sz w:val="32"/>
          <w:szCs w:val="32"/>
          <w:lang w:val="en-US" w:eastAsia="zh-CN"/>
        </w:rPr>
        <w:t>物流</w:t>
      </w:r>
      <w:r>
        <w:rPr>
          <w:rFonts w:hint="default" w:ascii="仿宋_GB2312" w:hAnsi="仿宋_GB2312" w:eastAsia="仿宋_GB2312" w:cs="仿宋_GB2312"/>
          <w:b w:val="0"/>
          <w:bCs w:val="0"/>
          <w:color w:val="auto"/>
          <w:sz w:val="32"/>
          <w:szCs w:val="32"/>
          <w:lang w:val="en-US" w:eastAsia="zh-CN"/>
        </w:rPr>
        <w:t>功能区</w:t>
      </w:r>
      <w:r>
        <w:rPr>
          <w:rFonts w:hint="eastAsia" w:ascii="仿宋_GB2312" w:hAnsi="仿宋_GB2312" w:eastAsia="仿宋_GB2312" w:cs="仿宋_GB2312"/>
          <w:b w:val="0"/>
          <w:bCs w:val="0"/>
          <w:color w:val="auto"/>
          <w:sz w:val="32"/>
          <w:szCs w:val="32"/>
          <w:lang w:val="en-US" w:eastAsia="zh-CN"/>
        </w:rPr>
        <w:t>。</w:t>
      </w:r>
      <w:r>
        <w:rPr>
          <w:rFonts w:hint="default" w:ascii="仿宋_GB2312" w:hAnsi="仿宋_GB2312" w:eastAsia="仿宋_GB2312" w:cs="仿宋_GB2312"/>
          <w:b w:val="0"/>
          <w:bCs w:val="0"/>
          <w:color w:val="auto"/>
          <w:sz w:val="32"/>
          <w:szCs w:val="32"/>
          <w:lang w:val="en-US" w:eastAsia="zh-CN"/>
        </w:rPr>
        <w:t>电商快递物流功能区占地面积约</w:t>
      </w:r>
      <w:r>
        <w:rPr>
          <w:rFonts w:hint="eastAsia" w:ascii="仿宋_GB2312" w:hAnsi="仿宋_GB2312" w:eastAsia="仿宋_GB2312" w:cs="仿宋_GB2312"/>
          <w:b w:val="0"/>
          <w:bCs w:val="0"/>
          <w:color w:val="auto"/>
          <w:sz w:val="32"/>
          <w:szCs w:val="32"/>
          <w:lang w:val="en-US" w:eastAsia="zh-CN"/>
        </w:rPr>
        <w:t>749</w:t>
      </w:r>
      <w:r>
        <w:rPr>
          <w:rFonts w:hint="default" w:ascii="仿宋_GB2312" w:hAnsi="仿宋_GB2312" w:eastAsia="仿宋_GB2312" w:cs="仿宋_GB2312"/>
          <w:b w:val="0"/>
          <w:bCs w:val="0"/>
          <w:color w:val="auto"/>
          <w:sz w:val="32"/>
          <w:szCs w:val="32"/>
          <w:lang w:val="en-US" w:eastAsia="zh-CN"/>
        </w:rPr>
        <w:t>亩，规划建设各大邮政、快递企业的高效转运处理和仓储设施，包括快递区域中转中心、城市快递分拨中心等，</w:t>
      </w:r>
      <w:r>
        <w:rPr>
          <w:rFonts w:hint="default" w:ascii="Times New Roman" w:hAnsi="Times New Roman" w:cs="Times New Roman"/>
          <w:color w:val="auto"/>
          <w:sz w:val="32"/>
          <w:szCs w:val="32"/>
          <w:lang w:val="en-US" w:eastAsia="zh-CN"/>
        </w:rPr>
        <w:t>为邮政快递企业提供包裹的自动化高速分拣、干线转运集散、区域及城市快件集散分拨、末端共同配送、智能暂存、安检、信息追踪、逆向物流（退换货）处理等服务。</w:t>
      </w:r>
      <w:r>
        <w:rPr>
          <w:rFonts w:hint="eastAsia" w:ascii="Times New Roman" w:hAnsi="Times New Roman" w:cs="Times New Roman"/>
          <w:color w:val="auto"/>
          <w:sz w:val="32"/>
          <w:szCs w:val="32"/>
          <w:lang w:val="en-US" w:eastAsia="zh-CN"/>
        </w:rPr>
        <w:t>此外，推进建设</w:t>
      </w:r>
      <w:r>
        <w:rPr>
          <w:rFonts w:hint="default" w:ascii="Times New Roman" w:hAnsi="Times New Roman" w:cs="Times New Roman"/>
          <w:color w:val="auto"/>
          <w:sz w:val="32"/>
          <w:szCs w:val="32"/>
          <w:lang w:val="en-US" w:eastAsia="zh-CN"/>
        </w:rPr>
        <w:t>电商运营</w:t>
      </w:r>
      <w:r>
        <w:rPr>
          <w:rFonts w:hint="eastAsia" w:ascii="Times New Roman" w:hAnsi="Times New Roman" w:cs="Times New Roman"/>
          <w:color w:val="auto"/>
          <w:sz w:val="32"/>
          <w:szCs w:val="32"/>
          <w:lang w:val="en-US" w:eastAsia="zh-CN"/>
        </w:rPr>
        <w:t>中心、新零售体验馆、</w:t>
      </w:r>
      <w:r>
        <w:rPr>
          <w:rFonts w:hint="default" w:ascii="Times New Roman" w:hAnsi="Times New Roman" w:cs="Times New Roman"/>
          <w:color w:val="auto"/>
          <w:sz w:val="32"/>
          <w:szCs w:val="32"/>
          <w:lang w:val="en-US" w:eastAsia="zh-CN"/>
        </w:rPr>
        <w:t>食品生产加工中心</w:t>
      </w:r>
      <w:r>
        <w:rPr>
          <w:rFonts w:hint="eastAsia" w:ascii="Times New Roman" w:hAnsi="Times New Roman" w:cs="Times New Roman"/>
          <w:color w:val="auto"/>
          <w:sz w:val="32"/>
          <w:szCs w:val="32"/>
          <w:lang w:val="en-US" w:eastAsia="zh-CN"/>
        </w:rPr>
        <w:t>等衍生业态设施，并依托功能区申建</w:t>
      </w:r>
      <w:r>
        <w:rPr>
          <w:rFonts w:hint="default" w:ascii="Times New Roman" w:hAnsi="Times New Roman" w:cs="Times New Roman"/>
          <w:color w:val="auto"/>
          <w:sz w:val="32"/>
          <w:szCs w:val="32"/>
          <w:lang w:val="en-US" w:eastAsia="zh-CN"/>
        </w:rPr>
        <w:t>跨境电子商务综合试验区</w:t>
      </w:r>
      <w:r>
        <w:rPr>
          <w:rFonts w:hint="eastAsia" w:cs="Times New Roman"/>
          <w:color w:val="auto"/>
          <w:sz w:val="32"/>
          <w:szCs w:val="32"/>
          <w:lang w:val="en-US" w:eastAsia="zh-CN"/>
        </w:rPr>
        <w:t>，为电商创业者/企业提供集仓储、履约、供应链服务于一体的深度孵化加速平台。</w:t>
      </w:r>
      <w:r>
        <w:rPr>
          <w:rFonts w:hint="default" w:ascii="Times New Roman" w:hAnsi="Times New Roman" w:cs="Times New Roman"/>
          <w:color w:val="auto"/>
          <w:sz w:val="32"/>
          <w:szCs w:val="32"/>
          <w:lang w:val="en-US" w:eastAsia="zh-CN"/>
        </w:rPr>
        <w:t>该功能区将重点衔接航空货运场站，确保快递物流在全链条中的顺畅流转与时效保障。</w:t>
      </w:r>
    </w:p>
    <w:p>
      <w:pPr>
        <w:spacing w:line="600" w:lineRule="exact"/>
        <w:ind w:firstLine="643" w:firstLineChars="200"/>
        <w:outlineLvl w:val="3"/>
        <w:rPr>
          <w:rFonts w:hint="default" w:cs="Times New Roman"/>
          <w:b/>
          <w:bCs/>
          <w:color w:val="auto"/>
          <w:sz w:val="32"/>
          <w:szCs w:val="32"/>
          <w:lang w:val="en-US" w:eastAsia="zh-CN"/>
        </w:rPr>
      </w:pPr>
      <w:r>
        <w:rPr>
          <w:rFonts w:hint="eastAsia" w:cs="Times New Roman"/>
          <w:b/>
          <w:bCs/>
          <w:color w:val="auto"/>
          <w:sz w:val="32"/>
          <w:szCs w:val="32"/>
          <w:lang w:val="en-US" w:eastAsia="zh-CN"/>
        </w:rPr>
        <w:t>3</w:t>
      </w:r>
      <w:r>
        <w:rPr>
          <w:rFonts w:hint="default" w:cs="Times New Roman"/>
          <w:b/>
          <w:bCs/>
          <w:color w:val="auto"/>
          <w:sz w:val="32"/>
          <w:szCs w:val="32"/>
          <w:lang w:val="en-US" w:eastAsia="zh-CN"/>
        </w:rPr>
        <w:t>.配套服务功能组团</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color w:val="auto"/>
          <w:sz w:val="32"/>
          <w:szCs w:val="32"/>
          <w:lang w:val="en-US" w:eastAsia="zh-CN"/>
        </w:rPr>
      </w:pPr>
      <w:r>
        <w:rPr>
          <w:rFonts w:hint="eastAsia" w:ascii="Times New Roman" w:hAnsi="Times New Roman"/>
          <w:color w:val="auto"/>
          <w:sz w:val="32"/>
          <w:szCs w:val="32"/>
          <w:lang w:val="en-US" w:eastAsia="zh-CN"/>
        </w:rPr>
        <w:t>配套服务组团包含</w:t>
      </w:r>
      <w:r>
        <w:rPr>
          <w:rFonts w:hint="eastAsia"/>
          <w:color w:val="auto"/>
          <w:sz w:val="32"/>
          <w:szCs w:val="32"/>
          <w:lang w:val="en-US" w:eastAsia="zh-CN"/>
        </w:rPr>
        <w:t>生活配套区、</w:t>
      </w:r>
      <w:r>
        <w:rPr>
          <w:rFonts w:hint="eastAsia" w:ascii="Times New Roman" w:hAnsi="Times New Roman"/>
          <w:color w:val="auto"/>
          <w:sz w:val="32"/>
          <w:szCs w:val="32"/>
          <w:lang w:val="en-US" w:eastAsia="zh-CN"/>
        </w:rPr>
        <w:t>供应链集成服务功能区2大片区</w:t>
      </w:r>
      <w:r>
        <w:rPr>
          <w:rFonts w:hint="eastAsia"/>
          <w:color w:val="auto"/>
          <w:sz w:val="32"/>
          <w:szCs w:val="32"/>
          <w:lang w:val="en-US" w:eastAsia="zh-CN"/>
        </w:rPr>
        <w:t>。</w:t>
      </w:r>
    </w:p>
    <w:p>
      <w:pPr>
        <w:pStyle w:val="7"/>
        <w:rPr>
          <w:rFonts w:hint="eastAsia" w:eastAsia="楷体"/>
          <w:lang w:val="en-US" w:eastAsia="zh-CN"/>
        </w:rPr>
      </w:pPr>
      <w:r>
        <w:t xml:space="preserve">表 </w:t>
      </w:r>
      <w:r>
        <w:fldChar w:fldCharType="begin"/>
      </w:r>
      <w:r>
        <w:instrText xml:space="preserve"> STYLEREF 1 \s </w:instrText>
      </w:r>
      <w:r>
        <w:fldChar w:fldCharType="separate"/>
      </w:r>
      <w:r>
        <w:t>6</w:t>
      </w:r>
      <w:r>
        <w:fldChar w:fldCharType="end"/>
      </w:r>
      <w:r>
        <w:rPr>
          <w:rFonts w:hint="eastAsia"/>
          <w:lang w:eastAsia="zh-CN"/>
        </w:rPr>
        <w:t>-</w:t>
      </w:r>
      <w:r>
        <w:fldChar w:fldCharType="begin"/>
      </w:r>
      <w:r>
        <w:instrText xml:space="preserve"> SEQ 表 \* ARABIC \s 1 </w:instrText>
      </w:r>
      <w:r>
        <w:fldChar w:fldCharType="separate"/>
      </w:r>
      <w:r>
        <w:t>5</w:t>
      </w:r>
      <w:r>
        <w:fldChar w:fldCharType="end"/>
      </w:r>
      <w:r>
        <w:rPr>
          <w:rFonts w:hint="eastAsia"/>
          <w:lang w:val="en-US" w:eastAsia="zh-CN"/>
        </w:rPr>
        <w:t xml:space="preserve"> 配套服务组团构成明细表</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587"/>
        <w:gridCol w:w="3150"/>
        <w:gridCol w:w="3994"/>
        <w:gridCol w:w="1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65" w:hRule="atLeast"/>
        </w:trPr>
        <w:tc>
          <w:tcPr>
            <w:tcW w:w="790"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黑体" w:cs="Times New Roman"/>
                <w:color w:val="auto"/>
                <w:sz w:val="24"/>
                <w:szCs w:val="24"/>
                <w:vertAlign w:val="baseline"/>
                <w:lang w:val="en-US" w:eastAsia="zh-CN"/>
              </w:rPr>
            </w:pPr>
          </w:p>
        </w:tc>
        <w:tc>
          <w:tcPr>
            <w:tcW w:w="1568"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片区名称</w:t>
            </w:r>
          </w:p>
        </w:tc>
        <w:tc>
          <w:tcPr>
            <w:tcW w:w="1988"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净占地面积（亩）</w:t>
            </w:r>
          </w:p>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（不含配套城市道路用地）</w:t>
            </w:r>
          </w:p>
        </w:tc>
        <w:tc>
          <w:tcPr>
            <w:tcW w:w="651" w:type="pct"/>
            <w:shd w:val="clear" w:color="auto" w:fill="auto"/>
            <w:tcMar>
              <w:left w:w="108" w:type="dxa"/>
              <w:right w:w="108" w:type="dxa"/>
            </w:tcMar>
            <w:vAlign w:val="center"/>
          </w:tcPr>
          <w:p>
            <w:pPr>
              <w:keepNext/>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地块编号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90" w:type="pct"/>
            <w:vMerge w:val="restar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配套服务功能组团</w:t>
            </w:r>
          </w:p>
        </w:tc>
        <w:tc>
          <w:tcPr>
            <w:tcW w:w="156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供应链集成服务功能区</w:t>
            </w:r>
          </w:p>
        </w:tc>
        <w:tc>
          <w:tcPr>
            <w:tcW w:w="198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259</w:t>
            </w:r>
          </w:p>
        </w:tc>
        <w:tc>
          <w:tcPr>
            <w:tcW w:w="65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90"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p>
        </w:tc>
        <w:tc>
          <w:tcPr>
            <w:tcW w:w="156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生活配套区</w:t>
            </w:r>
          </w:p>
        </w:tc>
        <w:tc>
          <w:tcPr>
            <w:tcW w:w="198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3266</w:t>
            </w:r>
          </w:p>
        </w:tc>
        <w:tc>
          <w:tcPr>
            <w:tcW w:w="65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2</w:t>
            </w:r>
          </w:p>
        </w:tc>
      </w:tr>
    </w:tbl>
    <w:p>
      <w:pPr>
        <w:pStyle w:val="27"/>
        <w:bidi w:val="0"/>
      </w:pPr>
      <w:r>
        <w:drawing>
          <wp:inline distT="0" distB="0" distL="114300" distR="114300">
            <wp:extent cx="5400040" cy="5817235"/>
            <wp:effectExtent l="0" t="0" r="0" b="0"/>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63"/>
                    <a:srcRect b="8545"/>
                    <a:stretch>
                      <a:fillRect/>
                    </a:stretch>
                  </pic:blipFill>
                  <pic:spPr>
                    <a:xfrm>
                      <a:off x="0" y="0"/>
                      <a:ext cx="5400040" cy="5817235"/>
                    </a:xfrm>
                    <a:prstGeom prst="rect">
                      <a:avLst/>
                    </a:prstGeom>
                    <a:noFill/>
                    <a:ln>
                      <a:noFill/>
                    </a:ln>
                  </pic:spPr>
                </pic:pic>
              </a:graphicData>
            </a:graphic>
          </wp:inline>
        </w:drawing>
      </w:r>
    </w:p>
    <w:p>
      <w:pPr>
        <w:pStyle w:val="7"/>
        <w:bidi w:val="0"/>
        <w:rPr>
          <w:rFonts w:hint="eastAsia" w:eastAsia="楷体"/>
          <w:lang w:val="en-US" w:eastAsia="zh-CN"/>
        </w:rPr>
      </w:pPr>
      <w:r>
        <w:t xml:space="preserve">图 </w:t>
      </w:r>
      <w:r>
        <w:fldChar w:fldCharType="begin"/>
      </w:r>
      <w:r>
        <w:instrText xml:space="preserve"> STYLEREF 1 \s </w:instrText>
      </w:r>
      <w:r>
        <w:fldChar w:fldCharType="separate"/>
      </w:r>
      <w:r>
        <w:t>6</w:t>
      </w:r>
      <w:r>
        <w:fldChar w:fldCharType="end"/>
      </w:r>
      <w:r>
        <w:rPr>
          <w:rFonts w:hint="eastAsia"/>
          <w:lang w:eastAsia="zh-CN"/>
        </w:rPr>
        <w:t>-</w:t>
      </w:r>
      <w:r>
        <w:fldChar w:fldCharType="begin"/>
      </w:r>
      <w:r>
        <w:instrText xml:space="preserve"> SEQ 图 \* ARABIC \s 1 </w:instrText>
      </w:r>
      <w:r>
        <w:fldChar w:fldCharType="separate"/>
      </w:r>
      <w:r>
        <w:t>11</w:t>
      </w:r>
      <w:r>
        <w:fldChar w:fldCharType="end"/>
      </w:r>
      <w:r>
        <w:rPr>
          <w:rFonts w:hint="eastAsia"/>
          <w:lang w:val="en-US" w:eastAsia="zh-CN"/>
        </w:rPr>
        <w:t xml:space="preserve"> 配套服务功能组团片区布局图</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cs="Times New Roman"/>
          <w:color w:val="auto"/>
          <w:sz w:val="32"/>
          <w:szCs w:val="32"/>
          <w:lang w:val="en-US" w:eastAsia="zh-CN"/>
        </w:rPr>
      </w:pPr>
      <w:r>
        <w:rPr>
          <w:rFonts w:hint="default" w:ascii="仿宋_GB2312" w:hAnsi="仿宋_GB2312" w:eastAsia="仿宋_GB2312" w:cs="仿宋_GB2312"/>
          <w:b w:val="0"/>
          <w:bCs w:val="0"/>
          <w:color w:val="auto"/>
          <w:sz w:val="32"/>
          <w:szCs w:val="32"/>
          <w:lang w:val="en-US" w:eastAsia="zh-CN"/>
        </w:rPr>
        <w:t>供应链集成服务功能区</w:t>
      </w:r>
      <w:r>
        <w:rPr>
          <w:rFonts w:hint="eastAsia" w:ascii="仿宋_GB2312" w:hAnsi="仿宋_GB2312" w:eastAsia="仿宋_GB2312" w:cs="仿宋_GB2312"/>
          <w:b w:val="0"/>
          <w:bCs w:val="0"/>
          <w:color w:val="auto"/>
          <w:sz w:val="32"/>
          <w:szCs w:val="32"/>
          <w:lang w:val="en-US" w:eastAsia="zh-CN"/>
        </w:rPr>
        <w:t>。</w:t>
      </w:r>
      <w:r>
        <w:rPr>
          <w:rFonts w:hint="default" w:ascii="仿宋_GB2312" w:hAnsi="仿宋_GB2312" w:eastAsia="仿宋_GB2312" w:cs="仿宋_GB2312"/>
          <w:b w:val="0"/>
          <w:bCs w:val="0"/>
          <w:color w:val="auto"/>
          <w:sz w:val="32"/>
          <w:szCs w:val="32"/>
          <w:lang w:val="en-US" w:eastAsia="zh-CN"/>
        </w:rPr>
        <w:t>供应链集成服务功能区占地面积约</w:t>
      </w:r>
      <w:r>
        <w:rPr>
          <w:rFonts w:hint="eastAsia" w:ascii="仿宋_GB2312" w:hAnsi="仿宋_GB2312" w:eastAsia="仿宋_GB2312" w:cs="仿宋_GB2312"/>
          <w:b w:val="0"/>
          <w:bCs w:val="0"/>
          <w:color w:val="auto"/>
          <w:sz w:val="32"/>
          <w:szCs w:val="32"/>
          <w:lang w:val="en-US" w:eastAsia="zh-CN"/>
        </w:rPr>
        <w:t>259</w:t>
      </w:r>
      <w:r>
        <w:rPr>
          <w:rFonts w:hint="default" w:ascii="仿宋_GB2312" w:hAnsi="仿宋_GB2312" w:eastAsia="仿宋_GB2312" w:cs="仿宋_GB2312"/>
          <w:b w:val="0"/>
          <w:bCs w:val="0"/>
          <w:color w:val="auto"/>
          <w:sz w:val="32"/>
          <w:szCs w:val="32"/>
          <w:lang w:val="en-US" w:eastAsia="zh-CN"/>
        </w:rPr>
        <w:t>亩，</w:t>
      </w:r>
      <w:r>
        <w:rPr>
          <w:rFonts w:hint="eastAsia" w:ascii="仿宋_GB2312" w:hAnsi="仿宋_GB2312" w:eastAsia="仿宋_GB2312" w:cs="仿宋_GB2312"/>
          <w:b w:val="0"/>
          <w:bCs w:val="0"/>
          <w:color w:val="auto"/>
          <w:sz w:val="32"/>
          <w:szCs w:val="32"/>
          <w:lang w:val="en-US" w:eastAsia="zh-CN"/>
        </w:rPr>
        <w:t>包含三大核心设施。一是</w:t>
      </w:r>
      <w:r>
        <w:rPr>
          <w:rFonts w:hint="default" w:ascii="仿宋_GB2312" w:hAnsi="仿宋_GB2312" w:eastAsia="仿宋_GB2312" w:cs="仿宋_GB2312"/>
          <w:b w:val="0"/>
          <w:bCs w:val="0"/>
          <w:color w:val="auto"/>
          <w:sz w:val="32"/>
          <w:szCs w:val="32"/>
          <w:lang w:val="en-US" w:eastAsia="zh-CN"/>
        </w:rPr>
        <w:t>建设供应链物流运营中心设施，并搭建现代物流综合信息服务平台，通过吸引全国及全球供应链管理企业入驻，依托基地内国际国内班列、口岸保税等物流资源开展全球采购、全球分销业务，为制造</w:t>
      </w:r>
      <w:r>
        <w:rPr>
          <w:rFonts w:hint="eastAsia" w:ascii="仿宋_GB2312" w:hAnsi="仿宋_GB2312" w:eastAsia="仿宋_GB2312" w:cs="仿宋_GB2312"/>
          <w:b w:val="0"/>
          <w:bCs w:val="0"/>
          <w:color w:val="auto"/>
          <w:sz w:val="32"/>
          <w:szCs w:val="32"/>
          <w:lang w:val="en-US" w:eastAsia="zh-CN"/>
        </w:rPr>
        <w:t>业</w:t>
      </w:r>
      <w:r>
        <w:rPr>
          <w:rFonts w:hint="default" w:ascii="仿宋_GB2312" w:hAnsi="仿宋_GB2312" w:eastAsia="仿宋_GB2312" w:cs="仿宋_GB2312"/>
          <w:b w:val="0"/>
          <w:bCs w:val="0"/>
          <w:color w:val="auto"/>
          <w:sz w:val="32"/>
          <w:szCs w:val="32"/>
          <w:lang w:val="en-US" w:eastAsia="zh-CN"/>
        </w:rPr>
        <w:t>企业提供供应链仓储、加工、分拨、配送服务；吸引银行、保险、基金、信托等金融机构入驻，为全市物流、商贸提供结算、仓单质押、授信融资、存货融资、预付款融资和应收账款融资等物流与供应链金融服务。</w:t>
      </w:r>
      <w:r>
        <w:rPr>
          <w:rFonts w:hint="eastAsia" w:ascii="仿宋_GB2312" w:hAnsi="仿宋_GB2312" w:eastAsia="仿宋_GB2312" w:cs="仿宋_GB2312"/>
          <w:b w:val="0"/>
          <w:bCs w:val="0"/>
          <w:color w:val="auto"/>
          <w:sz w:val="32"/>
          <w:szCs w:val="32"/>
          <w:lang w:val="en-US" w:eastAsia="zh-CN"/>
        </w:rPr>
        <w:t>二是</w:t>
      </w:r>
      <w:r>
        <w:rPr>
          <w:rFonts w:hint="default" w:ascii="仿宋_GB2312" w:hAnsi="仿宋_GB2312" w:eastAsia="仿宋_GB2312" w:cs="仿宋_GB2312"/>
          <w:b w:val="0"/>
          <w:bCs w:val="0"/>
          <w:color w:val="auto"/>
          <w:sz w:val="32"/>
          <w:szCs w:val="32"/>
          <w:lang w:val="en-US" w:eastAsia="zh-CN"/>
        </w:rPr>
        <w:t>建设综合物流配套服务中心，提供车辆维修、检测、销售等综合配套服务。</w:t>
      </w:r>
      <w:r>
        <w:rPr>
          <w:rFonts w:hint="eastAsia" w:ascii="仿宋_GB2312" w:hAnsi="仿宋_GB2312" w:eastAsia="仿宋_GB2312" w:cs="仿宋_GB2312"/>
          <w:b w:val="0"/>
          <w:bCs w:val="0"/>
          <w:color w:val="auto"/>
          <w:sz w:val="32"/>
          <w:szCs w:val="32"/>
          <w:lang w:val="en-US" w:eastAsia="zh-CN"/>
        </w:rPr>
        <w:t>三是建设集液化天然气（</w:t>
      </w:r>
      <w:r>
        <w:rPr>
          <w:rFonts w:hint="eastAsia" w:cs="Times New Roman"/>
          <w:color w:val="auto"/>
          <w:sz w:val="32"/>
          <w:szCs w:val="32"/>
          <w:lang w:val="en-US" w:eastAsia="zh-CN"/>
        </w:rPr>
        <w:t>LNG）、加油、加氢、充电于一体的“四合一”综合能源补给站，为示范基地各类运输车辆提供绿色、稳定的能源供应服务，支撑打造“近零碳”物流园区</w:t>
      </w:r>
      <w:r>
        <w:rPr>
          <w:rFonts w:hint="default" w:ascii="Times New Roman" w:hAnsi="Times New Roman" w:eastAsia="仿宋_GB2312" w:cs="Times New Roman"/>
          <w:color w:val="auto"/>
          <w:sz w:val="32"/>
          <w:szCs w:val="22"/>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cs="Times New Roman"/>
          <w:color w:val="auto"/>
          <w:szCs w:val="32"/>
          <w:lang w:val="en-US" w:eastAsia="zh-CN"/>
        </w:rPr>
      </w:pPr>
      <w:r>
        <w:rPr>
          <w:rFonts w:hint="default" w:ascii="仿宋_GB2312" w:hAnsi="仿宋_GB2312" w:eastAsia="仿宋_GB2312" w:cs="仿宋_GB2312"/>
          <w:b w:val="0"/>
          <w:bCs w:val="0"/>
          <w:color w:val="auto"/>
          <w:sz w:val="32"/>
          <w:szCs w:val="32"/>
          <w:lang w:val="en-US" w:eastAsia="zh-CN"/>
        </w:rPr>
        <w:t>生活配套功能区</w:t>
      </w:r>
      <w:r>
        <w:rPr>
          <w:rFonts w:hint="eastAsia" w:ascii="仿宋_GB2312" w:hAnsi="仿宋_GB2312" w:eastAsia="仿宋_GB2312" w:cs="仿宋_GB2312"/>
          <w:b w:val="0"/>
          <w:bCs w:val="0"/>
          <w:color w:val="auto"/>
          <w:sz w:val="32"/>
          <w:szCs w:val="32"/>
          <w:lang w:val="en-US" w:eastAsia="zh-CN"/>
        </w:rPr>
        <w:t>。</w:t>
      </w:r>
      <w:r>
        <w:rPr>
          <w:rFonts w:hint="default" w:ascii="仿宋_GB2312" w:hAnsi="仿宋_GB2312" w:eastAsia="仿宋_GB2312" w:cs="仿宋_GB2312"/>
          <w:b w:val="0"/>
          <w:bCs w:val="0"/>
          <w:color w:val="auto"/>
          <w:sz w:val="32"/>
          <w:szCs w:val="32"/>
          <w:lang w:val="en-US" w:eastAsia="zh-CN"/>
        </w:rPr>
        <w:t>生活配套功能区占地面积约</w:t>
      </w:r>
      <w:r>
        <w:rPr>
          <w:rFonts w:hint="eastAsia" w:ascii="仿宋_GB2312" w:hAnsi="仿宋_GB2312" w:eastAsia="仿宋_GB2312" w:cs="仿宋_GB2312"/>
          <w:b w:val="0"/>
          <w:bCs w:val="0"/>
          <w:color w:val="auto"/>
          <w:sz w:val="32"/>
          <w:szCs w:val="32"/>
          <w:lang w:val="en-US" w:eastAsia="zh-CN"/>
        </w:rPr>
        <w:t>3266</w:t>
      </w:r>
      <w:r>
        <w:rPr>
          <w:rFonts w:hint="default" w:ascii="仿宋_GB2312" w:hAnsi="仿宋_GB2312" w:eastAsia="仿宋_GB2312" w:cs="仿宋_GB2312"/>
          <w:b w:val="0"/>
          <w:bCs w:val="0"/>
          <w:color w:val="auto"/>
          <w:sz w:val="32"/>
          <w:szCs w:val="32"/>
          <w:lang w:val="en-US" w:eastAsia="zh-CN"/>
        </w:rPr>
        <w:t>亩，在利用已建成冠英镇住宅及公共设施基础上，持续完善交通配套、休闲娱乐、餐饮、商业配套等设施，为入住示范基</w:t>
      </w:r>
      <w:r>
        <w:rPr>
          <w:rFonts w:hint="default" w:ascii="Times New Roman" w:hAnsi="Times New Roman" w:cs="Times New Roman"/>
          <w:color w:val="auto"/>
          <w:szCs w:val="32"/>
          <w:lang w:val="en-US" w:eastAsia="zh-CN"/>
        </w:rPr>
        <w:t>地的企业员工提供日常的生活服务。</w:t>
      </w:r>
    </w:p>
    <w:p>
      <w:pPr>
        <w:spacing w:line="600" w:lineRule="exact"/>
        <w:ind w:firstLine="643" w:firstLineChars="200"/>
        <w:outlineLvl w:val="3"/>
        <w:rPr>
          <w:rFonts w:hint="default" w:ascii="Times New Roman" w:hAnsi="Times New Roman" w:cs="Times New Roman"/>
          <w:b/>
          <w:bCs/>
          <w:color w:val="auto"/>
          <w:sz w:val="32"/>
          <w:szCs w:val="32"/>
          <w:lang w:val="en-US" w:eastAsia="zh-CN"/>
        </w:rPr>
      </w:pPr>
      <w:r>
        <w:rPr>
          <w:rFonts w:hint="eastAsia" w:cs="Times New Roman"/>
          <w:b/>
          <w:bCs/>
          <w:color w:val="auto"/>
          <w:sz w:val="32"/>
          <w:szCs w:val="32"/>
          <w:lang w:val="en-US" w:eastAsia="zh-CN"/>
        </w:rPr>
        <w:t>4.</w:t>
      </w:r>
      <w:r>
        <w:rPr>
          <w:rFonts w:hint="default" w:ascii="Times New Roman" w:hAnsi="Times New Roman" w:cs="Times New Roman"/>
          <w:b/>
          <w:bCs/>
          <w:color w:val="auto"/>
          <w:sz w:val="32"/>
          <w:szCs w:val="32"/>
          <w:lang w:val="en-US" w:eastAsia="zh-CN"/>
        </w:rPr>
        <w:t>临港产业发展预留区</w:t>
      </w:r>
    </w:p>
    <w:p>
      <w:pPr>
        <w:spacing w:line="600" w:lineRule="exact"/>
        <w:ind w:firstLine="640" w:firstLineChars="200"/>
        <w:rPr>
          <w:rFonts w:hint="default"/>
          <w:lang w:val="en-US" w:eastAsia="zh-CN"/>
        </w:rPr>
      </w:pPr>
      <w:r>
        <w:rPr>
          <w:rFonts w:hint="default" w:ascii="Times New Roman" w:hAnsi="Times New Roman" w:cs="Times New Roman"/>
          <w:color w:val="auto"/>
          <w:sz w:val="32"/>
          <w:szCs w:val="32"/>
          <w:lang w:val="en-US" w:eastAsia="zh-CN"/>
        </w:rPr>
        <w:t>临港产业发展预留区累计占地面积约</w:t>
      </w:r>
      <w:r>
        <w:rPr>
          <w:rFonts w:hint="eastAsia" w:cs="Times New Roman"/>
          <w:color w:val="auto"/>
          <w:sz w:val="32"/>
          <w:szCs w:val="32"/>
          <w:lang w:val="en-US" w:eastAsia="zh-CN"/>
        </w:rPr>
        <w:t>7100</w:t>
      </w:r>
      <w:r>
        <w:rPr>
          <w:rFonts w:hint="default" w:ascii="Times New Roman" w:hAnsi="Times New Roman" w:cs="Times New Roman"/>
          <w:color w:val="auto"/>
          <w:sz w:val="32"/>
          <w:szCs w:val="32"/>
          <w:lang w:val="en-US" w:eastAsia="zh-CN"/>
        </w:rPr>
        <w:t>亩，未来依托示范基地</w:t>
      </w:r>
      <w:r>
        <w:rPr>
          <w:rFonts w:hint="eastAsia" w:cs="Times New Roman"/>
          <w:color w:val="auto"/>
          <w:sz w:val="32"/>
          <w:szCs w:val="32"/>
          <w:lang w:val="en-US" w:eastAsia="zh-CN"/>
        </w:rPr>
        <w:t>物流</w:t>
      </w:r>
      <w:r>
        <w:rPr>
          <w:rFonts w:hint="default" w:ascii="Times New Roman" w:hAnsi="Times New Roman" w:cs="Times New Roman"/>
          <w:color w:val="auto"/>
          <w:sz w:val="32"/>
          <w:szCs w:val="32"/>
          <w:lang w:val="en-US" w:eastAsia="zh-CN"/>
        </w:rPr>
        <w:t>贸易一体化服务功能，建设临港装备制造、低空装备及系统研发制造、重型装备临港组装基地等，积极引入适铁、适水、适空生产制造企业入驻建厂，</w:t>
      </w:r>
      <w:r>
        <w:rPr>
          <w:rFonts w:hint="eastAsia" w:cs="Times New Roman"/>
          <w:color w:val="auto"/>
          <w:sz w:val="32"/>
          <w:szCs w:val="32"/>
          <w:lang w:val="en-US" w:eastAsia="zh-CN"/>
        </w:rPr>
        <w:t>实施启动研究建设化工物流园的可行性，</w:t>
      </w:r>
      <w:r>
        <w:rPr>
          <w:rFonts w:hint="default" w:ascii="Times New Roman" w:hAnsi="Times New Roman" w:cs="Times New Roman"/>
          <w:color w:val="auto"/>
          <w:sz w:val="32"/>
          <w:szCs w:val="32"/>
          <w:lang w:val="en-US" w:eastAsia="zh-CN"/>
        </w:rPr>
        <w:t>打造临港经济片区，大力发展供应链物流，实现现代物流业与制造业融合发展。</w:t>
      </w:r>
    </w:p>
    <w:p>
      <w:pPr>
        <w:pStyle w:val="3"/>
        <w:bidi w:val="0"/>
        <w:rPr>
          <w:rFonts w:hint="default" w:ascii="Times New Roman" w:hAnsi="Times New Roman" w:cs="Times New Roman"/>
          <w:color w:val="auto"/>
          <w:lang w:val="en-US" w:eastAsia="zh-CN"/>
        </w:rPr>
        <w:sectPr>
          <w:pgSz w:w="23811" w:h="16838" w:orient="landscape"/>
          <w:pgMar w:top="1800" w:right="1440" w:bottom="1800" w:left="1440" w:header="851" w:footer="992" w:gutter="0"/>
          <w:pgNumType w:fmt="decimal"/>
          <w:cols w:space="1280" w:num="2"/>
          <w:docGrid w:type="lines" w:linePitch="312" w:charSpace="0"/>
        </w:sectPr>
      </w:pPr>
    </w:p>
    <w:p>
      <w:pPr>
        <w:pStyle w:val="3"/>
        <w:bidi w:val="0"/>
        <w:rPr>
          <w:rFonts w:hint="default" w:ascii="Times New Roman" w:hAnsi="Times New Roman" w:cs="Times New Roman"/>
          <w:color w:val="auto"/>
          <w:lang w:val="en-US" w:eastAsia="zh-CN"/>
        </w:rPr>
      </w:pPr>
      <w:bookmarkStart w:id="140" w:name="_Toc30629"/>
      <w:r>
        <w:rPr>
          <w:rFonts w:hint="default" w:ascii="Times New Roman" w:hAnsi="Times New Roman" w:cs="Times New Roman"/>
          <w:color w:val="auto"/>
          <w:lang w:val="en-US" w:eastAsia="zh-CN"/>
        </w:rPr>
        <w:t>交通运输组织</w:t>
      </w:r>
      <w:bookmarkEnd w:id="140"/>
      <w:r>
        <w:rPr>
          <w:rFonts w:hint="default" w:ascii="Times New Roman" w:hAnsi="Times New Roman" w:cs="Times New Roman"/>
          <w:color w:val="auto"/>
          <w:lang w:val="en-US" w:eastAsia="zh-CN"/>
        </w:rPr>
        <w:t xml:space="preserve"> </w:t>
      </w:r>
    </w:p>
    <w:p>
      <w:pPr>
        <w:pStyle w:val="4"/>
        <w:bidi w:val="0"/>
        <w:rPr>
          <w:rFonts w:hint="default" w:ascii="Times New Roman" w:hAnsi="Times New Roman" w:cs="Times New Roman"/>
          <w:color w:val="auto"/>
          <w:lang w:val="en-US" w:eastAsia="zh-CN"/>
        </w:rPr>
      </w:pPr>
      <w:bookmarkStart w:id="141" w:name="_Toc24370"/>
      <w:r>
        <w:rPr>
          <w:rFonts w:hint="default" w:ascii="Times New Roman" w:hAnsi="Times New Roman" w:cs="Times New Roman"/>
          <w:color w:val="auto"/>
          <w:lang w:val="en-US" w:eastAsia="zh-CN"/>
        </w:rPr>
        <w:t>交通组织</w:t>
      </w:r>
      <w:bookmarkEnd w:id="141"/>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项目内部交通组织</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示范基地内部规划</w:t>
      </w:r>
      <w:r>
        <w:rPr>
          <w:rFonts w:hint="eastAsia" w:ascii="Times New Roman" w:hAnsi="Times New Roman" w:cs="Times New Roman"/>
          <w:color w:val="auto"/>
          <w:lang w:val="en-US" w:eastAsia="zh-CN"/>
        </w:rPr>
        <w:t>“</w:t>
      </w:r>
      <w:r>
        <w:rPr>
          <w:rFonts w:hint="eastAsia" w:cs="Times New Roman"/>
          <w:color w:val="auto"/>
          <w:lang w:val="en-US" w:eastAsia="zh-CN"/>
        </w:rPr>
        <w:t>五</w:t>
      </w:r>
      <w:r>
        <w:rPr>
          <w:rFonts w:hint="default" w:ascii="Times New Roman" w:hAnsi="Times New Roman" w:cs="Times New Roman"/>
          <w:color w:val="auto"/>
          <w:lang w:val="en-US" w:eastAsia="zh-CN"/>
        </w:rPr>
        <w:t>横三纵</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的主干道路</w:t>
      </w:r>
      <w:r>
        <w:rPr>
          <w:rFonts w:hint="eastAsia" w:ascii="Times New Roman" w:hAnsi="Times New Roman" w:cs="Times New Roman"/>
          <w:color w:val="auto"/>
          <w:lang w:val="en-US" w:eastAsia="zh-CN"/>
        </w:rPr>
        <w:t>网</w:t>
      </w:r>
      <w:r>
        <w:rPr>
          <w:rFonts w:hint="default" w:ascii="Times New Roman" w:hAnsi="Times New Roman" w:cs="Times New Roman"/>
          <w:color w:val="auto"/>
          <w:lang w:val="en-US" w:eastAsia="zh-CN"/>
        </w:rPr>
        <w:t>，其中</w:t>
      </w:r>
      <w:r>
        <w:rPr>
          <w:rFonts w:hint="eastAsia" w:cs="Times New Roman"/>
          <w:color w:val="auto"/>
          <w:lang w:val="en-US" w:eastAsia="zh-CN"/>
        </w:rPr>
        <w:t>五</w:t>
      </w:r>
      <w:r>
        <w:rPr>
          <w:rFonts w:hint="default" w:ascii="Times New Roman" w:hAnsi="Times New Roman" w:cs="Times New Roman"/>
          <w:color w:val="auto"/>
          <w:lang w:val="en-US" w:eastAsia="zh-CN"/>
        </w:rPr>
        <w:t>横为</w:t>
      </w:r>
      <w:r>
        <w:rPr>
          <w:rFonts w:hint="eastAsia" w:cs="Times New Roman"/>
          <w:color w:val="auto"/>
          <w:lang w:val="en-US" w:eastAsia="zh-CN"/>
        </w:rPr>
        <w:t>横一路、</w:t>
      </w:r>
      <w:r>
        <w:rPr>
          <w:rFonts w:hint="default" w:ascii="Times New Roman" w:hAnsi="Times New Roman" w:cs="Times New Roman"/>
          <w:color w:val="auto"/>
          <w:lang w:val="en-US" w:eastAsia="zh-CN"/>
        </w:rPr>
        <w:t>S215、横</w:t>
      </w:r>
      <w:r>
        <w:rPr>
          <w:rFonts w:hint="eastAsia" w:cs="Times New Roman"/>
          <w:color w:val="auto"/>
          <w:lang w:val="en-US" w:eastAsia="zh-CN"/>
        </w:rPr>
        <w:t>二</w:t>
      </w:r>
      <w:r>
        <w:rPr>
          <w:rFonts w:hint="default" w:ascii="Times New Roman" w:hAnsi="Times New Roman" w:cs="Times New Roman"/>
          <w:color w:val="auto"/>
          <w:lang w:val="en-US" w:eastAsia="zh-CN"/>
        </w:rPr>
        <w:t>路、横</w:t>
      </w:r>
      <w:r>
        <w:rPr>
          <w:rFonts w:hint="eastAsia" w:cs="Times New Roman"/>
          <w:color w:val="auto"/>
          <w:lang w:val="en-US" w:eastAsia="zh-CN"/>
        </w:rPr>
        <w:t>三</w:t>
      </w:r>
      <w:r>
        <w:rPr>
          <w:rFonts w:hint="default" w:ascii="Times New Roman" w:hAnsi="Times New Roman" w:cs="Times New Roman"/>
          <w:color w:val="auto"/>
          <w:lang w:val="en-US" w:eastAsia="zh-CN"/>
        </w:rPr>
        <w:t>路、横</w:t>
      </w:r>
      <w:r>
        <w:rPr>
          <w:rFonts w:hint="eastAsia" w:cs="Times New Roman"/>
          <w:color w:val="auto"/>
          <w:lang w:val="en-US" w:eastAsia="zh-CN"/>
        </w:rPr>
        <w:t>四</w:t>
      </w:r>
      <w:r>
        <w:rPr>
          <w:rFonts w:hint="default" w:ascii="Times New Roman" w:hAnsi="Times New Roman" w:cs="Times New Roman"/>
          <w:color w:val="auto"/>
          <w:lang w:val="en-US" w:eastAsia="zh-CN"/>
        </w:rPr>
        <w:t>路；三纵为进港大道、建业大道、纵一路，同时结合功能区布局规划若干条支路。</w:t>
      </w:r>
    </w:p>
    <w:p>
      <w:pPr>
        <w:pStyle w:val="27"/>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color w:val="auto"/>
        </w:rPr>
        <w:drawing>
          <wp:inline distT="0" distB="0" distL="114300" distR="114300">
            <wp:extent cx="5428615" cy="4989830"/>
            <wp:effectExtent l="0" t="0" r="635" b="127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64"/>
                    <a:stretch>
                      <a:fillRect/>
                    </a:stretch>
                  </pic:blipFill>
                  <pic:spPr>
                    <a:xfrm>
                      <a:off x="0" y="0"/>
                      <a:ext cx="5428615" cy="4989830"/>
                    </a:xfrm>
                    <a:prstGeom prst="rect">
                      <a:avLst/>
                    </a:prstGeom>
                    <a:noFill/>
                    <a:ln>
                      <a:noFill/>
                    </a:ln>
                  </pic:spPr>
                </pic:pic>
              </a:graphicData>
            </a:graphic>
          </wp:inline>
        </w:drawing>
      </w:r>
    </w:p>
    <w:p>
      <w:pPr>
        <w:pStyle w:val="7"/>
        <w:bidi w:val="0"/>
        <w:rPr>
          <w:rFonts w:hint="default" w:ascii="Times New Roman" w:hAnsi="Times New Roman"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示范基地内部路网示意图</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w:t>
      </w:r>
      <w:r>
        <w:rPr>
          <w:rFonts w:hint="eastAsia" w:ascii="Times New Roman" w:hAnsi="Times New Roman" w:cs="Times New Roman"/>
          <w:color w:val="auto"/>
          <w:lang w:val="en-US" w:eastAsia="zh-CN"/>
        </w:rPr>
        <w:t>“</w:t>
      </w:r>
      <w:r>
        <w:rPr>
          <w:rFonts w:hint="eastAsia" w:cs="Times New Roman"/>
          <w:color w:val="auto"/>
          <w:lang w:val="en-US" w:eastAsia="zh-CN"/>
        </w:rPr>
        <w:t>五</w:t>
      </w:r>
      <w:r>
        <w:rPr>
          <w:rFonts w:hint="default" w:ascii="Times New Roman" w:hAnsi="Times New Roman" w:cs="Times New Roman"/>
          <w:color w:val="auto"/>
          <w:lang w:val="en-US" w:eastAsia="zh-CN"/>
        </w:rPr>
        <w:t>横三纵</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内部路网明细表</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3"/>
        <w:gridCol w:w="1255"/>
        <w:gridCol w:w="2510"/>
        <w:gridCol w:w="2510"/>
        <w:gridCol w:w="2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49" w:type="pct"/>
            <w:gridSpan w:val="2"/>
          </w:tcPr>
          <w:p>
            <w:pPr>
              <w:keepNext/>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类型</w:t>
            </w:r>
          </w:p>
        </w:tc>
        <w:tc>
          <w:tcPr>
            <w:tcW w:w="1250" w:type="pct"/>
          </w:tcPr>
          <w:p>
            <w:pPr>
              <w:keepNext/>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线路名称</w:t>
            </w:r>
          </w:p>
        </w:tc>
        <w:tc>
          <w:tcPr>
            <w:tcW w:w="1250" w:type="pct"/>
          </w:tcPr>
          <w:p>
            <w:pPr>
              <w:keepNext/>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建设状态</w:t>
            </w:r>
          </w:p>
        </w:tc>
        <w:tc>
          <w:tcPr>
            <w:tcW w:w="1250" w:type="pct"/>
          </w:tcPr>
          <w:p>
            <w:pPr>
              <w:keepNext/>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车道数量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主干路</w:t>
            </w:r>
          </w:p>
        </w:tc>
        <w:tc>
          <w:tcPr>
            <w:tcW w:w="625"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eastAsia" w:cs="Times New Roman"/>
                <w:color w:val="auto"/>
                <w:sz w:val="24"/>
                <w:szCs w:val="24"/>
                <w:vertAlign w:val="baseline"/>
                <w:lang w:val="en-US" w:eastAsia="zh-CN"/>
              </w:rPr>
              <w:t>五</w:t>
            </w:r>
            <w:r>
              <w:rPr>
                <w:rFonts w:hint="default" w:ascii="Times New Roman" w:hAnsi="Times New Roman" w:eastAsia="仿宋_GB2312" w:cs="Times New Roman"/>
                <w:color w:val="auto"/>
                <w:sz w:val="24"/>
                <w:szCs w:val="24"/>
                <w:vertAlign w:val="baseline"/>
                <w:lang w:val="en-US" w:eastAsia="zh-CN"/>
              </w:rPr>
              <w:t>横</w:t>
            </w:r>
          </w:p>
        </w:tc>
        <w:tc>
          <w:tcPr>
            <w:tcW w:w="125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eastAsia="仿宋_GB2312" w:cs="Times New Roman"/>
                <w:color w:val="auto"/>
                <w:sz w:val="24"/>
                <w:szCs w:val="24"/>
                <w:vertAlign w:val="baseline"/>
                <w:lang w:val="en-US" w:eastAsia="zh-CN"/>
              </w:rPr>
              <w:t>横一路</w:t>
            </w:r>
          </w:p>
        </w:tc>
        <w:tc>
          <w:tcPr>
            <w:tcW w:w="125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eastAsia="仿宋_GB2312" w:cs="Times New Roman"/>
                <w:color w:val="auto"/>
                <w:sz w:val="24"/>
                <w:szCs w:val="24"/>
                <w:vertAlign w:val="baseline"/>
                <w:lang w:val="en-US" w:eastAsia="zh-CN"/>
              </w:rPr>
              <w:t>规划</w:t>
            </w:r>
          </w:p>
        </w:tc>
        <w:tc>
          <w:tcPr>
            <w:tcW w:w="125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双6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125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eastAsia="仿宋_GB2312" w:cs="Times New Roman"/>
                <w:color w:val="auto"/>
                <w:sz w:val="24"/>
                <w:szCs w:val="24"/>
                <w:vertAlign w:val="baseline"/>
                <w:lang w:val="en-US" w:eastAsia="zh-CN"/>
              </w:rPr>
              <w:t>S215</w:t>
            </w:r>
          </w:p>
        </w:tc>
        <w:tc>
          <w:tcPr>
            <w:tcW w:w="125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eastAsia="仿宋_GB2312" w:cs="Times New Roman"/>
                <w:color w:val="auto"/>
                <w:sz w:val="24"/>
                <w:szCs w:val="24"/>
                <w:vertAlign w:val="baseline"/>
                <w:lang w:val="en-US" w:eastAsia="zh-CN"/>
              </w:rPr>
              <w:t>建成</w:t>
            </w:r>
          </w:p>
        </w:tc>
        <w:tc>
          <w:tcPr>
            <w:tcW w:w="125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双8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125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eastAsia="仿宋_GB2312" w:cs="Times New Roman"/>
                <w:color w:val="auto"/>
                <w:sz w:val="24"/>
                <w:szCs w:val="24"/>
                <w:vertAlign w:val="baseline"/>
                <w:lang w:val="en-US" w:eastAsia="zh-CN"/>
              </w:rPr>
              <w:t>横</w:t>
            </w:r>
            <w:r>
              <w:rPr>
                <w:rFonts w:hint="eastAsia" w:ascii="Times New Roman" w:hAnsi="Times New Roman" w:cs="Times New Roman"/>
                <w:color w:val="auto"/>
                <w:sz w:val="24"/>
                <w:szCs w:val="24"/>
                <w:vertAlign w:val="baseline"/>
                <w:lang w:val="en-US" w:eastAsia="zh-CN"/>
              </w:rPr>
              <w:t>二</w:t>
            </w:r>
            <w:r>
              <w:rPr>
                <w:rFonts w:hint="default" w:ascii="Times New Roman" w:hAnsi="Times New Roman" w:eastAsia="仿宋_GB2312" w:cs="Times New Roman"/>
                <w:color w:val="auto"/>
                <w:sz w:val="24"/>
                <w:szCs w:val="24"/>
                <w:vertAlign w:val="baseline"/>
                <w:lang w:val="en-US" w:eastAsia="zh-CN"/>
              </w:rPr>
              <w:t>路</w:t>
            </w:r>
          </w:p>
        </w:tc>
        <w:tc>
          <w:tcPr>
            <w:tcW w:w="125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eastAsia="仿宋_GB2312" w:cs="Times New Roman"/>
                <w:color w:val="auto"/>
                <w:sz w:val="24"/>
                <w:szCs w:val="24"/>
                <w:vertAlign w:val="baseline"/>
                <w:lang w:val="en-US" w:eastAsia="zh-CN"/>
              </w:rPr>
              <w:t>规划</w:t>
            </w:r>
          </w:p>
        </w:tc>
        <w:tc>
          <w:tcPr>
            <w:tcW w:w="125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双6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横</w:t>
            </w:r>
            <w:r>
              <w:rPr>
                <w:rFonts w:hint="eastAsia" w:ascii="Times New Roman" w:hAnsi="Times New Roman" w:cs="Times New Roman"/>
                <w:color w:val="auto"/>
                <w:sz w:val="24"/>
                <w:szCs w:val="24"/>
                <w:vertAlign w:val="baseline"/>
                <w:lang w:val="en-US" w:eastAsia="zh-CN"/>
              </w:rPr>
              <w:t>三</w:t>
            </w:r>
            <w:r>
              <w:rPr>
                <w:rFonts w:hint="default" w:ascii="Times New Roman" w:hAnsi="Times New Roman" w:eastAsia="仿宋_GB2312" w:cs="Times New Roman"/>
                <w:color w:val="auto"/>
                <w:sz w:val="24"/>
                <w:szCs w:val="24"/>
                <w:vertAlign w:val="baseline"/>
                <w:lang w:val="en-US" w:eastAsia="zh-CN"/>
              </w:rPr>
              <w:t>路</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规划</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双6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横</w:t>
            </w:r>
            <w:r>
              <w:rPr>
                <w:rFonts w:hint="eastAsia" w:ascii="Times New Roman" w:hAnsi="Times New Roman" w:cs="Times New Roman"/>
                <w:color w:val="auto"/>
                <w:sz w:val="24"/>
                <w:szCs w:val="24"/>
                <w:vertAlign w:val="baseline"/>
                <w:lang w:val="en-US" w:eastAsia="zh-CN"/>
              </w:rPr>
              <w:t>四</w:t>
            </w:r>
            <w:r>
              <w:rPr>
                <w:rFonts w:hint="default" w:ascii="Times New Roman" w:hAnsi="Times New Roman" w:eastAsia="仿宋_GB2312" w:cs="Times New Roman"/>
                <w:color w:val="auto"/>
                <w:sz w:val="24"/>
                <w:szCs w:val="24"/>
                <w:vertAlign w:val="baseline"/>
                <w:lang w:val="en-US" w:eastAsia="zh-CN"/>
              </w:rPr>
              <w:t>路</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规划</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双6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625"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三纵</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进港大道</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建成</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双12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建业大道</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建成</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双8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纵一路</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规划</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双6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9"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支路</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规划</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双4</w:t>
            </w:r>
          </w:p>
        </w:tc>
      </w:tr>
    </w:tbl>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项目周边交通组织</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示范基地</w:t>
      </w:r>
      <w:r>
        <w:rPr>
          <w:rFonts w:hint="eastAsia" w:ascii="Times New Roman" w:hAnsi="Times New Roman" w:cs="Times New Roman"/>
          <w:color w:val="auto"/>
          <w:lang w:val="en-US" w:eastAsia="zh-CN"/>
        </w:rPr>
        <w:t>周边利用干线道路形成“四横五纵”的集疏运道路网，</w:t>
      </w:r>
      <w:r>
        <w:rPr>
          <w:rFonts w:hint="eastAsia" w:cs="Times New Roman"/>
          <w:color w:val="auto"/>
          <w:lang w:val="en-US" w:eastAsia="zh-CN"/>
        </w:rPr>
        <w:t>铁路方面，</w:t>
      </w:r>
      <w:r>
        <w:rPr>
          <w:rFonts w:hint="eastAsia" w:ascii="Times New Roman" w:hAnsi="Times New Roman" w:cs="Times New Roman"/>
          <w:color w:val="auto"/>
          <w:lang w:val="en-US" w:eastAsia="zh-CN"/>
        </w:rPr>
        <w:t>近期可</w:t>
      </w:r>
      <w:r>
        <w:rPr>
          <w:rFonts w:hint="default" w:ascii="Times New Roman" w:hAnsi="Times New Roman" w:cs="Times New Roman"/>
          <w:color w:val="auto"/>
          <w:lang w:val="en-US" w:eastAsia="zh-CN"/>
        </w:rPr>
        <w:t>通过建业大道连接</w:t>
      </w:r>
      <w:r>
        <w:rPr>
          <w:rFonts w:hint="eastAsia" w:cs="Times New Roman"/>
          <w:color w:val="auto"/>
          <w:lang w:val="en-US" w:eastAsia="zh-CN"/>
        </w:rPr>
        <w:t>连燕</w:t>
      </w:r>
      <w:r>
        <w:rPr>
          <w:rFonts w:hint="default" w:ascii="Times New Roman" w:hAnsi="Times New Roman" w:cs="Times New Roman"/>
          <w:color w:val="auto"/>
          <w:lang w:val="en-US" w:eastAsia="zh-CN"/>
        </w:rPr>
        <w:t>铁路乐山港站，</w:t>
      </w:r>
      <w:r>
        <w:rPr>
          <w:rFonts w:hint="eastAsia" w:ascii="Times New Roman" w:hAnsi="Times New Roman" w:cs="Times New Roman"/>
          <w:color w:val="auto"/>
          <w:lang w:val="en-US" w:eastAsia="zh-CN"/>
        </w:rPr>
        <w:t>远期利用进港铁路专用线，进而融入全国货运铁路网</w:t>
      </w:r>
      <w:r>
        <w:rPr>
          <w:rFonts w:hint="default" w:ascii="Times New Roman" w:hAnsi="Times New Roman" w:cs="Times New Roman"/>
          <w:color w:val="auto"/>
          <w:lang w:val="en-US" w:eastAsia="zh-CN"/>
        </w:rPr>
        <w:t>；</w:t>
      </w:r>
      <w:r>
        <w:rPr>
          <w:rFonts w:hint="eastAsia" w:cs="Times New Roman"/>
          <w:color w:val="auto"/>
          <w:lang w:val="en-US" w:eastAsia="zh-CN"/>
        </w:rPr>
        <w:t>高速公路方面，近期</w:t>
      </w:r>
      <w:r>
        <w:rPr>
          <w:rFonts w:hint="default" w:ascii="Times New Roman" w:hAnsi="Times New Roman" w:cs="Times New Roman"/>
          <w:color w:val="auto"/>
          <w:lang w:val="en-US" w:eastAsia="zh-CN"/>
        </w:rPr>
        <w:t>利用进港大道向北经乐山港收费站、向南经五通桥收费站衔接成乐高速、乐宜高速、乐自高速，</w:t>
      </w:r>
      <w:r>
        <w:rPr>
          <w:rFonts w:hint="eastAsia" w:cs="Times New Roman"/>
          <w:color w:val="auto"/>
          <w:lang w:val="en-US" w:eastAsia="zh-CN"/>
        </w:rPr>
        <w:t>远期通过乐山机场收费站衔接成乐高速，</w:t>
      </w:r>
      <w:r>
        <w:rPr>
          <w:rFonts w:hint="eastAsia" w:ascii="Times New Roman" w:hAnsi="Times New Roman" w:cs="Times New Roman"/>
          <w:color w:val="auto"/>
          <w:lang w:val="en-US" w:eastAsia="zh-CN"/>
        </w:rPr>
        <w:t>可</w:t>
      </w:r>
      <w:r>
        <w:rPr>
          <w:rFonts w:hint="default" w:ascii="Times New Roman" w:hAnsi="Times New Roman" w:cs="Times New Roman"/>
          <w:color w:val="auto"/>
          <w:lang w:val="en-US" w:eastAsia="zh-CN"/>
        </w:rPr>
        <w:t>接入全国高速公路网络；</w:t>
      </w:r>
      <w:r>
        <w:rPr>
          <w:rFonts w:hint="eastAsia" w:cs="Times New Roman"/>
          <w:color w:val="auto"/>
          <w:lang w:val="en-US" w:eastAsia="zh-CN"/>
        </w:rPr>
        <w:t>航空方面，</w:t>
      </w:r>
      <w:r>
        <w:rPr>
          <w:rFonts w:hint="default" w:ascii="Times New Roman" w:hAnsi="Times New Roman" w:cs="Times New Roman"/>
          <w:color w:val="auto"/>
          <w:lang w:val="en-US" w:eastAsia="zh-CN"/>
        </w:rPr>
        <w:t>通过S215、机场快速</w:t>
      </w:r>
      <w:r>
        <w:rPr>
          <w:rFonts w:hint="eastAsia" w:cs="Times New Roman"/>
          <w:color w:val="auto"/>
          <w:lang w:val="en-US" w:eastAsia="zh-CN"/>
        </w:rPr>
        <w:t>路可实现</w:t>
      </w:r>
      <w:r>
        <w:rPr>
          <w:rFonts w:hint="default" w:ascii="Times New Roman" w:hAnsi="Times New Roman" w:cs="Times New Roman"/>
          <w:color w:val="auto"/>
          <w:lang w:val="en-US" w:eastAsia="zh-CN"/>
        </w:rPr>
        <w:t>与机场货运站快捷联系，</w:t>
      </w:r>
      <w:r>
        <w:rPr>
          <w:rFonts w:hint="eastAsia" w:cs="Times New Roman"/>
          <w:color w:val="auto"/>
          <w:lang w:val="en-US" w:eastAsia="zh-CN"/>
        </w:rPr>
        <w:t>进而</w:t>
      </w:r>
      <w:r>
        <w:rPr>
          <w:rFonts w:hint="default" w:ascii="Times New Roman" w:hAnsi="Times New Roman" w:cs="Times New Roman"/>
          <w:color w:val="auto"/>
          <w:lang w:val="en-US" w:eastAsia="zh-CN"/>
        </w:rPr>
        <w:t>融入全国航空货运网络。此外，示范基地可利用进港大道、建业大道等城市干线和G348、S215等普通国省干线公路实现与中心城区</w:t>
      </w:r>
      <w:r>
        <w:rPr>
          <w:rFonts w:hint="eastAsia" w:cs="Times New Roman"/>
          <w:color w:val="auto"/>
          <w:lang w:val="en-US" w:eastAsia="zh-CN"/>
        </w:rPr>
        <w:t>、冠英新区</w:t>
      </w:r>
      <w:r>
        <w:rPr>
          <w:rFonts w:hint="default" w:ascii="Times New Roman" w:hAnsi="Times New Roman" w:cs="Times New Roman"/>
          <w:color w:val="auto"/>
          <w:lang w:val="en-US" w:eastAsia="zh-CN"/>
        </w:rPr>
        <w:t>和周边城乡交通网络衔接，提升城乡物流网络流通效率。</w:t>
      </w:r>
    </w:p>
    <w:p>
      <w:pPr>
        <w:pStyle w:val="27"/>
        <w:bidi w:val="0"/>
        <w:rPr>
          <w:rFonts w:hint="default" w:ascii="Times New Roman" w:hAnsi="Times New Roman" w:cs="Times New Roman"/>
          <w:color w:val="auto"/>
        </w:rPr>
      </w:pPr>
      <w:r>
        <w:rPr>
          <w:color w:val="auto"/>
        </w:rPr>
        <w:drawing>
          <wp:inline distT="0" distB="0" distL="114300" distR="114300">
            <wp:extent cx="5368925" cy="6595110"/>
            <wp:effectExtent l="0" t="0" r="3175" b="1524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65"/>
                    <a:stretch>
                      <a:fillRect/>
                    </a:stretch>
                  </pic:blipFill>
                  <pic:spPr>
                    <a:xfrm>
                      <a:off x="0" y="0"/>
                      <a:ext cx="5368925" cy="6595110"/>
                    </a:xfrm>
                    <a:prstGeom prst="rect">
                      <a:avLst/>
                    </a:prstGeom>
                    <a:noFill/>
                    <a:ln>
                      <a:noFill/>
                    </a:ln>
                  </pic:spPr>
                </pic:pic>
              </a:graphicData>
            </a:graphic>
          </wp:inline>
        </w:drawing>
      </w:r>
    </w:p>
    <w:p>
      <w:pPr>
        <w:pStyle w:val="7"/>
        <w:bidi w:val="0"/>
        <w:rPr>
          <w:rFonts w:hint="default" w:ascii="Times New Roman" w:hAnsi="Times New Roman"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示范基地周边交通组织图</w:t>
      </w:r>
    </w:p>
    <w:p>
      <w:pPr>
        <w:pStyle w:val="7"/>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7</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2</w:t>
      </w:r>
      <w:r>
        <w:rPr>
          <w:color w:val="auto"/>
        </w:rPr>
        <w:fldChar w:fldCharType="end"/>
      </w:r>
      <w:r>
        <w:rPr>
          <w:rFonts w:hint="eastAsia"/>
          <w:color w:val="auto"/>
          <w:lang w:val="en-US" w:eastAsia="zh-CN"/>
        </w:rPr>
        <w:t xml:space="preserve"> </w:t>
      </w:r>
      <w:r>
        <w:rPr>
          <w:rFonts w:hint="default" w:ascii="Times New Roman" w:hAnsi="Times New Roman" w:cs="Times New Roman"/>
          <w:color w:val="auto"/>
          <w:lang w:val="en-US" w:eastAsia="zh-CN"/>
        </w:rPr>
        <w:t>示范基地“四横五纵”</w:t>
      </w:r>
      <w:r>
        <w:rPr>
          <w:rFonts w:hint="eastAsia" w:cs="Times New Roman"/>
          <w:color w:val="auto"/>
          <w:lang w:val="en-US" w:eastAsia="zh-CN"/>
        </w:rPr>
        <w:t>外部</w:t>
      </w:r>
      <w:r>
        <w:rPr>
          <w:rFonts w:hint="default" w:ascii="Times New Roman" w:hAnsi="Times New Roman" w:cs="Times New Roman"/>
          <w:color w:val="auto"/>
          <w:lang w:val="en-US" w:eastAsia="zh-CN"/>
        </w:rPr>
        <w:t>路网明细表</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482"/>
        <w:gridCol w:w="4540"/>
        <w:gridCol w:w="2162"/>
        <w:gridCol w:w="1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0" w:hRule="atLeast"/>
          <w:tblHeader/>
        </w:trPr>
        <w:tc>
          <w:tcPr>
            <w:tcW w:w="738"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黑体" w:cs="Times New Roman"/>
                <w:color w:val="auto"/>
                <w:sz w:val="24"/>
                <w:szCs w:val="24"/>
                <w:vertAlign w:val="baseline"/>
                <w:lang w:val="en-US" w:eastAsia="zh-CN"/>
              </w:rPr>
            </w:pP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线路名称</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建设状态</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黑体" w:cs="Times New Roman"/>
                <w:color w:val="auto"/>
                <w:sz w:val="24"/>
                <w:szCs w:val="24"/>
                <w:vertAlign w:val="baseline"/>
                <w:lang w:val="en-US" w:eastAsia="zh-CN"/>
              </w:rPr>
            </w:pPr>
            <w:r>
              <w:rPr>
                <w:rFonts w:hint="eastAsia" w:ascii="Times New Roman" w:hAnsi="Times New Roman" w:eastAsia="黑体" w:cs="Times New Roman"/>
                <w:color w:val="auto"/>
                <w:sz w:val="24"/>
                <w:szCs w:val="24"/>
                <w:vertAlign w:val="baseline"/>
                <w:lang w:val="en-US" w:eastAsia="zh-CN"/>
              </w:rPr>
              <w:t>车道数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38" w:type="pct"/>
            <w:vMerge w:val="restar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四横</w:t>
            </w: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乐自高速</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建成</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38"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G348改线</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规划</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双</w:t>
            </w:r>
            <w:r>
              <w:rPr>
                <w:rFonts w:hint="eastAsia" w:cs="Times New Roman"/>
                <w:color w:val="auto"/>
                <w:sz w:val="24"/>
                <w:szCs w:val="24"/>
                <w:vertAlign w:val="baseli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38"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S215（新区六路）</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建成</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双6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38"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default" w:ascii="Times New Roman" w:hAnsi="Times New Roman" w:eastAsia="仿宋_GB2312" w:cs="Times New Roman"/>
                <w:color w:val="auto"/>
                <w:sz w:val="24"/>
                <w:szCs w:val="24"/>
                <w:vertAlign w:val="baseline"/>
                <w:lang w:val="en-US" w:eastAsia="zh-CN"/>
              </w:rPr>
            </w:pPr>
            <w:r>
              <w:rPr>
                <w:rFonts w:hint="eastAsia" w:cs="Times New Roman"/>
                <w:color w:val="auto"/>
                <w:sz w:val="24"/>
                <w:szCs w:val="24"/>
                <w:vertAlign w:val="baseline"/>
                <w:lang w:val="en-US" w:eastAsia="zh-CN"/>
              </w:rPr>
              <w:t>G213（龙翔路）</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建成</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双6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38" w:type="pct"/>
            <w:vMerge w:val="restar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五纵</w:t>
            </w: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S215—机场快速—机场高速</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在建/规划</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38"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乐宜高速</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建成</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38"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建业大道</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部分建成</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双6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38"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进港大道</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建成</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双12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738" w:type="pct"/>
            <w:vMerge w:val="continue"/>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p>
        </w:tc>
        <w:tc>
          <w:tcPr>
            <w:tcW w:w="2261"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cs="Times New Roman"/>
                <w:color w:val="auto"/>
                <w:sz w:val="24"/>
                <w:szCs w:val="24"/>
                <w:vertAlign w:val="baseline"/>
                <w:lang w:val="en-US" w:eastAsia="zh-CN"/>
              </w:rPr>
              <w:t>现状</w:t>
            </w:r>
            <w:r>
              <w:rPr>
                <w:rFonts w:hint="eastAsia" w:ascii="Times New Roman" w:hAnsi="Times New Roman" w:eastAsia="仿宋_GB2312" w:cs="Times New Roman"/>
                <w:color w:val="auto"/>
                <w:sz w:val="24"/>
                <w:szCs w:val="24"/>
                <w:vertAlign w:val="baseline"/>
                <w:lang w:val="en-US" w:eastAsia="zh-CN"/>
              </w:rPr>
              <w:t>S103</w:t>
            </w:r>
          </w:p>
        </w:tc>
        <w:tc>
          <w:tcPr>
            <w:tcW w:w="1077"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建成</w:t>
            </w:r>
          </w:p>
        </w:tc>
        <w:tc>
          <w:tcPr>
            <w:tcW w:w="923" w:type="pct"/>
            <w:shd w:val="clear" w:color="auto" w:fill="auto"/>
            <w:tcMar>
              <w:left w:w="108"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双4</w:t>
            </w:r>
          </w:p>
        </w:tc>
      </w:tr>
    </w:tbl>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中心城区工业区交通组织</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乐山市中心城区规划布局五通桥、牛华、高新、水口、嘉农和沙湾</w:t>
      </w:r>
      <w:r>
        <w:rPr>
          <w:rFonts w:hint="eastAsia" w:ascii="Times New Roman" w:hAnsi="Times New Roman" w:cs="Times New Roman"/>
          <w:color w:val="auto"/>
          <w:lang w:val="en-US" w:eastAsia="zh-CN"/>
        </w:rPr>
        <w:t>等</w:t>
      </w:r>
      <w:r>
        <w:rPr>
          <w:rFonts w:hint="default" w:ascii="Times New Roman" w:hAnsi="Times New Roman" w:cs="Times New Roman"/>
          <w:color w:val="auto"/>
          <w:lang w:val="en-US" w:eastAsia="zh-CN"/>
        </w:rPr>
        <w:t>工业集聚区，主要通过公路短驳运输方式实现与示范基地间的交通联系。</w:t>
      </w:r>
    </w:p>
    <w:p>
      <w:pPr>
        <w:rPr>
          <w:rFonts w:hint="default" w:ascii="Times New Roman" w:hAnsi="Times New Roman" w:cs="Times New Roman"/>
          <w:color w:val="auto"/>
          <w:lang w:val="en-US" w:eastAsia="zh-CN"/>
        </w:rPr>
      </w:pPr>
      <w:r>
        <w:rPr>
          <w:rFonts w:hint="eastAsia" w:ascii="仿宋_GB2312" w:hAnsi="仿宋_GB2312" w:eastAsia="仿宋_GB2312" w:cs="仿宋_GB2312"/>
          <w:b w:val="0"/>
          <w:bCs w:val="0"/>
          <w:color w:val="auto"/>
          <w:lang w:val="en-US" w:eastAsia="zh-CN"/>
        </w:rPr>
        <w:t>水口和嘉农工业集聚区：利用苏沙路经大件公路（S215），往南联系示范基地，重点满足四川罡</w:t>
      </w:r>
      <w:r>
        <w:rPr>
          <w:rFonts w:hint="default" w:ascii="Times New Roman" w:hAnsi="Times New Roman" w:cs="Times New Roman"/>
          <w:color w:val="auto"/>
          <w:lang w:val="en-US" w:eastAsia="zh-CN"/>
        </w:rPr>
        <w:t>宸、乐飞光电科技等制造</w:t>
      </w:r>
      <w:r>
        <w:rPr>
          <w:rFonts w:hint="eastAsia" w:cs="Times New Roman"/>
          <w:color w:val="auto"/>
          <w:lang w:val="en-US" w:eastAsia="zh-CN"/>
        </w:rPr>
        <w:t>业</w:t>
      </w:r>
      <w:r>
        <w:rPr>
          <w:rFonts w:hint="default" w:ascii="Times New Roman" w:hAnsi="Times New Roman" w:cs="Times New Roman"/>
          <w:color w:val="auto"/>
          <w:lang w:val="en-US" w:eastAsia="zh-CN"/>
        </w:rPr>
        <w:t>企业的钢材制品、光电器件制品运输需求。</w:t>
      </w:r>
    </w:p>
    <w:p>
      <w:pPr>
        <w:pStyle w:val="27"/>
        <w:bidi w:val="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760085" cy="3333750"/>
            <wp:effectExtent l="9525" t="9525" r="21590" b="9525"/>
            <wp:docPr id="46" name="图片 46" descr="水口、嘉农-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水口、嘉农-01"/>
                    <pic:cNvPicPr>
                      <a:picLocks noChangeAspect="1"/>
                    </pic:cNvPicPr>
                  </pic:nvPicPr>
                  <pic:blipFill>
                    <a:blip r:embed="rId66"/>
                    <a:stretch>
                      <a:fillRect/>
                    </a:stretch>
                  </pic:blipFill>
                  <pic:spPr>
                    <a:xfrm>
                      <a:off x="0" y="0"/>
                      <a:ext cx="5760085" cy="3333750"/>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示范基地与苏稽、水口和嘉农工业集聚区交通组织图</w:t>
      </w:r>
    </w:p>
    <w:p>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color w:val="auto"/>
          <w:lang w:val="en-US" w:eastAsia="zh-CN"/>
        </w:rPr>
      </w:pPr>
      <w:r>
        <w:rPr>
          <w:rFonts w:hint="default" w:ascii="Times New Roman" w:hAnsi="Times New Roman" w:cs="Times New Roman"/>
          <w:b w:val="0"/>
          <w:bCs w:val="0"/>
          <w:color w:val="auto"/>
          <w:lang w:val="en-US" w:eastAsia="zh-CN"/>
        </w:rPr>
        <w:t>牛华、五通桥工业集聚区：利用G213经进港大道，往北联系示范基地，重点</w:t>
      </w:r>
      <w:r>
        <w:rPr>
          <w:rFonts w:hint="eastAsia" w:ascii="Times New Roman" w:hAnsi="Times New Roman" w:cs="Times New Roman"/>
          <w:b w:val="0"/>
          <w:bCs w:val="0"/>
          <w:color w:val="auto"/>
          <w:lang w:val="en-US" w:eastAsia="zh-CN"/>
        </w:rPr>
        <w:t>满足</w:t>
      </w:r>
      <w:r>
        <w:rPr>
          <w:rFonts w:hint="default" w:ascii="Times New Roman" w:hAnsi="Times New Roman" w:cs="Times New Roman"/>
          <w:b w:val="0"/>
          <w:bCs w:val="0"/>
          <w:color w:val="auto"/>
        </w:rPr>
        <w:t>永祥新能源</w:t>
      </w:r>
      <w:r>
        <w:rPr>
          <w:rFonts w:hint="default" w:ascii="Times New Roman" w:hAnsi="Times New Roman" w:cs="Times New Roman"/>
          <w:b w:val="0"/>
          <w:bCs w:val="0"/>
          <w:color w:val="auto"/>
          <w:lang w:eastAsia="zh-CN"/>
        </w:rPr>
        <w:t>、</w:t>
      </w:r>
      <w:r>
        <w:rPr>
          <w:rFonts w:hint="default" w:ascii="Times New Roman" w:hAnsi="Times New Roman" w:cs="Times New Roman"/>
          <w:b w:val="0"/>
          <w:bCs w:val="0"/>
          <w:color w:val="auto"/>
          <w:lang w:val="en-US" w:eastAsia="zh-CN"/>
        </w:rPr>
        <w:t>和邦</w:t>
      </w:r>
      <w:r>
        <w:rPr>
          <w:rFonts w:hint="default" w:ascii="Times New Roman" w:hAnsi="Times New Roman" w:cs="Times New Roman"/>
          <w:color w:val="auto"/>
          <w:lang w:val="en-US" w:eastAsia="zh-CN"/>
        </w:rPr>
        <w:t>生物以及福华通达化学等</w:t>
      </w:r>
      <w:r>
        <w:rPr>
          <w:rFonts w:hint="eastAsia" w:ascii="Times New Roman" w:hAnsi="Times New Roman" w:cs="Times New Roman"/>
          <w:color w:val="auto"/>
          <w:lang w:val="en-US" w:eastAsia="zh-CN"/>
        </w:rPr>
        <w:t>制造</w:t>
      </w:r>
      <w:r>
        <w:rPr>
          <w:rFonts w:hint="eastAsia" w:cs="Times New Roman"/>
          <w:color w:val="auto"/>
          <w:lang w:val="en-US" w:eastAsia="zh-CN"/>
        </w:rPr>
        <w:t>业</w:t>
      </w:r>
      <w:r>
        <w:rPr>
          <w:rFonts w:hint="default" w:ascii="Times New Roman" w:hAnsi="Times New Roman" w:cs="Times New Roman"/>
          <w:color w:val="auto"/>
          <w:lang w:val="en-US" w:eastAsia="zh-CN"/>
        </w:rPr>
        <w:t>企业的多晶硅、化工制品和煤炭等原材料运输需求。</w:t>
      </w:r>
    </w:p>
    <w:p>
      <w:pPr>
        <w:pStyle w:val="27"/>
        <w:bidi w:val="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760085" cy="5179695"/>
            <wp:effectExtent l="9525" t="9525" r="21590" b="11430"/>
            <wp:docPr id="60" name="图片 60" descr="五通桥-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五通桥-02"/>
                    <pic:cNvPicPr>
                      <a:picLocks noChangeAspect="1"/>
                    </pic:cNvPicPr>
                  </pic:nvPicPr>
                  <pic:blipFill>
                    <a:blip r:embed="rId67"/>
                    <a:stretch>
                      <a:fillRect/>
                    </a:stretch>
                  </pic:blipFill>
                  <pic:spPr>
                    <a:xfrm>
                      <a:off x="0" y="0"/>
                      <a:ext cx="5760085" cy="5179695"/>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示范基地与牛华、五通桥工业集聚区交通组织图</w:t>
      </w:r>
    </w:p>
    <w:p>
      <w:pPr>
        <w:rPr>
          <w:rFonts w:hint="default" w:ascii="Times New Roman" w:hAnsi="Times New Roman" w:cs="Times New Roman"/>
          <w:color w:val="auto"/>
          <w:lang w:val="en-US" w:eastAsia="zh-CN"/>
        </w:rPr>
      </w:pPr>
      <w:r>
        <w:rPr>
          <w:rFonts w:hint="default" w:ascii="Times New Roman" w:hAnsi="Times New Roman" w:cs="Times New Roman"/>
          <w:b w:val="0"/>
          <w:bCs w:val="0"/>
          <w:color w:val="auto"/>
          <w:lang w:val="en-US" w:eastAsia="zh-CN"/>
        </w:rPr>
        <w:t>高新工业集聚区：利用进港大道、建业大道、大件公路等干线公路往南联系示范基地，重点</w:t>
      </w:r>
      <w:r>
        <w:rPr>
          <w:rFonts w:hint="eastAsia" w:ascii="Times New Roman" w:hAnsi="Times New Roman" w:cs="Times New Roman"/>
          <w:color w:val="auto"/>
          <w:lang w:val="en-US" w:eastAsia="zh-CN"/>
        </w:rPr>
        <w:t>满足</w:t>
      </w:r>
      <w:r>
        <w:rPr>
          <w:rFonts w:hint="default" w:ascii="Times New Roman" w:hAnsi="Times New Roman" w:cs="Times New Roman"/>
          <w:color w:val="auto"/>
          <w:lang w:val="en-US" w:eastAsia="zh-CN"/>
        </w:rPr>
        <w:t>尚玮股份、伟力得能源等</w:t>
      </w:r>
      <w:r>
        <w:rPr>
          <w:rFonts w:hint="eastAsia" w:ascii="Times New Roman" w:hAnsi="Times New Roman" w:cs="Times New Roman"/>
          <w:color w:val="auto"/>
          <w:lang w:val="en-US" w:eastAsia="zh-CN"/>
        </w:rPr>
        <w:t>制造</w:t>
      </w:r>
      <w:r>
        <w:rPr>
          <w:rFonts w:hint="eastAsia" w:cs="Times New Roman"/>
          <w:color w:val="auto"/>
          <w:lang w:val="en-US" w:eastAsia="zh-CN"/>
        </w:rPr>
        <w:t>业</w:t>
      </w:r>
      <w:r>
        <w:rPr>
          <w:rFonts w:hint="default" w:ascii="Times New Roman" w:hAnsi="Times New Roman" w:cs="Times New Roman"/>
          <w:color w:val="auto"/>
          <w:lang w:val="en-US" w:eastAsia="zh-CN"/>
        </w:rPr>
        <w:t>企业的光电器件制品和相关原材料运输需求。</w:t>
      </w:r>
    </w:p>
    <w:p>
      <w:pPr>
        <w:pStyle w:val="27"/>
        <w:bidi w:val="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760085" cy="3333750"/>
            <wp:effectExtent l="9525" t="9525" r="21590" b="9525"/>
            <wp:docPr id="35" name="图片 35" descr="高新-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高新-01"/>
                    <pic:cNvPicPr>
                      <a:picLocks noChangeAspect="1"/>
                    </pic:cNvPicPr>
                  </pic:nvPicPr>
                  <pic:blipFill>
                    <a:blip r:embed="rId68"/>
                    <a:stretch>
                      <a:fillRect/>
                    </a:stretch>
                  </pic:blipFill>
                  <pic:spPr>
                    <a:xfrm>
                      <a:off x="0" y="0"/>
                      <a:ext cx="5760085" cy="3333750"/>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示范基地与高新工业集聚区交通组织图</w:t>
      </w:r>
    </w:p>
    <w:p>
      <w:pPr>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沙湾工业集聚区：利用G348经大件公路（S215），往南联系示范基地，重点</w:t>
      </w:r>
      <w:r>
        <w:rPr>
          <w:rFonts w:hint="eastAsia" w:ascii="Times New Roman" w:hAnsi="Times New Roman" w:cs="Times New Roman"/>
          <w:b w:val="0"/>
          <w:bCs w:val="0"/>
          <w:color w:val="auto"/>
          <w:lang w:val="en-US" w:eastAsia="zh-CN"/>
        </w:rPr>
        <w:t>满足</w:t>
      </w:r>
      <w:r>
        <w:rPr>
          <w:rFonts w:hint="eastAsia" w:cs="Times New Roman"/>
          <w:b w:val="0"/>
          <w:bCs w:val="0"/>
          <w:color w:val="auto"/>
          <w:lang w:val="en-US" w:eastAsia="zh-CN"/>
        </w:rPr>
        <w:t>德</w:t>
      </w:r>
      <w:r>
        <w:rPr>
          <w:rFonts w:hint="default" w:ascii="Times New Roman" w:hAnsi="Times New Roman" w:cs="Times New Roman"/>
          <w:b w:val="0"/>
          <w:bCs w:val="0"/>
          <w:color w:val="auto"/>
          <w:lang w:val="en-US" w:eastAsia="zh-CN"/>
        </w:rPr>
        <w:t>胜集团等制造</w:t>
      </w:r>
      <w:r>
        <w:rPr>
          <w:rFonts w:hint="eastAsia" w:cs="Times New Roman"/>
          <w:b w:val="0"/>
          <w:bCs w:val="0"/>
          <w:color w:val="auto"/>
          <w:lang w:val="en-US" w:eastAsia="zh-CN"/>
        </w:rPr>
        <w:t>业</w:t>
      </w:r>
      <w:r>
        <w:rPr>
          <w:rFonts w:hint="default" w:ascii="Times New Roman" w:hAnsi="Times New Roman" w:cs="Times New Roman"/>
          <w:b w:val="0"/>
          <w:bCs w:val="0"/>
          <w:color w:val="auto"/>
          <w:lang w:val="en-US" w:eastAsia="zh-CN"/>
        </w:rPr>
        <w:t>企业的钢材制品和</w:t>
      </w:r>
      <w:r>
        <w:rPr>
          <w:rFonts w:hint="eastAsia" w:ascii="Times New Roman" w:hAnsi="Times New Roman" w:cs="Times New Roman"/>
          <w:b w:val="0"/>
          <w:bCs w:val="0"/>
          <w:color w:val="auto"/>
          <w:lang w:val="en-US" w:eastAsia="zh-CN"/>
        </w:rPr>
        <w:t>金属矿等</w:t>
      </w:r>
      <w:r>
        <w:rPr>
          <w:rFonts w:hint="default" w:ascii="Times New Roman" w:hAnsi="Times New Roman" w:cs="Times New Roman"/>
          <w:b w:val="0"/>
          <w:bCs w:val="0"/>
          <w:color w:val="auto"/>
          <w:lang w:val="en-US" w:eastAsia="zh-CN"/>
        </w:rPr>
        <w:t>原材料运输需求。</w:t>
      </w:r>
    </w:p>
    <w:p>
      <w:pPr>
        <w:pStyle w:val="27"/>
        <w:bidi w:val="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760085" cy="4753610"/>
            <wp:effectExtent l="9525" t="9525" r="21590" b="18415"/>
            <wp:docPr id="45" name="图片 45" descr="948ddf4eadb9bb70e3e8a316483486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948ddf4eadb9bb70e3e8a3164834867e"/>
                    <pic:cNvPicPr>
                      <a:picLocks noChangeAspect="1"/>
                    </pic:cNvPicPr>
                  </pic:nvPicPr>
                  <pic:blipFill>
                    <a:blip r:embed="rId69"/>
                    <a:stretch>
                      <a:fillRect/>
                    </a:stretch>
                  </pic:blipFill>
                  <pic:spPr>
                    <a:xfrm>
                      <a:off x="0" y="0"/>
                      <a:ext cx="5760085" cy="4753610"/>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示范基地与沙湾工业集聚区交通组织图</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市域工矿区交通组织</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乐山中心城区以外的县（市、区）主要布局有夹江经开区、峨眉山经开区、犍为经开区等工业区</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金口河生态产业园区、峨边生态产业园区、马边生态产业园区以及沐川生态产业园区等特色园区</w:t>
      </w:r>
      <w:r>
        <w:rPr>
          <w:rFonts w:hint="eastAsia" w:ascii="Times New Roman" w:hAnsi="Times New Roman" w:cs="Times New Roman"/>
          <w:color w:val="auto"/>
          <w:lang w:val="en-US" w:eastAsia="zh-CN"/>
        </w:rPr>
        <w:t>，以及</w:t>
      </w:r>
      <w:r>
        <w:rPr>
          <w:rFonts w:hint="eastAsia" w:cs="Times New Roman"/>
          <w:color w:val="auto"/>
          <w:lang w:val="en-US" w:eastAsia="zh-CN"/>
        </w:rPr>
        <w:t>峨边玄武岩基地等采矿</w:t>
      </w:r>
      <w:r>
        <w:rPr>
          <w:rFonts w:hint="default" w:ascii="Times New Roman" w:hAnsi="Times New Roman" w:cs="Times New Roman"/>
          <w:color w:val="auto"/>
          <w:lang w:val="en-US" w:eastAsia="zh-CN"/>
        </w:rPr>
        <w:t>区。</w:t>
      </w:r>
    </w:p>
    <w:p>
      <w:pPr>
        <w:rPr>
          <w:rFonts w:hint="default" w:ascii="Times New Roman" w:hAnsi="Times New Roman" w:cs="Times New Roman"/>
          <w:color w:val="auto"/>
          <w:lang w:val="en-US" w:eastAsia="zh-CN"/>
        </w:rPr>
      </w:pPr>
      <w:r>
        <w:rPr>
          <w:rFonts w:hint="eastAsia" w:ascii="仿宋_GB2312" w:hAnsi="仿宋_GB2312" w:eastAsia="仿宋_GB2312" w:cs="仿宋_GB2312"/>
          <w:b w:val="0"/>
          <w:bCs w:val="0"/>
          <w:color w:val="auto"/>
          <w:lang w:val="en-US" w:eastAsia="zh-CN"/>
        </w:rPr>
        <w:t>犍为经开区、沐川生态产业园、马边生态产业园：利用乐宜高速、乐西高速两条高速公路以及G348、S215等普通国省道往北联系示范基地，重点满足装备制造、特色农产品加工、新材料等产业运输</w:t>
      </w:r>
      <w:r>
        <w:rPr>
          <w:rFonts w:hint="default" w:ascii="Times New Roman" w:hAnsi="Times New Roman" w:cs="Times New Roman"/>
          <w:color w:val="auto"/>
          <w:lang w:val="en-US" w:eastAsia="zh-CN"/>
        </w:rPr>
        <w:t>需求。</w:t>
      </w:r>
    </w:p>
    <w:p>
      <w:pPr>
        <w:pStyle w:val="2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760085" cy="3866515"/>
            <wp:effectExtent l="9525" t="9525" r="21590" b="10160"/>
            <wp:docPr id="54" name="图片 54" descr="犍为、沐川、马边-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犍为、沐川、马边-06"/>
                    <pic:cNvPicPr>
                      <a:picLocks noChangeAspect="1"/>
                    </pic:cNvPicPr>
                  </pic:nvPicPr>
                  <pic:blipFill>
                    <a:blip r:embed="rId70"/>
                    <a:srcRect t="8809" b="16546"/>
                    <a:stretch>
                      <a:fillRect/>
                    </a:stretch>
                  </pic:blipFill>
                  <pic:spPr>
                    <a:xfrm>
                      <a:off x="0" y="0"/>
                      <a:ext cx="5760085" cy="3866515"/>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示范基地与犍为经开区、沐川生态产业园等交通组织图</w:t>
      </w:r>
    </w:p>
    <w:p>
      <w:pPr>
        <w:bidi w:val="0"/>
        <w:rPr>
          <w:rFonts w:hint="default" w:ascii="Times New Roman" w:hAnsi="Times New Roman" w:cs="Times New Roman"/>
          <w:color w:val="auto"/>
          <w:lang w:val="en-US" w:eastAsia="zh-CN"/>
        </w:rPr>
      </w:pPr>
      <w:r>
        <w:rPr>
          <w:rFonts w:hint="default" w:ascii="Times New Roman" w:hAnsi="Times New Roman" w:cs="Times New Roman"/>
          <w:b w:val="0"/>
          <w:bCs w:val="0"/>
          <w:color w:val="auto"/>
          <w:lang w:val="en-US" w:eastAsia="zh-CN"/>
        </w:rPr>
        <w:t>夹江经开区、峨眉山经开区、峨边生态产业园、金口河生态产业园</w:t>
      </w:r>
      <w:r>
        <w:rPr>
          <w:rFonts w:hint="eastAsia" w:ascii="Times New Roman" w:hAnsi="Times New Roman" w:cs="Times New Roman"/>
          <w:b w:val="0"/>
          <w:bCs w:val="0"/>
          <w:color w:val="auto"/>
          <w:lang w:val="en-US" w:eastAsia="zh-CN"/>
        </w:rPr>
        <w:t>、</w:t>
      </w:r>
      <w:r>
        <w:rPr>
          <w:rFonts w:hint="eastAsia" w:cs="Times New Roman"/>
          <w:b w:val="0"/>
          <w:bCs w:val="0"/>
          <w:color w:val="auto"/>
          <w:lang w:val="en-US" w:eastAsia="zh-CN"/>
        </w:rPr>
        <w:t>峨边玄武岩</w:t>
      </w:r>
      <w:r>
        <w:rPr>
          <w:rFonts w:hint="default" w:ascii="Times New Roman" w:hAnsi="Times New Roman" w:cs="Times New Roman"/>
          <w:b w:val="0"/>
          <w:bCs w:val="0"/>
          <w:color w:val="auto"/>
          <w:lang w:val="en-US" w:eastAsia="zh-CN"/>
        </w:rPr>
        <w:t>开采区：公路方面主要利用成乐高速、峨汉高速接乐宜高速，以及G245、S215等普通国省</w:t>
      </w:r>
      <w:r>
        <w:rPr>
          <w:rFonts w:hint="default" w:ascii="Times New Roman" w:hAnsi="Times New Roman" w:cs="Times New Roman"/>
          <w:color w:val="auto"/>
          <w:lang w:val="en-US" w:eastAsia="zh-CN"/>
        </w:rPr>
        <w:t>道往南联系示范基地，铁路方面主要利用成昆铁路夹江站、燕岗站、峨边站以及金口河站，经铁路专用线联系示范基地，重点</w:t>
      </w:r>
      <w:r>
        <w:rPr>
          <w:rFonts w:hint="eastAsia" w:ascii="Times New Roman" w:hAnsi="Times New Roman" w:cs="Times New Roman"/>
          <w:color w:val="auto"/>
          <w:lang w:val="en-US" w:eastAsia="zh-CN"/>
        </w:rPr>
        <w:t>满足</w:t>
      </w:r>
      <w:r>
        <w:rPr>
          <w:rFonts w:hint="default" w:ascii="Times New Roman" w:hAnsi="Times New Roman" w:cs="Times New Roman"/>
          <w:color w:val="auto"/>
          <w:lang w:val="en-US" w:eastAsia="zh-CN"/>
        </w:rPr>
        <w:t>新型建材、食品饮料、特色农产品加工</w:t>
      </w:r>
      <w:r>
        <w:rPr>
          <w:rFonts w:hint="eastAsia" w:cs="Times New Roman"/>
          <w:color w:val="auto"/>
          <w:lang w:val="en-US" w:eastAsia="zh-CN"/>
        </w:rPr>
        <w:t>、玄武岩矿</w:t>
      </w:r>
      <w:r>
        <w:rPr>
          <w:rFonts w:hint="default" w:ascii="Times New Roman" w:hAnsi="Times New Roman" w:cs="Times New Roman"/>
          <w:color w:val="auto"/>
          <w:lang w:val="en-US" w:eastAsia="zh-CN"/>
        </w:rPr>
        <w:t>等产业运输需求。</w:t>
      </w:r>
    </w:p>
    <w:p>
      <w:pPr>
        <w:pStyle w:val="2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760085" cy="3808095"/>
            <wp:effectExtent l="0" t="0" r="12065" b="1905"/>
            <wp:docPr id="56" name="图片 56" descr="61354502b5e815772c3da5ede4b4d0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61354502b5e815772c3da5ede4b4d0dd"/>
                    <pic:cNvPicPr>
                      <a:picLocks noChangeAspect="1"/>
                    </pic:cNvPicPr>
                  </pic:nvPicPr>
                  <pic:blipFill>
                    <a:blip r:embed="rId71"/>
                    <a:stretch>
                      <a:fillRect/>
                    </a:stretch>
                  </pic:blipFill>
                  <pic:spPr>
                    <a:xfrm>
                      <a:off x="0" y="0"/>
                      <a:ext cx="5760085" cy="3808095"/>
                    </a:xfrm>
                    <a:prstGeom prst="rect">
                      <a:avLst/>
                    </a:prstGeom>
                  </pic:spPr>
                </pic:pic>
              </a:graphicData>
            </a:graphic>
          </wp:inline>
        </w:drawing>
      </w:r>
    </w:p>
    <w:p>
      <w:pPr>
        <w:pStyle w:val="7"/>
        <w:bidi w:val="0"/>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8</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示范基地与夹江经开区、峨眉山经开区等交通组织图</w:t>
      </w:r>
    </w:p>
    <w:p>
      <w:pPr>
        <w:pStyle w:val="4"/>
        <w:rPr>
          <w:rFonts w:hint="default" w:ascii="Times New Roman" w:hAnsi="Times New Roman" w:cs="Times New Roman"/>
          <w:color w:val="auto"/>
          <w:lang w:val="en-US" w:eastAsia="zh-CN"/>
        </w:rPr>
      </w:pPr>
      <w:bookmarkStart w:id="142" w:name="_Toc15311"/>
      <w:r>
        <w:rPr>
          <w:rFonts w:hint="default" w:ascii="Times New Roman" w:hAnsi="Times New Roman" w:cs="Times New Roman"/>
          <w:color w:val="auto"/>
          <w:lang w:val="en-US" w:eastAsia="zh-CN"/>
        </w:rPr>
        <w:t>运输组织</w:t>
      </w:r>
      <w:bookmarkEnd w:id="142"/>
    </w:p>
    <w:p>
      <w:pPr>
        <w:ind w:firstLine="640"/>
        <w:rPr>
          <w:rFonts w:hint="default" w:ascii="Times New Roman" w:hAnsi="Times New Roman" w:cs="Times New Roman"/>
          <w:color w:val="auto"/>
          <w:szCs w:val="32"/>
          <w:lang w:val="en-US" w:eastAsia="zh-CN"/>
        </w:rPr>
      </w:pPr>
      <w:r>
        <w:rPr>
          <w:rFonts w:hint="default" w:ascii="Times New Roman" w:hAnsi="Times New Roman" w:cs="Times New Roman"/>
          <w:color w:val="auto"/>
          <w:szCs w:val="32"/>
          <w:lang w:val="en-US" w:eastAsia="zh-CN"/>
        </w:rPr>
        <w:t>示范基地重点聚焦</w:t>
      </w:r>
      <w:r>
        <w:rPr>
          <w:rFonts w:hint="eastAsia" w:cs="Times New Roman"/>
          <w:color w:val="auto"/>
          <w:szCs w:val="32"/>
          <w:lang w:val="en-US" w:eastAsia="zh-CN"/>
        </w:rPr>
        <w:t>普通</w:t>
      </w:r>
      <w:r>
        <w:rPr>
          <w:rFonts w:hint="default" w:ascii="Times New Roman" w:hAnsi="Times New Roman" w:cs="Times New Roman"/>
          <w:color w:val="auto"/>
          <w:szCs w:val="32"/>
          <w:lang w:val="en-US" w:eastAsia="zh-CN"/>
        </w:rPr>
        <w:t>化工制品、大件装备、建材、钢铁、煤炭、金属矿石等大宗物资产品以及生活物资，打造以水运、铁路、公路、航空干线运输为核心，以公铁、公水、铁水、陆空等多式联运业务为特色，内河航运、铁路班列、多式联运、区域分拨配送等全面发展的现代物流服务体系。</w:t>
      </w:r>
    </w:p>
    <w:p>
      <w:pPr>
        <w:pStyle w:val="5"/>
        <w:bidi w:val="0"/>
        <w:outlineLvl w:val="3"/>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干线运输</w:t>
      </w:r>
    </w:p>
    <w:p>
      <w:pPr>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1.</w:t>
      </w:r>
      <w:r>
        <w:rPr>
          <w:rFonts w:hint="default" w:ascii="Times New Roman" w:hAnsi="Times New Roman" w:cs="Times New Roman"/>
          <w:b/>
          <w:bCs/>
          <w:color w:val="auto"/>
          <w:lang w:val="en-US" w:eastAsia="zh-CN"/>
        </w:rPr>
        <w:t>内河航运</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依托岷江水道与长江上游宜宾港、泸州港、重庆港等内河港口连接，</w:t>
      </w:r>
      <w:r>
        <w:rPr>
          <w:rFonts w:hint="eastAsia" w:cs="Times New Roman"/>
          <w:color w:val="auto"/>
          <w:lang w:val="en-US" w:eastAsia="zh-CN"/>
        </w:rPr>
        <w:t>大力发展乐山至</w:t>
      </w:r>
      <w:r>
        <w:rPr>
          <w:rFonts w:hint="default" w:ascii="Times New Roman" w:hAnsi="Times New Roman" w:cs="Times New Roman"/>
          <w:color w:val="auto"/>
          <w:lang w:val="en-US" w:eastAsia="zh-CN"/>
        </w:rPr>
        <w:t>宜宾港、泸州港、</w:t>
      </w:r>
      <w:r>
        <w:rPr>
          <w:rFonts w:hint="eastAsia" w:cs="Times New Roman"/>
          <w:color w:val="auto"/>
          <w:lang w:val="en-US" w:eastAsia="zh-CN"/>
        </w:rPr>
        <w:t>重庆果园港、万州港等港口的“小改大”“散改集”水水中转航线；探索开行乐山至重庆、宜昌、武汉、上海等长江沿线城市集装箱班轮，畅通乐山至长江中</w:t>
      </w:r>
      <w:r>
        <w:rPr>
          <w:rFonts w:hint="default" w:ascii="Times New Roman" w:hAnsi="Times New Roman" w:cs="Times New Roman"/>
          <w:color w:val="auto"/>
          <w:lang w:val="en-US" w:eastAsia="zh-CN"/>
        </w:rPr>
        <w:t>下游或国际方向</w:t>
      </w:r>
      <w:r>
        <w:rPr>
          <w:rFonts w:hint="eastAsia" w:cs="Times New Roman"/>
          <w:color w:val="auto"/>
          <w:lang w:val="en-US" w:eastAsia="zh-CN"/>
        </w:rPr>
        <w:t>运输通道</w:t>
      </w:r>
      <w:r>
        <w:rPr>
          <w:rFonts w:hint="default" w:ascii="Times New Roman" w:hAnsi="Times New Roman" w:cs="Times New Roman"/>
          <w:color w:val="auto"/>
          <w:lang w:val="en-US" w:eastAsia="zh-CN"/>
        </w:rPr>
        <w:t>。</w:t>
      </w:r>
      <w:r>
        <w:rPr>
          <w:rFonts w:hint="eastAsia" w:cs="Times New Roman"/>
          <w:color w:val="auto"/>
          <w:lang w:val="en-US" w:eastAsia="zh-CN"/>
        </w:rPr>
        <w:t>待犍为港建成后，研究开行示范基地至犍为港的集装箱钟摆航线，做强犍为港区集装箱母港功能。</w:t>
      </w:r>
    </w:p>
    <w:p>
      <w:pPr>
        <w:pStyle w:val="27"/>
        <w:bidi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760085" cy="3930015"/>
            <wp:effectExtent l="9525" t="9525" r="21590" b="22860"/>
            <wp:docPr id="58" name="图片 58" descr="内河航运-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内河航运-01"/>
                    <pic:cNvPicPr>
                      <a:picLocks noChangeAspect="1"/>
                    </pic:cNvPicPr>
                  </pic:nvPicPr>
                  <pic:blipFill>
                    <a:blip r:embed="rId72"/>
                    <a:srcRect l="6068" t="7073" r="5498" b="7621"/>
                    <a:stretch>
                      <a:fillRect/>
                    </a:stretch>
                  </pic:blipFill>
                  <pic:spPr>
                    <a:xfrm>
                      <a:off x="0" y="0"/>
                      <a:ext cx="5760085" cy="3930015"/>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9</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内河航运干线运输组织图</w:t>
      </w:r>
    </w:p>
    <w:p>
      <w:pPr>
        <w:keepNext/>
        <w:keepLines w:val="0"/>
        <w:pageBreakBefore w:val="0"/>
        <w:widowControl w:val="0"/>
        <w:suppressLineNumbers w:val="0"/>
        <w:kinsoku/>
        <w:wordWrap/>
        <w:overflowPunct/>
        <w:topLinePunct w:val="0"/>
        <w:autoSpaceDE/>
        <w:autoSpaceDN/>
        <w:bidi w:val="0"/>
        <w:adjustRightInd/>
        <w:snapToGrid/>
        <w:jc w:val="left"/>
        <w:textAlignment w:val="auto"/>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2.</w:t>
      </w:r>
      <w:r>
        <w:rPr>
          <w:rFonts w:hint="default" w:ascii="Times New Roman" w:hAnsi="Times New Roman" w:cs="Times New Roman"/>
          <w:b/>
          <w:bCs/>
          <w:color w:val="auto"/>
          <w:lang w:val="en-US" w:eastAsia="zh-CN"/>
        </w:rPr>
        <w:t>铁路干线</w:t>
      </w:r>
    </w:p>
    <w:p>
      <w:pPr>
        <w:keepNext w:val="0"/>
        <w:keepLines w:val="0"/>
        <w:pageBreakBefore w:val="0"/>
        <w:widowControl w:val="0"/>
        <w:suppressLineNumbers w:val="0"/>
        <w:kinsoku/>
        <w:wordWrap/>
        <w:overflowPunct/>
        <w:topLinePunct w:val="0"/>
        <w:autoSpaceDE/>
        <w:autoSpaceDN/>
        <w:bidi w:val="0"/>
        <w:adjustRightInd/>
        <w:snapToGrid/>
        <w:jc w:val="left"/>
        <w:textAlignment w:val="auto"/>
        <w:rPr>
          <w:rFonts w:hint="default" w:ascii="Times New Roman" w:hAnsi="Times New Roman" w:cs="Times New Roman"/>
          <w:color w:val="auto"/>
          <w:lang w:val="en-US" w:eastAsia="zh-CN"/>
        </w:rPr>
      </w:pPr>
      <w:r>
        <w:rPr>
          <w:rFonts w:hint="eastAsia" w:ascii="仿宋_GB2312" w:hAnsi="仿宋_GB2312" w:eastAsia="仿宋_GB2312" w:cs="仿宋_GB2312"/>
          <w:color w:val="auto"/>
          <w:lang w:val="en-US" w:eastAsia="zh-CN"/>
        </w:rPr>
        <w:t>国内铁路运输方面，依托乐山市打造的“五纵两横”铁路网，突出成昆铁路向南、连燕铁路向东开放的区位优势，利用进港铁路专用线与西南地区成都、达州、重庆、昆明、贵阳、玉林等主要物流枢纽城市加强联系，大力发展煤炭、焦炭、金属矿石、钢铁等大宗商品班列运输。国际铁路运输方面，深化</w:t>
      </w:r>
      <w:r>
        <w:rPr>
          <w:rFonts w:hint="default" w:ascii="Times New Roman" w:hAnsi="Times New Roman" w:cs="Times New Roman"/>
          <w:color w:val="auto"/>
          <w:lang w:val="en-US" w:eastAsia="zh-CN"/>
        </w:rPr>
        <w:t>与夹江集装箱物流园、成都国际铁路港等国际物流枢纽联动和业务协作，积极对接中欧班列（成渝）、西部陆海新通道班列</w:t>
      </w:r>
      <w:r>
        <w:rPr>
          <w:rFonts w:hint="eastAsia" w:cs="Times New Roman"/>
          <w:color w:val="auto"/>
          <w:lang w:val="en-US" w:eastAsia="zh-CN"/>
        </w:rPr>
        <w:t>（中老、中越）</w:t>
      </w:r>
      <w:r>
        <w:rPr>
          <w:rFonts w:hint="default" w:ascii="Times New Roman" w:hAnsi="Times New Roman" w:cs="Times New Roman"/>
          <w:color w:val="auto"/>
          <w:lang w:val="en-US" w:eastAsia="zh-CN"/>
        </w:rPr>
        <w:t>等国际班列，</w:t>
      </w:r>
      <w:r>
        <w:rPr>
          <w:rFonts w:hint="eastAsia" w:cs="Times New Roman"/>
          <w:color w:val="auto"/>
          <w:lang w:val="en-US" w:eastAsia="zh-CN"/>
        </w:rPr>
        <w:t>以中欧班列、西部陆海新通道班列集结中心乐山基地建设为抓手，研究开行支线班列、组货班列、定制班列等</w:t>
      </w:r>
      <w:r>
        <w:rPr>
          <w:rFonts w:hint="default" w:ascii="Times New Roman" w:hAnsi="Times New Roman" w:cs="Times New Roman"/>
          <w:i w:val="0"/>
          <w:caps w:val="0"/>
          <w:color w:val="auto"/>
          <w:spacing w:val="0"/>
          <w:sz w:val="32"/>
          <w:szCs w:val="32"/>
          <w:shd w:val="clear" w:color="auto" w:fill="FFFFFF"/>
          <w:lang w:val="en-US" w:eastAsia="zh-CN"/>
        </w:rPr>
        <w:t>，</w:t>
      </w:r>
      <w:r>
        <w:rPr>
          <w:rFonts w:hint="default" w:ascii="Times New Roman" w:hAnsi="Times New Roman" w:cs="Times New Roman"/>
          <w:color w:val="auto"/>
          <w:lang w:val="en-US" w:eastAsia="zh-CN"/>
        </w:rPr>
        <w:t>打造陆上铁路国际运输通道。</w:t>
      </w:r>
      <w:r>
        <w:rPr>
          <w:rFonts w:hint="eastAsia" w:cs="Times New Roman"/>
          <w:color w:val="auto"/>
          <w:lang w:val="en-US" w:eastAsia="zh-CN"/>
        </w:rPr>
        <w:t>积极拓展中欧班列经乐山衔接长江黄金水道的国际铁水联运，支撑保障国际供应链安全稳定。</w:t>
      </w:r>
    </w:p>
    <w:p>
      <w:pPr>
        <w:pStyle w:val="27"/>
        <w:bidi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760085" cy="3940175"/>
            <wp:effectExtent l="9525" t="9525" r="21590" b="12700"/>
            <wp:docPr id="59" name="图片 59" descr="铁路干线-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铁路干线-01"/>
                    <pic:cNvPicPr>
                      <a:picLocks noChangeAspect="1"/>
                    </pic:cNvPicPr>
                  </pic:nvPicPr>
                  <pic:blipFill>
                    <a:blip r:embed="rId73"/>
                    <a:srcRect l="6201" t="7142" r="5559" b="7501"/>
                    <a:stretch>
                      <a:fillRect/>
                    </a:stretch>
                  </pic:blipFill>
                  <pic:spPr>
                    <a:xfrm>
                      <a:off x="0" y="0"/>
                      <a:ext cx="5760085" cy="3940175"/>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10</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铁路干线运输组织图</w:t>
      </w:r>
    </w:p>
    <w:p>
      <w:pPr>
        <w:keepNext w:val="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3.</w:t>
      </w:r>
      <w:r>
        <w:rPr>
          <w:rFonts w:hint="default" w:ascii="Times New Roman" w:hAnsi="Times New Roman" w:cs="Times New Roman"/>
          <w:b/>
          <w:bCs/>
          <w:color w:val="auto"/>
          <w:lang w:val="en-US" w:eastAsia="zh-CN"/>
        </w:rPr>
        <w:t>航空干线</w:t>
      </w:r>
    </w:p>
    <w:p>
      <w:pPr>
        <w:keepNext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合考虑乐山机场军民两用定位，结合成渝地区双城经济圈建设、五区共兴等国省重大区域发展战略要求，以及乐山经济产业发展需求，积极完善乐山至北京、上海、广州、深圳、武汉等东、中部地区城市国内航空货运干线通道，推动乐山融入京津冀、长三角、粤港澳大湾区等地区协同发展，实现至全国重要门户枢纽机场“天天有航班”。开通乐山至拉萨、乌鲁木齐、阿坝、甘孜等地区的货运航线，保障特殊时期该类地区应急物资中转调运和民生物资及时供应。</w:t>
      </w:r>
      <w:r>
        <w:rPr>
          <w:rFonts w:hint="eastAsia" w:cs="Times New Roman"/>
          <w:color w:val="auto"/>
          <w:lang w:val="en-US" w:eastAsia="zh-CN"/>
        </w:rPr>
        <w:t>适时拓展乐山机场通用航空功能，</w:t>
      </w:r>
      <w:r>
        <w:rPr>
          <w:rFonts w:hint="default" w:ascii="Times New Roman" w:hAnsi="Times New Roman" w:cs="Times New Roman"/>
          <w:color w:val="auto"/>
          <w:lang w:val="en-US" w:eastAsia="zh-CN"/>
        </w:rPr>
        <w:t>探索开辟乐山至</w:t>
      </w:r>
      <w:r>
        <w:rPr>
          <w:rFonts w:hint="eastAsia" w:cs="Times New Roman"/>
          <w:color w:val="auto"/>
          <w:lang w:val="en-US" w:eastAsia="zh-CN"/>
        </w:rPr>
        <w:t>眉山</w:t>
      </w:r>
      <w:r>
        <w:rPr>
          <w:rFonts w:hint="default" w:ascii="Times New Roman" w:hAnsi="Times New Roman" w:cs="Times New Roman"/>
          <w:color w:val="auto"/>
          <w:lang w:val="en-US" w:eastAsia="zh-CN"/>
        </w:rPr>
        <w:t>、自贡、</w:t>
      </w:r>
      <w:r>
        <w:rPr>
          <w:rFonts w:hint="eastAsia" w:cs="Times New Roman"/>
          <w:color w:val="auto"/>
          <w:lang w:val="en-US" w:eastAsia="zh-CN"/>
        </w:rPr>
        <w:t>雅安</w:t>
      </w:r>
      <w:r>
        <w:rPr>
          <w:rFonts w:hint="default" w:ascii="Times New Roman" w:hAnsi="Times New Roman" w:cs="Times New Roman"/>
          <w:color w:val="auto"/>
          <w:lang w:val="en-US" w:eastAsia="zh-CN"/>
        </w:rPr>
        <w:t>等周边城市间的跨区域低空物流航线，</w:t>
      </w:r>
      <w:r>
        <w:rPr>
          <w:rFonts w:hint="eastAsia" w:cs="Times New Roman"/>
          <w:color w:val="auto"/>
          <w:lang w:val="en-US" w:eastAsia="zh-CN"/>
        </w:rPr>
        <w:t>以及示范基地至马边、峨边、夹江等市内偏远山区的无人机物流运输配送航线，</w:t>
      </w:r>
      <w:r>
        <w:rPr>
          <w:rFonts w:hint="default" w:ascii="Times New Roman" w:hAnsi="Times New Roman" w:cs="Times New Roman"/>
          <w:color w:val="auto"/>
          <w:lang w:val="en-US" w:eastAsia="zh-CN"/>
        </w:rPr>
        <w:t>打造低空经济场景矩阵。</w:t>
      </w:r>
    </w:p>
    <w:p>
      <w:pPr>
        <w:pStyle w:val="27"/>
        <w:bidi w:val="0"/>
        <w:rPr>
          <w:rFonts w:hint="default" w:ascii="Times New Roman" w:hAnsi="Times New Roman" w:cs="Times New Roman"/>
          <w:color w:val="auto"/>
          <w:lang w:val="en-US" w:eastAsia="zh-CN"/>
        </w:rPr>
      </w:pPr>
      <w:r>
        <w:rPr>
          <w:color w:val="auto"/>
        </w:rPr>
        <w:drawing>
          <wp:inline distT="0" distB="0" distL="114300" distR="114300">
            <wp:extent cx="5760085" cy="4068445"/>
            <wp:effectExtent l="9525" t="9525" r="21590" b="17780"/>
            <wp:docPr id="19" name="图片 10" descr="航空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descr="航空干线"/>
                    <pic:cNvPicPr>
                      <a:picLocks noChangeAspect="1"/>
                    </pic:cNvPicPr>
                  </pic:nvPicPr>
                  <pic:blipFill>
                    <a:blip r:embed="rId74"/>
                    <a:stretch>
                      <a:fillRect/>
                    </a:stretch>
                  </pic:blipFill>
                  <pic:spPr>
                    <a:xfrm>
                      <a:off x="0" y="0"/>
                      <a:ext cx="5760085" cy="4068445"/>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11</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航空干线运输组织图</w:t>
      </w:r>
    </w:p>
    <w:p>
      <w:pPr>
        <w:pStyle w:val="5"/>
        <w:bidi w:val="0"/>
        <w:outlineLvl w:val="3"/>
        <w:rPr>
          <w:rFonts w:hint="default" w:ascii="Times New Roman" w:hAnsi="Times New Roman" w:cs="Times New Roman"/>
          <w:b/>
          <w:bCs/>
          <w:color w:val="auto"/>
          <w:szCs w:val="32"/>
          <w:lang w:val="en-US" w:eastAsia="zh-CN"/>
        </w:rPr>
      </w:pPr>
      <w:r>
        <w:rPr>
          <w:rFonts w:hint="default" w:ascii="Times New Roman" w:hAnsi="Times New Roman" w:cs="Times New Roman"/>
          <w:b/>
          <w:bCs/>
          <w:color w:val="auto"/>
          <w:szCs w:val="32"/>
          <w:lang w:val="en-US" w:eastAsia="zh-CN"/>
        </w:rPr>
        <w:t>多式联运</w:t>
      </w:r>
    </w:p>
    <w:p>
      <w:pPr>
        <w:rPr>
          <w:rFonts w:hint="default"/>
          <w:color w:val="auto"/>
          <w:lang w:val="en-US" w:eastAsia="zh-CN"/>
        </w:rPr>
      </w:pPr>
      <w:r>
        <w:rPr>
          <w:rFonts w:hint="eastAsia"/>
          <w:color w:val="auto"/>
          <w:lang w:val="en-US" w:eastAsia="zh-CN"/>
        </w:rPr>
        <w:t>以多式联运精品线路培育为着力点，积极推动公转铁、公转水，促进跨方式运输高效协同，创新多式联运发展模式，优化调整运输结构，有效降低制造业物流成本。</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1.公水联运</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充分发挥示范基地水运优势，大力发展以大件装备及</w:t>
      </w:r>
      <w:r>
        <w:rPr>
          <w:rFonts w:hint="eastAsia" w:cs="Times New Roman"/>
          <w:color w:val="auto"/>
          <w:lang w:val="en-US" w:eastAsia="zh-CN"/>
        </w:rPr>
        <w:t>普通</w:t>
      </w:r>
      <w:r>
        <w:rPr>
          <w:rFonts w:hint="eastAsia" w:ascii="Times New Roman" w:hAnsi="Times New Roman" w:cs="Times New Roman"/>
          <w:color w:val="auto"/>
          <w:lang w:val="en-US" w:eastAsia="zh-CN"/>
        </w:rPr>
        <w:t>化工产品</w:t>
      </w:r>
      <w:r>
        <w:rPr>
          <w:rFonts w:hint="default" w:ascii="Times New Roman" w:hAnsi="Times New Roman" w:cs="Times New Roman"/>
          <w:color w:val="auto"/>
          <w:lang w:val="en-US" w:eastAsia="zh-CN"/>
        </w:rPr>
        <w:t>等</w:t>
      </w:r>
      <w:r>
        <w:rPr>
          <w:rFonts w:hint="eastAsia" w:ascii="Times New Roman" w:hAnsi="Times New Roman" w:cs="Times New Roman"/>
          <w:color w:val="auto"/>
          <w:lang w:val="en-US" w:eastAsia="zh-CN"/>
        </w:rPr>
        <w:t>货物</w:t>
      </w:r>
      <w:r>
        <w:rPr>
          <w:rFonts w:hint="default" w:ascii="Times New Roman" w:hAnsi="Times New Roman" w:cs="Times New Roman"/>
          <w:color w:val="auto"/>
          <w:lang w:val="en-US" w:eastAsia="zh-CN"/>
        </w:rPr>
        <w:t>外运服务为主的大宗（件）物资公水联运。</w:t>
      </w:r>
    </w:p>
    <w:p>
      <w:pPr>
        <w:rPr>
          <w:rFonts w:hint="eastAsia" w:ascii="仿宋_GB2312" w:hAnsi="仿宋_GB2312" w:eastAsia="仿宋_GB2312" w:cs="仿宋_GB2312"/>
          <w:color w:val="auto"/>
          <w:lang w:val="en-US" w:eastAsia="zh-CN"/>
        </w:rPr>
      </w:pPr>
      <w:r>
        <w:rPr>
          <w:rFonts w:hint="default" w:ascii="Times New Roman" w:hAnsi="Times New Roman" w:cs="Times New Roman"/>
          <w:color w:val="auto"/>
          <w:lang w:val="en-US" w:eastAsia="zh-CN"/>
        </w:rPr>
        <w:t>重点培育多式联运精品线</w:t>
      </w:r>
      <w:r>
        <w:rPr>
          <w:rFonts w:hint="eastAsia" w:ascii="仿宋_GB2312" w:hAnsi="仿宋_GB2312" w:eastAsia="仿宋_GB2312" w:cs="仿宋_GB2312"/>
          <w:color w:val="auto"/>
          <w:lang w:val="en-US" w:eastAsia="zh-CN"/>
        </w:rPr>
        <w:t>路：一是德阳经乐山至长江中下游大件装备公水联运线路。</w:t>
      </w:r>
      <w:r>
        <w:rPr>
          <w:rFonts w:hint="eastAsia" w:ascii="仿宋_GB2312" w:hAnsi="仿宋_GB2312" w:eastAsia="仿宋_GB2312" w:cs="仿宋_GB2312"/>
          <w:color w:val="auto"/>
          <w:sz w:val="32"/>
          <w:highlight w:val="none"/>
          <w:lang w:val="en-US" w:eastAsia="zh-CN"/>
        </w:rPr>
        <w:t>现状，德阳经乐山下水的大件装备主要为极限</w:t>
      </w:r>
      <w:r>
        <w:rPr>
          <w:rFonts w:hint="eastAsia" w:ascii="仿宋_GB2312" w:hAnsi="仿宋_GB2312" w:eastAsia="仿宋_GB2312" w:cs="仿宋_GB2312"/>
          <w:color w:val="auto"/>
          <w:kern w:val="0"/>
          <w:sz w:val="32"/>
          <w:szCs w:val="32"/>
          <w:highlight w:val="none"/>
          <w:lang w:val="en-US" w:eastAsia="zh-CN"/>
        </w:rPr>
        <w:t>超限大件，其余大件装备主要通过公路完成运输；同时，由于</w:t>
      </w:r>
      <w:r>
        <w:rPr>
          <w:rFonts w:hint="eastAsia" w:ascii="仿宋_GB2312" w:hAnsi="仿宋_GB2312" w:eastAsia="仿宋_GB2312" w:cs="仿宋_GB2312"/>
          <w:b w:val="0"/>
          <w:bCs w:val="0"/>
          <w:color w:val="auto"/>
          <w:kern w:val="2"/>
          <w:sz w:val="32"/>
          <w:szCs w:val="32"/>
          <w:lang w:val="en-US" w:eastAsia="zh-CN"/>
        </w:rPr>
        <w:t>乐山现有大件码头作业场地较小、仓储面积不足，大件运输能力受到极大制约。未来，示范基地新大件码头建成后，可通过培育</w:t>
      </w:r>
      <w:r>
        <w:rPr>
          <w:rFonts w:hint="eastAsia" w:ascii="仿宋_GB2312" w:hAnsi="仿宋_GB2312" w:eastAsia="仿宋_GB2312" w:cs="仿宋_GB2312"/>
          <w:color w:val="auto"/>
          <w:lang w:val="en-US" w:eastAsia="zh-CN"/>
        </w:rPr>
        <w:t>该精品线路，重点满足</w:t>
      </w:r>
      <w:r>
        <w:rPr>
          <w:rFonts w:hint="eastAsia" w:ascii="仿宋_GB2312" w:hAnsi="仿宋_GB2312" w:eastAsia="仿宋_GB2312" w:cs="仿宋_GB2312"/>
          <w:b w:val="0"/>
          <w:i w:val="0"/>
          <w:caps w:val="0"/>
          <w:color w:val="auto"/>
          <w:spacing w:val="0"/>
          <w:w w:val="100"/>
          <w:kern w:val="2"/>
          <w:sz w:val="32"/>
          <w:szCs w:val="32"/>
          <w:highlight w:val="none"/>
          <w:lang w:val="en-US" w:eastAsia="zh-CN" w:bidi="ar-SA"/>
        </w:rPr>
        <w:t>德阳重工业生产基地的东方电气集团、中国二重、四川科新等重装制造业企业各类</w:t>
      </w:r>
      <w:r>
        <w:rPr>
          <w:rFonts w:hint="eastAsia" w:ascii="仿宋_GB2312" w:hAnsi="仿宋_GB2312" w:eastAsia="仿宋_GB2312" w:cs="仿宋_GB2312"/>
          <w:color w:val="auto"/>
          <w:lang w:val="en-US" w:eastAsia="zh-CN"/>
        </w:rPr>
        <w:t>大件设备外运需求，</w:t>
      </w:r>
      <w:r>
        <w:rPr>
          <w:rFonts w:hint="eastAsia" w:ascii="仿宋_GB2312" w:hAnsi="仿宋_GB2312" w:eastAsia="仿宋_GB2312" w:cs="仿宋_GB2312"/>
          <w:color w:val="auto"/>
          <w:sz w:val="32"/>
          <w:highlight w:val="none"/>
          <w:lang w:val="en-US" w:eastAsia="zh-CN"/>
        </w:rPr>
        <w:t>设备从德阳</w:t>
      </w:r>
      <w:r>
        <w:rPr>
          <w:rFonts w:hint="eastAsia" w:ascii="仿宋_GB2312" w:hAnsi="仿宋_GB2312" w:eastAsia="仿宋_GB2312" w:cs="仿宋_GB2312"/>
          <w:b w:val="0"/>
          <w:i w:val="0"/>
          <w:caps w:val="0"/>
          <w:color w:val="auto"/>
          <w:spacing w:val="0"/>
          <w:w w:val="100"/>
          <w:kern w:val="2"/>
          <w:sz w:val="32"/>
          <w:szCs w:val="32"/>
          <w:highlight w:val="none"/>
          <w:lang w:val="en-US" w:eastAsia="zh-CN" w:bidi="ar-SA"/>
        </w:rPr>
        <w:t>重工业</w:t>
      </w:r>
      <w:r>
        <w:rPr>
          <w:rFonts w:hint="eastAsia" w:ascii="仿宋_GB2312" w:hAnsi="仿宋_GB2312" w:eastAsia="仿宋_GB2312" w:cs="仿宋_GB2312"/>
          <w:color w:val="auto"/>
          <w:sz w:val="32"/>
          <w:highlight w:val="none"/>
          <w:lang w:val="en-US" w:eastAsia="zh-CN"/>
        </w:rPr>
        <w:t>生产基地出厂，经规划新建的大件公路（S428—S215）运输至示范基地大件码头，后下水</w:t>
      </w:r>
      <w:r>
        <w:rPr>
          <w:rFonts w:hint="eastAsia" w:ascii="仿宋_GB2312" w:hAnsi="仿宋_GB2312" w:eastAsia="仿宋_GB2312" w:cs="仿宋_GB2312"/>
          <w:color w:val="auto"/>
          <w:kern w:val="2"/>
          <w:sz w:val="32"/>
          <w:szCs w:val="24"/>
          <w:highlight w:val="none"/>
          <w:lang w:val="en-US" w:eastAsia="zh-CN" w:bidi="ar-SA"/>
        </w:rPr>
        <w:t>经岷江、长江至上海、江苏、湖北等国内地区，以及以江海联运方式出口至印度、巴西等“一带一路”沿线国家地区，2035年运量预计可达10万吨</w:t>
      </w:r>
      <w:r>
        <w:rPr>
          <w:rFonts w:hint="eastAsia" w:ascii="仿宋_GB2312" w:hAnsi="仿宋_GB2312" w:eastAsia="仿宋_GB2312" w:cs="仿宋_GB2312"/>
          <w:color w:val="auto"/>
          <w:lang w:val="en-US" w:eastAsia="zh-CN"/>
        </w:rPr>
        <w:t>。</w:t>
      </w:r>
    </w:p>
    <w:p>
      <w:pPr>
        <w:pStyle w:val="27"/>
        <w:bidi w:val="0"/>
        <w:rPr>
          <w:rFonts w:hint="default"/>
          <w:color w:val="auto"/>
          <w:lang w:val="en-US" w:eastAsia="zh-CN"/>
        </w:rPr>
      </w:pPr>
      <w:r>
        <w:rPr>
          <w:rFonts w:hint="default"/>
          <w:color w:val="auto"/>
          <w:lang w:val="en-US" w:eastAsia="zh-CN"/>
        </w:rPr>
        <w:drawing>
          <wp:inline distT="0" distB="0" distL="114300" distR="114300">
            <wp:extent cx="5760085" cy="3975735"/>
            <wp:effectExtent l="9525" t="9525" r="21590" b="15240"/>
            <wp:docPr id="6" name="图片 6" descr="公水联运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公水联运1-01"/>
                    <pic:cNvPicPr>
                      <a:picLocks noChangeAspect="1"/>
                    </pic:cNvPicPr>
                  </pic:nvPicPr>
                  <pic:blipFill>
                    <a:blip r:embed="rId75"/>
                    <a:srcRect l="2187" t="3317" r="2187" b="3352"/>
                    <a:stretch>
                      <a:fillRect/>
                    </a:stretch>
                  </pic:blipFill>
                  <pic:spPr>
                    <a:xfrm>
                      <a:off x="0" y="0"/>
                      <a:ext cx="5760085" cy="3975735"/>
                    </a:xfrm>
                    <a:prstGeom prst="rect">
                      <a:avLst/>
                    </a:prstGeom>
                    <a:ln>
                      <a:solidFill>
                        <a:schemeClr val="bg2">
                          <a:lumMod val="90000"/>
                        </a:schemeClr>
                      </a:solidFill>
                    </a:ln>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7</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12</w:t>
      </w:r>
      <w:r>
        <w:rPr>
          <w:color w:val="auto"/>
        </w:rPr>
        <w:fldChar w:fldCharType="end"/>
      </w:r>
      <w:r>
        <w:rPr>
          <w:rFonts w:hint="eastAsia"/>
          <w:color w:val="auto"/>
          <w:lang w:val="en-US" w:eastAsia="zh-CN"/>
        </w:rPr>
        <w:t xml:space="preserve"> 德阳经乐山至长江中下游大件装备公水联运线路图</w:t>
      </w:r>
    </w:p>
    <w:p>
      <w:pPr>
        <w:rPr>
          <w:rFonts w:hint="default" w:ascii="Times New Roman" w:hAnsi="Times New Roman" w:cs="Times New Roman"/>
          <w:color w:val="auto"/>
          <w:kern w:val="2"/>
          <w:sz w:val="32"/>
          <w:szCs w:val="24"/>
          <w:highlight w:val="none"/>
          <w:lang w:val="en-US" w:eastAsia="zh-CN" w:bidi="ar-SA"/>
        </w:rPr>
      </w:pPr>
      <w:r>
        <w:rPr>
          <w:rFonts w:hint="eastAsia" w:ascii="仿宋_GB2312" w:hAnsi="仿宋_GB2312" w:eastAsia="仿宋_GB2312" w:cs="仿宋_GB2312"/>
          <w:b w:val="0"/>
          <w:bCs w:val="0"/>
          <w:color w:val="auto"/>
          <w:lang w:val="en-US" w:eastAsia="zh-CN"/>
        </w:rPr>
        <w:t>二是五通桥工业区经示范基地至长江中下游普通化工产品公水联运线路。</w:t>
      </w:r>
      <w:r>
        <w:rPr>
          <w:rFonts w:hint="eastAsia" w:ascii="仿宋_GB2312" w:hAnsi="仿宋_GB2312" w:eastAsia="仿宋_GB2312" w:cs="仿宋_GB2312"/>
          <w:b w:val="0"/>
          <w:bCs w:val="0"/>
          <w:color w:val="auto"/>
          <w:kern w:val="2"/>
          <w:sz w:val="32"/>
          <w:szCs w:val="24"/>
          <w:highlight w:val="none"/>
          <w:lang w:val="en-US" w:eastAsia="zh-CN" w:bidi="ar-SA"/>
        </w:rPr>
        <w:t>现状，纯碱、氯化铵等部分</w:t>
      </w:r>
      <w:r>
        <w:rPr>
          <w:rFonts w:hint="eastAsia" w:ascii="仿宋_GB2312" w:hAnsi="仿宋_GB2312" w:eastAsia="仿宋_GB2312" w:cs="仿宋_GB2312"/>
          <w:b w:val="0"/>
          <w:bCs w:val="0"/>
          <w:color w:val="auto"/>
          <w:lang w:val="en-US" w:eastAsia="zh-CN"/>
        </w:rPr>
        <w:t>普通</w:t>
      </w:r>
      <w:r>
        <w:rPr>
          <w:rFonts w:hint="eastAsia" w:ascii="仿宋_GB2312" w:hAnsi="仿宋_GB2312" w:eastAsia="仿宋_GB2312" w:cs="仿宋_GB2312"/>
          <w:b w:val="0"/>
          <w:bCs w:val="0"/>
          <w:color w:val="auto"/>
          <w:kern w:val="2"/>
          <w:sz w:val="32"/>
          <w:szCs w:val="24"/>
          <w:highlight w:val="none"/>
          <w:lang w:val="en-US" w:eastAsia="zh-CN" w:bidi="ar-SA"/>
        </w:rPr>
        <w:t>化工产品通过公路短驳至燕岗货运站后经铁路运至江苏、山东等地，另有部分除草剂等草甘膦相关产品通过公路运输至宜宾后转水运至上海港等长江经济带沿线地区及出口。</w:t>
      </w:r>
      <w:r>
        <w:rPr>
          <w:rFonts w:hint="eastAsia" w:ascii="仿宋_GB2312" w:hAnsi="仿宋_GB2312" w:eastAsia="仿宋_GB2312" w:cs="仿宋_GB2312"/>
          <w:b w:val="0"/>
          <w:bCs w:val="0"/>
          <w:color w:val="auto"/>
          <w:kern w:val="2"/>
          <w:sz w:val="32"/>
          <w:szCs w:val="32"/>
          <w:lang w:val="en-US" w:eastAsia="zh-CN"/>
        </w:rPr>
        <w:t>未来，示范基地建成后，可通过培育该精品线路，吸引</w:t>
      </w:r>
      <w:r>
        <w:rPr>
          <w:rFonts w:hint="eastAsia" w:ascii="仿宋_GB2312" w:hAnsi="仿宋_GB2312" w:eastAsia="仿宋_GB2312" w:cs="仿宋_GB2312"/>
          <w:b w:val="0"/>
          <w:bCs w:val="0"/>
          <w:color w:val="auto"/>
          <w:lang w:val="en-US" w:eastAsia="zh-CN"/>
        </w:rPr>
        <w:t>五通桥工业区的和邦生物、福华通达化学等化工企业</w:t>
      </w:r>
      <w:r>
        <w:rPr>
          <w:rFonts w:hint="eastAsia" w:ascii="仿宋_GB2312" w:hAnsi="仿宋_GB2312" w:eastAsia="仿宋_GB2312" w:cs="仿宋_GB2312"/>
          <w:b w:val="0"/>
          <w:bCs w:val="0"/>
          <w:color w:val="auto"/>
          <w:kern w:val="2"/>
          <w:sz w:val="32"/>
          <w:szCs w:val="24"/>
          <w:highlight w:val="none"/>
          <w:lang w:val="en-US" w:eastAsia="zh-CN" w:bidi="ar-SA"/>
        </w:rPr>
        <w:t>草甘膦、纯碱、氯化铵等</w:t>
      </w:r>
      <w:r>
        <w:rPr>
          <w:rFonts w:hint="eastAsia" w:ascii="仿宋_GB2312" w:hAnsi="仿宋_GB2312" w:eastAsia="仿宋_GB2312" w:cs="仿宋_GB2312"/>
          <w:b w:val="0"/>
          <w:bCs w:val="0"/>
          <w:color w:val="auto"/>
          <w:lang w:val="en-US" w:eastAsia="zh-CN"/>
        </w:rPr>
        <w:t>普通</w:t>
      </w:r>
      <w:r>
        <w:rPr>
          <w:rFonts w:hint="eastAsia" w:ascii="仿宋_GB2312" w:hAnsi="仿宋_GB2312" w:eastAsia="仿宋_GB2312" w:cs="仿宋_GB2312"/>
          <w:b w:val="0"/>
          <w:bCs w:val="0"/>
          <w:color w:val="auto"/>
          <w:kern w:val="2"/>
          <w:sz w:val="32"/>
          <w:szCs w:val="24"/>
          <w:highlight w:val="none"/>
          <w:lang w:val="en-US" w:eastAsia="zh-CN" w:bidi="ar-SA"/>
        </w:rPr>
        <w:t>化工产品到示范基地进行集散中转，化工产品从企业厂区运出，经龙翔路、进港大道运至示范基地后，通过大件码头下水至湖北、上海等地，2035年运量预计可达20万吨。</w:t>
      </w:r>
    </w:p>
    <w:p>
      <w:pPr>
        <w:pStyle w:val="27"/>
        <w:bidi w:val="0"/>
        <w:rPr>
          <w:rFonts w:hint="default"/>
          <w:color w:val="auto"/>
          <w:lang w:val="en-US" w:eastAsia="zh-CN"/>
        </w:rPr>
      </w:pPr>
      <w:r>
        <w:rPr>
          <w:rFonts w:hint="default"/>
          <w:color w:val="auto"/>
          <w:lang w:val="en-US" w:eastAsia="zh-CN"/>
        </w:rPr>
        <w:drawing>
          <wp:inline distT="0" distB="0" distL="114300" distR="114300">
            <wp:extent cx="5760085" cy="3968115"/>
            <wp:effectExtent l="0" t="0" r="12065" b="13335"/>
            <wp:docPr id="48" name="图片 48" descr="文本1-2公水-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文本1-2公水-01"/>
                    <pic:cNvPicPr>
                      <a:picLocks noChangeAspect="1"/>
                    </pic:cNvPicPr>
                  </pic:nvPicPr>
                  <pic:blipFill>
                    <a:blip r:embed="rId76"/>
                    <a:srcRect l="1924" t="3455" r="2301" b="3239"/>
                    <a:stretch>
                      <a:fillRect/>
                    </a:stretch>
                  </pic:blipFill>
                  <pic:spPr>
                    <a:xfrm>
                      <a:off x="0" y="0"/>
                      <a:ext cx="5760085" cy="3968115"/>
                    </a:xfrm>
                    <a:prstGeom prst="rect">
                      <a:avLst/>
                    </a:prstGeom>
                    <a:ln>
                      <a:solidFill>
                        <a:schemeClr val="bg2">
                          <a:lumMod val="90000"/>
                        </a:schemeClr>
                      </a:solidFill>
                    </a:ln>
                  </pic:spPr>
                </pic:pic>
              </a:graphicData>
            </a:graphic>
          </wp:inline>
        </w:drawing>
      </w:r>
    </w:p>
    <w:p>
      <w:pPr>
        <w:pStyle w:val="7"/>
        <w:bidi w:val="0"/>
        <w:rPr>
          <w:rFonts w:hint="default" w:eastAsia="楷体"/>
          <w:color w:val="auto"/>
          <w:w w:val="90"/>
          <w:sz w:val="28"/>
          <w:lang w:val="en-US" w:eastAsia="zh-CN"/>
        </w:rPr>
      </w:pPr>
      <w:r>
        <w:rPr>
          <w:color w:val="auto"/>
          <w:w w:val="90"/>
          <w:sz w:val="28"/>
        </w:rPr>
        <w:t xml:space="preserve">图 </w:t>
      </w:r>
      <w:r>
        <w:rPr>
          <w:color w:val="auto"/>
          <w:w w:val="90"/>
          <w:sz w:val="28"/>
        </w:rPr>
        <w:fldChar w:fldCharType="begin"/>
      </w:r>
      <w:r>
        <w:rPr>
          <w:color w:val="auto"/>
          <w:w w:val="90"/>
          <w:sz w:val="28"/>
        </w:rPr>
        <w:instrText xml:space="preserve"> STYLEREF 1 \s </w:instrText>
      </w:r>
      <w:r>
        <w:rPr>
          <w:color w:val="auto"/>
          <w:w w:val="90"/>
          <w:sz w:val="28"/>
        </w:rPr>
        <w:fldChar w:fldCharType="separate"/>
      </w:r>
      <w:r>
        <w:rPr>
          <w:color w:val="auto"/>
          <w:w w:val="90"/>
          <w:sz w:val="28"/>
        </w:rPr>
        <w:t>7</w:t>
      </w:r>
      <w:r>
        <w:rPr>
          <w:color w:val="auto"/>
          <w:w w:val="90"/>
          <w:sz w:val="28"/>
        </w:rPr>
        <w:fldChar w:fldCharType="end"/>
      </w:r>
      <w:r>
        <w:rPr>
          <w:rFonts w:hint="eastAsia"/>
          <w:color w:val="auto"/>
          <w:w w:val="90"/>
          <w:sz w:val="28"/>
          <w:lang w:eastAsia="zh-CN"/>
        </w:rPr>
        <w:t>-</w:t>
      </w:r>
      <w:r>
        <w:rPr>
          <w:color w:val="auto"/>
          <w:w w:val="90"/>
          <w:sz w:val="28"/>
        </w:rPr>
        <w:fldChar w:fldCharType="begin"/>
      </w:r>
      <w:r>
        <w:rPr>
          <w:color w:val="auto"/>
          <w:w w:val="90"/>
          <w:sz w:val="28"/>
        </w:rPr>
        <w:instrText xml:space="preserve"> SEQ 图 \* ARABIC \s 1 </w:instrText>
      </w:r>
      <w:r>
        <w:rPr>
          <w:color w:val="auto"/>
          <w:w w:val="90"/>
          <w:sz w:val="28"/>
        </w:rPr>
        <w:fldChar w:fldCharType="separate"/>
      </w:r>
      <w:r>
        <w:rPr>
          <w:color w:val="auto"/>
          <w:w w:val="90"/>
          <w:sz w:val="28"/>
        </w:rPr>
        <w:t>13</w:t>
      </w:r>
      <w:r>
        <w:rPr>
          <w:color w:val="auto"/>
          <w:w w:val="90"/>
          <w:sz w:val="28"/>
        </w:rPr>
        <w:fldChar w:fldCharType="end"/>
      </w:r>
      <w:r>
        <w:rPr>
          <w:rFonts w:hint="eastAsia"/>
          <w:color w:val="auto"/>
          <w:w w:val="90"/>
          <w:sz w:val="28"/>
          <w:lang w:val="en-US" w:eastAsia="zh-CN"/>
        </w:rPr>
        <w:t xml:space="preserve"> 五通桥工业区经示范基地至长江中下游化工产品公水联运线路图</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2.公铁联运</w:t>
      </w:r>
    </w:p>
    <w:p>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依托进港铁路专用线，积极发展以煤炭、甘氨酸等化工行业原料以及纯碱、</w:t>
      </w:r>
      <w:r>
        <w:rPr>
          <w:color w:val="auto"/>
        </w:rPr>
        <w:t>氯化铵</w:t>
      </w:r>
      <w:r>
        <w:rPr>
          <w:rFonts w:hint="default" w:ascii="Times New Roman" w:hAnsi="Times New Roman" w:cs="Times New Roman"/>
          <w:color w:val="auto"/>
          <w:lang w:val="en-US" w:eastAsia="zh-CN"/>
        </w:rPr>
        <w:t>等化工产品为主的公铁联运。</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重点培育多式联运精品线路</w:t>
      </w:r>
      <w:r>
        <w:rPr>
          <w:rFonts w:hint="eastAsia" w:ascii="仿宋_GB2312" w:hAnsi="仿宋_GB2312" w:eastAsia="仿宋_GB2312" w:cs="仿宋_GB2312"/>
          <w:color w:val="auto"/>
          <w:lang w:val="en-US" w:eastAsia="zh-CN"/>
        </w:rPr>
        <w:t>：一是陕西经示范基地至五通桥工业区煤炭公铁联运线路。现状，五通桥区的化工企业</w:t>
      </w:r>
      <w:r>
        <w:rPr>
          <w:rFonts w:hint="eastAsia" w:ascii="仿宋_GB2312" w:hAnsi="仿宋_GB2312" w:eastAsia="仿宋_GB2312" w:cs="仿宋_GB2312"/>
          <w:color w:val="auto"/>
        </w:rPr>
        <w:t>从陕西采购的煤炭</w:t>
      </w:r>
      <w:r>
        <w:rPr>
          <w:rFonts w:hint="eastAsia" w:ascii="仿宋_GB2312" w:hAnsi="仿宋_GB2312" w:eastAsia="仿宋_GB2312" w:cs="仿宋_GB2312"/>
          <w:color w:val="auto"/>
          <w:lang w:val="en-US" w:eastAsia="zh-CN"/>
        </w:rPr>
        <w:t>基本通</w:t>
      </w:r>
      <w:r>
        <w:rPr>
          <w:rFonts w:hint="eastAsia" w:ascii="仿宋_GB2312" w:hAnsi="仿宋_GB2312" w:eastAsia="仿宋_GB2312" w:cs="仿宋_GB2312"/>
          <w:color w:val="auto"/>
        </w:rPr>
        <w:t>过</w:t>
      </w:r>
      <w:r>
        <w:rPr>
          <w:rFonts w:hint="eastAsia" w:ascii="仿宋_GB2312" w:hAnsi="仿宋_GB2312" w:eastAsia="仿宋_GB2312" w:cs="仿宋_GB2312"/>
          <w:color w:val="auto"/>
          <w:lang w:val="en-US" w:eastAsia="zh-CN"/>
        </w:rPr>
        <w:t>铁路运输至燕岗站后，经公路短驳运至企业厂区。</w:t>
      </w:r>
      <w:r>
        <w:rPr>
          <w:rFonts w:hint="eastAsia" w:ascii="仿宋_GB2312" w:hAnsi="仿宋_GB2312" w:eastAsia="仿宋_GB2312" w:cs="仿宋_GB2312"/>
          <w:b w:val="0"/>
          <w:bCs w:val="0"/>
          <w:color w:val="auto"/>
          <w:kern w:val="2"/>
          <w:sz w:val="32"/>
          <w:szCs w:val="32"/>
          <w:lang w:val="en-US" w:eastAsia="zh-CN"/>
        </w:rPr>
        <w:t>未来</w:t>
      </w:r>
      <w:r>
        <w:rPr>
          <w:rFonts w:hint="eastAsia" w:ascii="Times New Roman" w:hAnsi="Times New Roman" w:cs="Times New Roman"/>
          <w:b w:val="0"/>
          <w:bCs w:val="0"/>
          <w:color w:val="auto"/>
          <w:kern w:val="2"/>
          <w:sz w:val="32"/>
          <w:szCs w:val="32"/>
          <w:lang w:val="en-US" w:eastAsia="zh-CN"/>
        </w:rPr>
        <w:t>，示范基地建成后，可通过培育该精品线路，</w:t>
      </w:r>
      <w:r>
        <w:rPr>
          <w:rFonts w:hint="eastAsia" w:cs="Times New Roman"/>
          <w:color w:val="auto"/>
          <w:lang w:val="en-US" w:eastAsia="zh-CN"/>
        </w:rPr>
        <w:t>吸引</w:t>
      </w:r>
      <w:r>
        <w:rPr>
          <w:rFonts w:hint="default" w:ascii="Times New Roman" w:hAnsi="Times New Roman" w:cs="Times New Roman"/>
          <w:color w:val="auto"/>
          <w:lang w:val="en-US" w:eastAsia="zh-CN"/>
        </w:rPr>
        <w:t>五通桥工业区的</w:t>
      </w:r>
      <w:r>
        <w:rPr>
          <w:rFonts w:hint="eastAsia" w:cs="Times New Roman"/>
          <w:color w:val="auto"/>
          <w:lang w:val="en-US" w:eastAsia="zh-CN"/>
        </w:rPr>
        <w:t>和邦</w:t>
      </w:r>
      <w:r>
        <w:rPr>
          <w:rFonts w:hint="default" w:ascii="Times New Roman" w:hAnsi="Times New Roman" w:cs="Times New Roman"/>
          <w:color w:val="auto"/>
          <w:lang w:val="en-US" w:eastAsia="zh-CN"/>
        </w:rPr>
        <w:t>生物、福华通达化学等化工企业煤炭原材料</w:t>
      </w:r>
      <w:r>
        <w:rPr>
          <w:rFonts w:hint="eastAsia" w:cs="Times New Roman"/>
          <w:color w:val="auto"/>
          <w:kern w:val="2"/>
          <w:sz w:val="32"/>
          <w:szCs w:val="24"/>
          <w:highlight w:val="none"/>
          <w:lang w:val="en-US" w:eastAsia="zh-CN" w:bidi="ar-SA"/>
        </w:rPr>
        <w:t>到示范基地进行集散中转</w:t>
      </w:r>
      <w:r>
        <w:rPr>
          <w:rFonts w:hint="default" w:ascii="Times New Roman" w:hAnsi="Times New Roman" w:cs="Times New Roman"/>
          <w:color w:val="auto"/>
          <w:kern w:val="2"/>
          <w:sz w:val="32"/>
          <w:szCs w:val="24"/>
          <w:highlight w:val="none"/>
          <w:lang w:val="en-US" w:eastAsia="zh-CN" w:bidi="ar-SA"/>
        </w:rPr>
        <w:t>，</w:t>
      </w:r>
      <w:r>
        <w:rPr>
          <w:rFonts w:hint="default" w:ascii="Times New Roman" w:hAnsi="Times New Roman" w:cs="Times New Roman"/>
          <w:color w:val="auto"/>
          <w:lang w:val="en-US" w:eastAsia="zh-CN"/>
        </w:rPr>
        <w:t>煤炭从陕西煤炭基地运出，经宝成铁路、成昆铁路、老江坝作业区进港铁路专用线到达示范基地后，通过进港大道、龙翔路公路接驳转运至各生产企业厂区，2035年运量预计可达50万吨。</w:t>
      </w:r>
      <w:r>
        <w:rPr>
          <w:rFonts w:hint="default" w:ascii="Times New Roman" w:hAnsi="Times New Roman" w:eastAsia="仿宋_GB2312" w:cs="Times New Roman"/>
          <w:color w:val="auto"/>
          <w:kern w:val="2"/>
          <w:sz w:val="32"/>
          <w:szCs w:val="24"/>
          <w:highlight w:val="none"/>
          <w:lang w:val="en-US" w:eastAsia="zh-CN" w:bidi="ar-SA"/>
        </w:rPr>
        <w:t>由</w:t>
      </w:r>
      <w:r>
        <w:rPr>
          <w:rFonts w:hint="default" w:ascii="Times New Roman" w:hAnsi="Times New Roman" w:cs="Times New Roman"/>
          <w:color w:val="auto"/>
          <w:lang w:val="en-US" w:eastAsia="zh-CN"/>
        </w:rPr>
        <w:t>于老江坝作业区进港铁路专用线短期内难以具备实施条件，该线路作为远期培育线路</w:t>
      </w:r>
      <w:r>
        <w:rPr>
          <w:rFonts w:hint="eastAsia" w:cs="Times New Roman"/>
          <w:color w:val="auto"/>
          <w:lang w:val="en-US" w:eastAsia="zh-CN"/>
        </w:rPr>
        <w:t>（下同）</w:t>
      </w:r>
      <w:r>
        <w:rPr>
          <w:rFonts w:hint="default" w:ascii="Times New Roman" w:hAnsi="Times New Roman" w:cs="Times New Roman"/>
          <w:color w:val="auto"/>
          <w:lang w:val="en-US" w:eastAsia="zh-CN"/>
        </w:rPr>
        <w:t>。</w:t>
      </w:r>
    </w:p>
    <w:p>
      <w:pPr>
        <w:pStyle w:val="27"/>
        <w:bidi w:val="0"/>
        <w:rPr>
          <w:rFonts w:hint="default"/>
          <w:color w:val="auto"/>
          <w:lang w:val="en-US" w:eastAsia="zh-CN"/>
        </w:rPr>
      </w:pPr>
      <w:r>
        <w:rPr>
          <w:rFonts w:hint="default"/>
          <w:color w:val="auto"/>
          <w:lang w:val="en-US" w:eastAsia="zh-CN"/>
        </w:rPr>
        <w:drawing>
          <wp:inline distT="0" distB="0" distL="114300" distR="114300">
            <wp:extent cx="5760085" cy="5871845"/>
            <wp:effectExtent l="9525" t="9525" r="21590" b="24130"/>
            <wp:docPr id="52" name="图片 52" descr="文本2-1 陕西至五通桥-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文本2-1 陕西至五通桥-02"/>
                    <pic:cNvPicPr>
                      <a:picLocks noChangeAspect="1"/>
                    </pic:cNvPicPr>
                  </pic:nvPicPr>
                  <pic:blipFill>
                    <a:blip r:embed="rId77"/>
                    <a:stretch>
                      <a:fillRect/>
                    </a:stretch>
                  </pic:blipFill>
                  <pic:spPr>
                    <a:xfrm>
                      <a:off x="0" y="0"/>
                      <a:ext cx="5760085" cy="5871845"/>
                    </a:xfrm>
                    <a:prstGeom prst="rect">
                      <a:avLst/>
                    </a:prstGeom>
                    <a:ln>
                      <a:solidFill>
                        <a:schemeClr val="bg2">
                          <a:lumMod val="90000"/>
                        </a:schemeClr>
                      </a:solidFill>
                    </a:ln>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7</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14</w:t>
      </w:r>
      <w:r>
        <w:rPr>
          <w:color w:val="auto"/>
        </w:rPr>
        <w:fldChar w:fldCharType="end"/>
      </w:r>
      <w:r>
        <w:rPr>
          <w:rFonts w:hint="eastAsia"/>
          <w:color w:val="auto"/>
          <w:lang w:val="en-US" w:eastAsia="zh-CN"/>
        </w:rPr>
        <w:t xml:space="preserve"> 陕西经示范基地至五通桥工业区煤炭公铁联运线路图</w:t>
      </w:r>
    </w:p>
    <w:p>
      <w:pPr>
        <w:rPr>
          <w:rFonts w:hint="default" w:ascii="Times New Roman" w:hAnsi="Times New Roman" w:cs="Times New Roman"/>
          <w:color w:val="auto"/>
          <w:kern w:val="2"/>
          <w:sz w:val="32"/>
          <w:szCs w:val="24"/>
          <w:highlight w:val="none"/>
          <w:lang w:val="en-US" w:eastAsia="zh-CN" w:bidi="ar-SA"/>
        </w:rPr>
      </w:pPr>
      <w:r>
        <w:rPr>
          <w:rFonts w:hint="eastAsia" w:ascii="仿宋_GB2312" w:hAnsi="仿宋_GB2312" w:eastAsia="仿宋_GB2312" w:cs="仿宋_GB2312"/>
          <w:color w:val="auto"/>
          <w:lang w:val="en-US" w:eastAsia="zh-CN"/>
        </w:rPr>
        <w:t>二是五通桥工业区经示范基地至滇黔地区普通化工产品公铁联运线路。</w:t>
      </w:r>
      <w:r>
        <w:rPr>
          <w:rFonts w:hint="eastAsia" w:ascii="仿宋_GB2312" w:hAnsi="仿宋_GB2312" w:eastAsia="仿宋_GB2312" w:cs="仿宋_GB2312"/>
          <w:color w:val="auto"/>
          <w:kern w:val="2"/>
          <w:sz w:val="32"/>
          <w:szCs w:val="24"/>
          <w:highlight w:val="none"/>
          <w:lang w:val="en-US" w:eastAsia="zh-CN" w:bidi="ar-SA"/>
        </w:rPr>
        <w:t>现</w:t>
      </w:r>
      <w:r>
        <w:rPr>
          <w:rFonts w:hint="eastAsia" w:ascii="Times New Roman" w:hAnsi="Times New Roman" w:cs="Times New Roman"/>
          <w:color w:val="auto"/>
          <w:kern w:val="2"/>
          <w:sz w:val="32"/>
          <w:szCs w:val="24"/>
          <w:highlight w:val="none"/>
          <w:lang w:val="en-US" w:eastAsia="zh-CN" w:bidi="ar-SA"/>
        </w:rPr>
        <w:t>状</w:t>
      </w:r>
      <w:r>
        <w:rPr>
          <w:rFonts w:hint="eastAsia" w:cs="Times New Roman"/>
          <w:color w:val="auto"/>
          <w:kern w:val="2"/>
          <w:sz w:val="32"/>
          <w:szCs w:val="24"/>
          <w:highlight w:val="none"/>
          <w:lang w:val="en-US" w:eastAsia="zh-CN" w:bidi="ar-SA"/>
        </w:rPr>
        <w:t>，</w:t>
      </w:r>
      <w:r>
        <w:rPr>
          <w:rFonts w:hint="eastAsia" w:ascii="Times New Roman" w:hAnsi="Times New Roman" w:cs="Times New Roman"/>
          <w:color w:val="auto"/>
          <w:kern w:val="2"/>
          <w:sz w:val="32"/>
          <w:szCs w:val="24"/>
          <w:highlight w:val="none"/>
          <w:lang w:val="en-US" w:eastAsia="zh-CN" w:bidi="ar-SA"/>
        </w:rPr>
        <w:t>五通桥工业区的</w:t>
      </w:r>
      <w:r>
        <w:rPr>
          <w:color w:val="auto"/>
        </w:rPr>
        <w:t>纯碱、氯化铵</w:t>
      </w:r>
      <w:r>
        <w:rPr>
          <w:rFonts w:hint="eastAsia"/>
          <w:color w:val="auto"/>
          <w:lang w:val="en-US" w:eastAsia="zh-CN"/>
        </w:rPr>
        <w:t>等</w:t>
      </w:r>
      <w:r>
        <w:rPr>
          <w:rFonts w:hint="eastAsia" w:cs="Times New Roman"/>
          <w:color w:val="auto"/>
          <w:kern w:val="2"/>
          <w:sz w:val="32"/>
          <w:szCs w:val="24"/>
          <w:highlight w:val="none"/>
          <w:lang w:val="en-US" w:eastAsia="zh-CN" w:bidi="ar-SA"/>
        </w:rPr>
        <w:t>部分普通</w:t>
      </w:r>
      <w:r>
        <w:rPr>
          <w:rFonts w:hint="eastAsia" w:ascii="Times New Roman" w:hAnsi="Times New Roman" w:cs="Times New Roman"/>
          <w:color w:val="auto"/>
          <w:kern w:val="2"/>
          <w:sz w:val="32"/>
          <w:szCs w:val="24"/>
          <w:highlight w:val="none"/>
          <w:lang w:val="en-US" w:eastAsia="zh-CN" w:bidi="ar-SA"/>
        </w:rPr>
        <w:t>化工产品主要通过公路</w:t>
      </w:r>
      <w:r>
        <w:rPr>
          <w:rFonts w:hint="eastAsia" w:cs="Times New Roman"/>
          <w:color w:val="auto"/>
          <w:kern w:val="2"/>
          <w:sz w:val="32"/>
          <w:szCs w:val="24"/>
          <w:highlight w:val="none"/>
          <w:lang w:val="en-US" w:eastAsia="zh-CN" w:bidi="ar-SA"/>
        </w:rPr>
        <w:t>运输至云南和贵州地区。</w:t>
      </w:r>
      <w:r>
        <w:rPr>
          <w:rFonts w:hint="eastAsia" w:ascii="Times New Roman" w:hAnsi="Times New Roman" w:cs="Times New Roman"/>
          <w:b w:val="0"/>
          <w:bCs w:val="0"/>
          <w:color w:val="auto"/>
          <w:kern w:val="2"/>
          <w:sz w:val="32"/>
          <w:szCs w:val="32"/>
          <w:lang w:val="en-US" w:eastAsia="zh-CN"/>
        </w:rPr>
        <w:t>未来，示范基地建成后，可通过培育该精品线路，</w:t>
      </w:r>
      <w:r>
        <w:rPr>
          <w:rFonts w:hint="eastAsia" w:cs="Times New Roman"/>
          <w:color w:val="auto"/>
          <w:lang w:val="en-US" w:eastAsia="zh-CN"/>
        </w:rPr>
        <w:t>吸引</w:t>
      </w:r>
      <w:r>
        <w:rPr>
          <w:rFonts w:hint="default" w:ascii="Times New Roman" w:hAnsi="Times New Roman" w:cs="Times New Roman"/>
          <w:color w:val="auto"/>
          <w:lang w:val="en-US" w:eastAsia="zh-CN"/>
        </w:rPr>
        <w:t>五通桥工业区的</w:t>
      </w:r>
      <w:r>
        <w:rPr>
          <w:rFonts w:hint="eastAsia" w:cs="Times New Roman"/>
          <w:color w:val="auto"/>
          <w:lang w:val="en-US" w:eastAsia="zh-CN"/>
        </w:rPr>
        <w:t>和邦</w:t>
      </w:r>
      <w:r>
        <w:rPr>
          <w:rFonts w:hint="default" w:ascii="Times New Roman" w:hAnsi="Times New Roman" w:cs="Times New Roman"/>
          <w:color w:val="auto"/>
          <w:lang w:val="en-US" w:eastAsia="zh-CN"/>
        </w:rPr>
        <w:t>生物、福华通达化学等化工企业</w:t>
      </w:r>
      <w:r>
        <w:rPr>
          <w:rFonts w:hint="default" w:ascii="Times New Roman" w:hAnsi="Times New Roman" w:cs="Times New Roman"/>
          <w:color w:val="auto"/>
          <w:kern w:val="2"/>
          <w:sz w:val="32"/>
          <w:szCs w:val="24"/>
          <w:highlight w:val="none"/>
          <w:lang w:val="en-US" w:eastAsia="zh-CN" w:bidi="ar-SA"/>
        </w:rPr>
        <w:t>纯碱、氯化铵等普通化工产品</w:t>
      </w:r>
      <w:r>
        <w:rPr>
          <w:rFonts w:hint="eastAsia" w:cs="Times New Roman"/>
          <w:color w:val="auto"/>
          <w:kern w:val="2"/>
          <w:sz w:val="32"/>
          <w:szCs w:val="24"/>
          <w:highlight w:val="none"/>
          <w:lang w:val="en-US" w:eastAsia="zh-CN" w:bidi="ar-SA"/>
        </w:rPr>
        <w:t>到示范基地进行集散中转</w:t>
      </w:r>
      <w:r>
        <w:rPr>
          <w:rFonts w:hint="default" w:ascii="Times New Roman" w:hAnsi="Times New Roman" w:cs="Times New Roman"/>
          <w:color w:val="auto"/>
          <w:kern w:val="2"/>
          <w:sz w:val="32"/>
          <w:szCs w:val="24"/>
          <w:highlight w:val="none"/>
          <w:lang w:val="en-US" w:eastAsia="zh-CN" w:bidi="ar-SA"/>
        </w:rPr>
        <w:t>，普通化工产品从企业厂区运出，经龙翔路、进港大道运至示范基地后，通过进港铁路专用线经</w:t>
      </w:r>
      <w:r>
        <w:rPr>
          <w:rFonts w:hint="eastAsia" w:cs="Times New Roman"/>
          <w:color w:val="auto"/>
          <w:kern w:val="2"/>
          <w:sz w:val="32"/>
          <w:szCs w:val="24"/>
          <w:highlight w:val="none"/>
          <w:lang w:val="en-US" w:eastAsia="zh-CN" w:bidi="ar-SA"/>
        </w:rPr>
        <w:t>连燕</w:t>
      </w:r>
      <w:r>
        <w:rPr>
          <w:rFonts w:hint="default" w:ascii="Times New Roman" w:hAnsi="Times New Roman" w:cs="Times New Roman"/>
          <w:color w:val="auto"/>
          <w:kern w:val="2"/>
          <w:sz w:val="32"/>
          <w:szCs w:val="24"/>
          <w:highlight w:val="none"/>
          <w:lang w:val="en-US" w:eastAsia="zh-CN" w:bidi="ar-SA"/>
        </w:rPr>
        <w:t>铁路、成昆铁路、隆黄铁路运至云南、贵州等西南地区</w:t>
      </w:r>
      <w:r>
        <w:rPr>
          <w:rFonts w:hint="eastAsia" w:cs="Times New Roman"/>
          <w:color w:val="auto"/>
          <w:kern w:val="2"/>
          <w:sz w:val="32"/>
          <w:szCs w:val="24"/>
          <w:highlight w:val="none"/>
          <w:lang w:val="en-US" w:eastAsia="zh-CN" w:bidi="ar-SA"/>
        </w:rPr>
        <w:t>，</w:t>
      </w:r>
      <w:r>
        <w:rPr>
          <w:rFonts w:hint="default" w:ascii="Times New Roman" w:hAnsi="Times New Roman" w:cs="Times New Roman"/>
          <w:color w:val="auto"/>
          <w:kern w:val="2"/>
          <w:sz w:val="32"/>
          <w:szCs w:val="24"/>
          <w:highlight w:val="none"/>
          <w:lang w:val="en-US" w:eastAsia="zh-CN" w:bidi="ar-SA"/>
        </w:rPr>
        <w:t>2035年运量预计可达30万吨。</w:t>
      </w:r>
    </w:p>
    <w:p>
      <w:pPr>
        <w:pStyle w:val="27"/>
        <w:bidi w:val="0"/>
        <w:rPr>
          <w:rFonts w:hint="default"/>
          <w:color w:val="auto"/>
          <w:lang w:val="en-US" w:eastAsia="zh-CN"/>
        </w:rPr>
      </w:pPr>
      <w:r>
        <w:rPr>
          <w:rFonts w:hint="default"/>
          <w:color w:val="auto"/>
          <w:lang w:val="en-US" w:eastAsia="zh-CN"/>
        </w:rPr>
        <w:drawing>
          <wp:inline distT="0" distB="0" distL="114300" distR="114300">
            <wp:extent cx="5400040" cy="3559810"/>
            <wp:effectExtent l="9525" t="9525" r="19685" b="12065"/>
            <wp:docPr id="53" name="图片 53" descr="文本2-2五通桥至云贵-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文本2-2五通桥至云贵-03"/>
                    <pic:cNvPicPr>
                      <a:picLocks noChangeAspect="1"/>
                    </pic:cNvPicPr>
                  </pic:nvPicPr>
                  <pic:blipFill>
                    <a:blip r:embed="rId78"/>
                    <a:srcRect t="2779"/>
                    <a:stretch>
                      <a:fillRect/>
                    </a:stretch>
                  </pic:blipFill>
                  <pic:spPr>
                    <a:xfrm>
                      <a:off x="0" y="0"/>
                      <a:ext cx="5400040" cy="3559810"/>
                    </a:xfrm>
                    <a:prstGeom prst="rect">
                      <a:avLst/>
                    </a:prstGeom>
                    <a:ln>
                      <a:solidFill>
                        <a:schemeClr val="bg2">
                          <a:lumMod val="90000"/>
                        </a:schemeClr>
                      </a:solidFill>
                    </a:ln>
                  </pic:spPr>
                </pic:pic>
              </a:graphicData>
            </a:graphic>
          </wp:inline>
        </w:drawing>
      </w:r>
    </w:p>
    <w:p>
      <w:pPr>
        <w:pStyle w:val="7"/>
        <w:bidi w:val="0"/>
        <w:rPr>
          <w:rFonts w:hint="eastAsia"/>
          <w:color w:val="auto"/>
          <w:w w:val="95"/>
          <w:sz w:val="28"/>
          <w:lang w:val="en-US" w:eastAsia="zh-CN"/>
        </w:rPr>
      </w:pPr>
      <w:r>
        <w:rPr>
          <w:color w:val="auto"/>
          <w:w w:val="95"/>
          <w:sz w:val="28"/>
        </w:rPr>
        <w:t xml:space="preserve">图 </w:t>
      </w:r>
      <w:r>
        <w:rPr>
          <w:color w:val="auto"/>
          <w:w w:val="95"/>
          <w:sz w:val="28"/>
        </w:rPr>
        <w:fldChar w:fldCharType="begin"/>
      </w:r>
      <w:r>
        <w:rPr>
          <w:color w:val="auto"/>
          <w:w w:val="95"/>
          <w:sz w:val="28"/>
        </w:rPr>
        <w:instrText xml:space="preserve"> STYLEREF 1 \s </w:instrText>
      </w:r>
      <w:r>
        <w:rPr>
          <w:color w:val="auto"/>
          <w:w w:val="95"/>
          <w:sz w:val="28"/>
        </w:rPr>
        <w:fldChar w:fldCharType="separate"/>
      </w:r>
      <w:r>
        <w:rPr>
          <w:color w:val="auto"/>
          <w:w w:val="95"/>
          <w:sz w:val="28"/>
        </w:rPr>
        <w:t>7</w:t>
      </w:r>
      <w:r>
        <w:rPr>
          <w:color w:val="auto"/>
          <w:w w:val="95"/>
          <w:sz w:val="28"/>
        </w:rPr>
        <w:fldChar w:fldCharType="end"/>
      </w:r>
      <w:r>
        <w:rPr>
          <w:rFonts w:hint="eastAsia"/>
          <w:color w:val="auto"/>
          <w:w w:val="95"/>
          <w:sz w:val="28"/>
          <w:lang w:eastAsia="zh-CN"/>
        </w:rPr>
        <w:t>-</w:t>
      </w:r>
      <w:r>
        <w:rPr>
          <w:color w:val="auto"/>
          <w:w w:val="95"/>
          <w:sz w:val="28"/>
        </w:rPr>
        <w:fldChar w:fldCharType="begin"/>
      </w:r>
      <w:r>
        <w:rPr>
          <w:color w:val="auto"/>
          <w:w w:val="95"/>
          <w:sz w:val="28"/>
        </w:rPr>
        <w:instrText xml:space="preserve"> SEQ 图 \* ARABIC \s 1 </w:instrText>
      </w:r>
      <w:r>
        <w:rPr>
          <w:color w:val="auto"/>
          <w:w w:val="95"/>
          <w:sz w:val="28"/>
        </w:rPr>
        <w:fldChar w:fldCharType="separate"/>
      </w:r>
      <w:r>
        <w:rPr>
          <w:color w:val="auto"/>
          <w:w w:val="95"/>
          <w:sz w:val="28"/>
        </w:rPr>
        <w:t>15</w:t>
      </w:r>
      <w:r>
        <w:rPr>
          <w:color w:val="auto"/>
          <w:w w:val="95"/>
          <w:sz w:val="28"/>
        </w:rPr>
        <w:fldChar w:fldCharType="end"/>
      </w:r>
      <w:r>
        <w:rPr>
          <w:rFonts w:hint="eastAsia"/>
          <w:color w:val="auto"/>
          <w:w w:val="95"/>
          <w:sz w:val="28"/>
          <w:lang w:val="en-US" w:eastAsia="zh-CN"/>
        </w:rPr>
        <w:t xml:space="preserve"> 五通桥工业区经示范基地至滇黔地区普通化工产品公铁联运线路图</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3.铁水联运</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大力发展以农产品、机械器具等件杂货，以及钢材、金属矿等大宗物资长距离运输服务为主的铁水联运。</w:t>
      </w:r>
      <w:r>
        <w:rPr>
          <w:rFonts w:hint="eastAsia" w:cs="Times New Roman"/>
          <w:color w:val="auto"/>
          <w:lang w:val="en-US" w:eastAsia="zh-CN"/>
        </w:rPr>
        <w:t>依托中欧班列、岷江—长江水运通道，探索构建欧洲经成都、乐山联系长江经济带的国际铁水联运通道。</w:t>
      </w:r>
    </w:p>
    <w:p>
      <w:pPr>
        <w:rPr>
          <w:rFonts w:hint="default" w:ascii="Times New Roman" w:hAnsi="Times New Roman" w:eastAsia="仿宋_GB2312" w:cs="Times New Roman"/>
          <w:color w:val="auto"/>
          <w:kern w:val="2"/>
          <w:sz w:val="32"/>
          <w:szCs w:val="24"/>
          <w:highlight w:val="none"/>
          <w:lang w:val="en-US" w:eastAsia="zh-CN" w:bidi="ar-SA"/>
        </w:rPr>
      </w:pPr>
      <w:r>
        <w:rPr>
          <w:rFonts w:hint="default" w:ascii="Times New Roman" w:hAnsi="Times New Roman" w:cs="Times New Roman"/>
          <w:color w:val="auto"/>
          <w:lang w:val="en-US" w:eastAsia="zh-CN"/>
        </w:rPr>
        <w:t>重点培育多式联运精品线路</w:t>
      </w:r>
      <w:r>
        <w:rPr>
          <w:rFonts w:hint="eastAsia" w:ascii="仿宋_GB2312" w:hAnsi="仿宋_GB2312" w:eastAsia="仿宋_GB2312" w:cs="仿宋_GB2312"/>
          <w:color w:val="auto"/>
          <w:lang w:val="en-US" w:eastAsia="zh-CN"/>
        </w:rPr>
        <w:t>：一是沙湾不锈钢产业园经示范基地至长江中下游钢材铁水联运线路。现状，沙湾不锈钢</w:t>
      </w:r>
      <w:r>
        <w:rPr>
          <w:rFonts w:hint="eastAsia" w:cs="Times New Roman"/>
          <w:color w:val="auto"/>
          <w:lang w:val="en-US" w:eastAsia="zh-CN"/>
        </w:rPr>
        <w:t>产业园内企业生产的钢材产品主要通过公路运输至成渝地区，少量通过公路运输至江苏等沿长江城市。未来，随着示范基地内大宗商品物贸一体功能区建成，乐山有望成为川中川南最大的钢材交易集散中心，将有更多钢材产品在基地内进行仓储、交易、分拨，并有效拓展重庆、湖北、江苏、上海等地销售渠道。</w:t>
      </w:r>
      <w:r>
        <w:rPr>
          <w:rFonts w:hint="eastAsia" w:ascii="Times New Roman" w:hAnsi="Times New Roman" w:cs="Times New Roman"/>
          <w:b w:val="0"/>
          <w:bCs w:val="0"/>
          <w:color w:val="auto"/>
          <w:kern w:val="2"/>
          <w:sz w:val="32"/>
          <w:szCs w:val="32"/>
          <w:lang w:val="en-US" w:eastAsia="zh-CN"/>
        </w:rPr>
        <w:t>未来，可通过培育该精品线路</w:t>
      </w:r>
      <w:r>
        <w:rPr>
          <w:rFonts w:hint="eastAsia" w:cs="Times New Roman"/>
          <w:b w:val="0"/>
          <w:bCs w:val="0"/>
          <w:color w:val="auto"/>
          <w:kern w:val="2"/>
          <w:sz w:val="32"/>
          <w:szCs w:val="32"/>
          <w:lang w:val="en-US" w:eastAsia="zh-CN"/>
        </w:rPr>
        <w:t>，满足</w:t>
      </w:r>
      <w:r>
        <w:rPr>
          <w:rFonts w:hint="default" w:ascii="Times New Roman" w:hAnsi="Times New Roman" w:cs="Times New Roman"/>
          <w:color w:val="auto"/>
          <w:lang w:val="en-US" w:eastAsia="zh-CN"/>
        </w:rPr>
        <w:t>沙湾不锈钢产业园的德胜集团、四川罡宸等冶金企业</w:t>
      </w:r>
      <w:r>
        <w:rPr>
          <w:rFonts w:hint="eastAsia" w:cs="Times New Roman"/>
          <w:color w:val="auto"/>
          <w:lang w:val="en-US" w:eastAsia="zh-CN"/>
        </w:rPr>
        <w:t>部分</w:t>
      </w:r>
      <w:r>
        <w:rPr>
          <w:rFonts w:hint="default" w:ascii="Times New Roman" w:hAnsi="Times New Roman" w:cs="Times New Roman"/>
          <w:color w:val="auto"/>
          <w:lang w:val="en-US" w:eastAsia="zh-CN"/>
        </w:rPr>
        <w:t>钢材产品</w:t>
      </w:r>
      <w:r>
        <w:rPr>
          <w:rFonts w:hint="eastAsia" w:cs="Times New Roman"/>
          <w:color w:val="auto"/>
          <w:lang w:val="en-US" w:eastAsia="zh-CN"/>
        </w:rPr>
        <w:t>外运</w:t>
      </w:r>
      <w:r>
        <w:rPr>
          <w:rFonts w:hint="default" w:ascii="Times New Roman" w:hAnsi="Times New Roman" w:cs="Times New Roman"/>
          <w:color w:val="auto"/>
          <w:lang w:val="en-US" w:eastAsia="zh-CN"/>
        </w:rPr>
        <w:t>需求，钢材从</w:t>
      </w:r>
      <w:r>
        <w:rPr>
          <w:rFonts w:hint="eastAsia" w:ascii="Times New Roman" w:hAnsi="Times New Roman" w:cs="Times New Roman"/>
          <w:color w:val="auto"/>
          <w:lang w:val="en-US" w:eastAsia="zh-CN"/>
        </w:rPr>
        <w:t>嘉农、沙湾工业区</w:t>
      </w:r>
      <w:r>
        <w:rPr>
          <w:rFonts w:hint="default" w:ascii="Times New Roman" w:hAnsi="Times New Roman" w:cs="Times New Roman"/>
          <w:color w:val="auto"/>
          <w:lang w:val="en-US" w:eastAsia="zh-CN"/>
        </w:rPr>
        <w:t>厂区运出，经成昆铁路、老江坝作业区进港铁路专用线到达示范基地后，转水路</w:t>
      </w:r>
      <w:r>
        <w:rPr>
          <w:rFonts w:hint="default" w:ascii="Times New Roman" w:hAnsi="Times New Roman" w:eastAsia="仿宋_GB2312" w:cs="Times New Roman"/>
          <w:color w:val="auto"/>
          <w:kern w:val="2"/>
          <w:sz w:val="32"/>
          <w:szCs w:val="24"/>
          <w:highlight w:val="none"/>
          <w:lang w:val="en-US" w:eastAsia="zh-CN" w:bidi="ar-SA"/>
        </w:rPr>
        <w:t>经岷江、长江至武汉、上海等长江经济带沿线城市，2035年运量预计可达20万吨。</w:t>
      </w:r>
    </w:p>
    <w:p>
      <w:pPr>
        <w:pStyle w:val="27"/>
        <w:bidi w:val="0"/>
        <w:rPr>
          <w:rFonts w:hint="default"/>
          <w:color w:val="auto"/>
          <w:lang w:val="en-US" w:eastAsia="zh-CN"/>
        </w:rPr>
      </w:pPr>
      <w:r>
        <w:rPr>
          <w:rFonts w:hint="default"/>
          <w:color w:val="auto"/>
          <w:lang w:val="en-US" w:eastAsia="zh-CN"/>
        </w:rPr>
        <w:drawing>
          <wp:inline distT="0" distB="0" distL="114300" distR="114300">
            <wp:extent cx="5652135" cy="3941445"/>
            <wp:effectExtent l="9525" t="9525" r="15240" b="11430"/>
            <wp:docPr id="57" name="图片 57" descr="文本3-1铁水沙湾至全国-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文本3-1铁水沙湾至全国-01"/>
                    <pic:cNvPicPr>
                      <a:picLocks noChangeAspect="1"/>
                    </pic:cNvPicPr>
                  </pic:nvPicPr>
                  <pic:blipFill>
                    <a:blip r:embed="rId79"/>
                    <a:srcRect l="3237" t="3830" r="2586" b="3282"/>
                    <a:stretch>
                      <a:fillRect/>
                    </a:stretch>
                  </pic:blipFill>
                  <pic:spPr>
                    <a:xfrm>
                      <a:off x="0" y="0"/>
                      <a:ext cx="5652135" cy="3941445"/>
                    </a:xfrm>
                    <a:prstGeom prst="rect">
                      <a:avLst/>
                    </a:prstGeom>
                    <a:ln>
                      <a:solidFill>
                        <a:schemeClr val="bg2">
                          <a:lumMod val="90000"/>
                        </a:schemeClr>
                      </a:solidFill>
                    </a:ln>
                  </pic:spPr>
                </pic:pic>
              </a:graphicData>
            </a:graphic>
          </wp:inline>
        </w:drawing>
      </w:r>
    </w:p>
    <w:p>
      <w:pPr>
        <w:pStyle w:val="7"/>
        <w:bidi w:val="0"/>
        <w:rPr>
          <w:rFonts w:hint="default" w:eastAsia="楷体"/>
          <w:color w:val="auto"/>
          <w:w w:val="90"/>
          <w:sz w:val="28"/>
          <w:lang w:val="en-US" w:eastAsia="zh-CN"/>
        </w:rPr>
      </w:pPr>
      <w:r>
        <w:rPr>
          <w:color w:val="auto"/>
          <w:w w:val="90"/>
          <w:sz w:val="28"/>
        </w:rPr>
        <w:t xml:space="preserve">图 </w:t>
      </w:r>
      <w:r>
        <w:rPr>
          <w:color w:val="auto"/>
          <w:w w:val="90"/>
          <w:sz w:val="28"/>
        </w:rPr>
        <w:fldChar w:fldCharType="begin"/>
      </w:r>
      <w:r>
        <w:rPr>
          <w:color w:val="auto"/>
          <w:w w:val="90"/>
          <w:sz w:val="28"/>
        </w:rPr>
        <w:instrText xml:space="preserve"> STYLEREF 1 \s </w:instrText>
      </w:r>
      <w:r>
        <w:rPr>
          <w:color w:val="auto"/>
          <w:w w:val="90"/>
          <w:sz w:val="28"/>
        </w:rPr>
        <w:fldChar w:fldCharType="separate"/>
      </w:r>
      <w:r>
        <w:rPr>
          <w:color w:val="auto"/>
          <w:w w:val="90"/>
          <w:sz w:val="28"/>
        </w:rPr>
        <w:t>7</w:t>
      </w:r>
      <w:r>
        <w:rPr>
          <w:color w:val="auto"/>
          <w:w w:val="90"/>
          <w:sz w:val="28"/>
        </w:rPr>
        <w:fldChar w:fldCharType="end"/>
      </w:r>
      <w:r>
        <w:rPr>
          <w:rFonts w:hint="eastAsia"/>
          <w:color w:val="auto"/>
          <w:w w:val="90"/>
          <w:sz w:val="28"/>
          <w:lang w:eastAsia="zh-CN"/>
        </w:rPr>
        <w:t>-</w:t>
      </w:r>
      <w:r>
        <w:rPr>
          <w:color w:val="auto"/>
          <w:w w:val="90"/>
          <w:sz w:val="28"/>
        </w:rPr>
        <w:fldChar w:fldCharType="begin"/>
      </w:r>
      <w:r>
        <w:rPr>
          <w:color w:val="auto"/>
          <w:w w:val="90"/>
          <w:sz w:val="28"/>
        </w:rPr>
        <w:instrText xml:space="preserve"> SEQ 图 \* ARABIC \s 1 </w:instrText>
      </w:r>
      <w:r>
        <w:rPr>
          <w:color w:val="auto"/>
          <w:w w:val="90"/>
          <w:sz w:val="28"/>
        </w:rPr>
        <w:fldChar w:fldCharType="separate"/>
      </w:r>
      <w:r>
        <w:rPr>
          <w:color w:val="auto"/>
          <w:w w:val="90"/>
          <w:sz w:val="28"/>
        </w:rPr>
        <w:t>16</w:t>
      </w:r>
      <w:r>
        <w:rPr>
          <w:color w:val="auto"/>
          <w:w w:val="90"/>
          <w:sz w:val="28"/>
        </w:rPr>
        <w:fldChar w:fldCharType="end"/>
      </w:r>
      <w:r>
        <w:rPr>
          <w:rFonts w:hint="eastAsia"/>
          <w:color w:val="auto"/>
          <w:w w:val="90"/>
          <w:sz w:val="28"/>
          <w:lang w:val="en-US" w:eastAsia="zh-CN"/>
        </w:rPr>
        <w:t xml:space="preserve"> 沙湾不锈钢产业园经示范基地至长江中下游钢材铁水联运线路图</w:t>
      </w:r>
    </w:p>
    <w:p>
      <w:pPr>
        <w:rPr>
          <w:rFonts w:hint="eastAsia" w:ascii="仿宋_GB2312" w:hAnsi="仿宋_GB2312" w:eastAsia="仿宋_GB2312" w:cs="仿宋_GB2312"/>
          <w:color w:val="auto"/>
          <w:sz w:val="24"/>
          <w:szCs w:val="21"/>
          <w:lang w:val="en-US" w:eastAsia="zh-CN"/>
        </w:rPr>
      </w:pPr>
      <w:r>
        <w:rPr>
          <w:rFonts w:hint="eastAsia" w:ascii="仿宋_GB2312" w:hAnsi="仿宋_GB2312" w:eastAsia="仿宋_GB2312" w:cs="仿宋_GB2312"/>
          <w:color w:val="auto"/>
          <w:lang w:val="en-US" w:eastAsia="zh-CN"/>
        </w:rPr>
        <w:t>二是成都都市圈经示范基地至长江中下游集装箱铁水联运线路。</w:t>
      </w:r>
      <w:r>
        <w:rPr>
          <w:rFonts w:hint="eastAsia" w:cs="Times New Roman"/>
          <w:color w:val="auto"/>
          <w:lang w:val="en-US" w:eastAsia="zh-CN"/>
        </w:rPr>
        <w:t>现状，</w:t>
      </w:r>
      <w:r>
        <w:rPr>
          <w:rFonts w:hint="default" w:cs="Times New Roman"/>
          <w:color w:val="auto"/>
          <w:lang w:val="en-US" w:eastAsia="zh-CN"/>
        </w:rPr>
        <w:t>成都、德阳、眉山</w:t>
      </w:r>
      <w:r>
        <w:rPr>
          <w:rFonts w:hint="eastAsia" w:cs="Times New Roman"/>
          <w:color w:val="auto"/>
          <w:lang w:val="en-US" w:eastAsia="zh-CN"/>
        </w:rPr>
        <w:t>等城市的铁水联运集装箱运输主要通过长江班列在湖北港口下水，或通过成渝铁路、内昆铁路、隆叙铁路到宜宾港或者泸州港下水，再运至长三角地区。未来，随着岷江畅通以及三峡水运新通道全面贯通，乐山水运优势潜力将进一步释放，</w:t>
      </w:r>
      <w:r>
        <w:rPr>
          <w:rFonts w:hint="eastAsia" w:ascii="Times New Roman" w:hAnsi="Times New Roman" w:cs="Times New Roman"/>
          <w:b w:val="0"/>
          <w:bCs w:val="0"/>
          <w:color w:val="auto"/>
          <w:kern w:val="2"/>
          <w:sz w:val="32"/>
          <w:szCs w:val="32"/>
          <w:lang w:val="en-US" w:eastAsia="zh-CN"/>
        </w:rPr>
        <w:t>可通过培育该精品线路，</w:t>
      </w:r>
      <w:r>
        <w:rPr>
          <w:rFonts w:hint="default" w:ascii="Times New Roman" w:hAnsi="Times New Roman" w:cs="Times New Roman"/>
          <w:color w:val="auto"/>
          <w:lang w:val="en-US" w:eastAsia="zh-CN"/>
        </w:rPr>
        <w:t>满足成都、德阳、眉山等地制造</w:t>
      </w:r>
      <w:r>
        <w:rPr>
          <w:rFonts w:hint="eastAsia" w:cs="Times New Roman"/>
          <w:color w:val="auto"/>
          <w:lang w:val="en-US" w:eastAsia="zh-CN"/>
        </w:rPr>
        <w:t>业</w:t>
      </w:r>
      <w:r>
        <w:rPr>
          <w:rFonts w:hint="default" w:ascii="Times New Roman" w:hAnsi="Times New Roman" w:cs="Times New Roman"/>
          <w:color w:val="auto"/>
          <w:lang w:val="en-US" w:eastAsia="zh-CN"/>
        </w:rPr>
        <w:t>企业生产的机械电器、食品饮料等产品</w:t>
      </w:r>
      <w:r>
        <w:rPr>
          <w:rFonts w:hint="eastAsia" w:cs="Times New Roman"/>
          <w:color w:val="auto"/>
          <w:lang w:val="en-US" w:eastAsia="zh-CN"/>
        </w:rPr>
        <w:t>对外</w:t>
      </w:r>
      <w:r>
        <w:rPr>
          <w:rFonts w:hint="default" w:ascii="Times New Roman" w:hAnsi="Times New Roman" w:cs="Times New Roman"/>
          <w:color w:val="auto"/>
          <w:lang w:val="en-US" w:eastAsia="zh-CN"/>
        </w:rPr>
        <w:t>运输需求，集装箱从成都都市圈生产企业运出后，近期可经成昆铁路、</w:t>
      </w:r>
      <w:r>
        <w:rPr>
          <w:rFonts w:hint="eastAsia" w:cs="Times New Roman"/>
          <w:color w:val="auto"/>
          <w:lang w:val="en-US" w:eastAsia="zh-CN"/>
        </w:rPr>
        <w:t>连燕</w:t>
      </w:r>
      <w:r>
        <w:rPr>
          <w:rFonts w:hint="default" w:ascii="Times New Roman" w:hAnsi="Times New Roman" w:cs="Times New Roman"/>
          <w:color w:val="auto"/>
          <w:lang w:val="en-US" w:eastAsia="zh-CN"/>
        </w:rPr>
        <w:t>铁路在乐山港站下站后，经建业大道、进港大道公路接驳至示范基地，转水路</w:t>
      </w:r>
      <w:r>
        <w:rPr>
          <w:rFonts w:hint="default" w:ascii="Times New Roman" w:hAnsi="Times New Roman" w:eastAsia="仿宋_GB2312" w:cs="Times New Roman"/>
          <w:color w:val="auto"/>
          <w:kern w:val="2"/>
          <w:sz w:val="32"/>
          <w:szCs w:val="24"/>
          <w:highlight w:val="none"/>
          <w:lang w:val="en-US" w:eastAsia="zh-CN" w:bidi="ar-SA"/>
        </w:rPr>
        <w:t>经岷江、长江至</w:t>
      </w:r>
      <w:r>
        <w:rPr>
          <w:rFonts w:hint="default" w:ascii="Times New Roman" w:hAnsi="Times New Roman" w:cs="Times New Roman"/>
          <w:color w:val="auto"/>
          <w:kern w:val="2"/>
          <w:sz w:val="32"/>
          <w:szCs w:val="24"/>
          <w:highlight w:val="none"/>
          <w:lang w:val="en-US" w:eastAsia="zh-CN" w:bidi="ar-SA"/>
        </w:rPr>
        <w:t>武汉、上海等长江经济带沿线城市</w:t>
      </w:r>
      <w:r>
        <w:rPr>
          <w:rFonts w:hint="default" w:ascii="Times New Roman" w:hAnsi="Times New Roman" w:cs="Times New Roman"/>
          <w:color w:val="auto"/>
          <w:lang w:val="en-US" w:eastAsia="zh-CN"/>
        </w:rPr>
        <w:t>；远期在老江坝作业区进港铁路专用线建成后，可实现集装箱经铁路直接运至示范基地后下水转运至长江中下游地区，2035年运量预计可达</w:t>
      </w:r>
      <w:r>
        <w:rPr>
          <w:rFonts w:hint="eastAsia" w:cs="Times New Roman"/>
          <w:color w:val="auto"/>
          <w:lang w:val="en-US" w:eastAsia="zh-CN"/>
        </w:rPr>
        <w:t>5</w:t>
      </w:r>
      <w:r>
        <w:rPr>
          <w:rFonts w:hint="default" w:ascii="Times New Roman" w:hAnsi="Times New Roman" w:cs="Times New Roman"/>
          <w:color w:val="auto"/>
          <w:lang w:val="en-US" w:eastAsia="zh-CN"/>
        </w:rPr>
        <w:t>万</w:t>
      </w:r>
      <w:r>
        <w:rPr>
          <w:rFonts w:hint="eastAsia" w:cs="Times New Roman"/>
          <w:color w:val="auto"/>
          <w:lang w:val="en-US" w:eastAsia="zh-CN"/>
        </w:rPr>
        <w:t>标箱（</w:t>
      </w:r>
      <w:r>
        <w:rPr>
          <w:rFonts w:hint="default" w:ascii="Times New Roman" w:hAnsi="Times New Roman" w:cs="Times New Roman"/>
          <w:color w:val="auto"/>
          <w:lang w:val="en-US" w:eastAsia="zh-CN"/>
        </w:rPr>
        <w:t>TEU</w:t>
      </w:r>
      <w:r>
        <w:rPr>
          <w:rFonts w:hint="eastAsia" w:cs="Times New Roman"/>
          <w:color w:val="auto"/>
          <w:lang w:val="en-US" w:eastAsia="zh-CN"/>
        </w:rPr>
        <w:t>）</w:t>
      </w:r>
      <w:r>
        <w:rPr>
          <w:rFonts w:hint="default" w:ascii="Times New Roman" w:hAnsi="Times New Roman" w:cs="Times New Roman"/>
          <w:color w:val="auto"/>
          <w:lang w:val="en-US" w:eastAsia="zh-CN"/>
        </w:rPr>
        <w:t>。</w:t>
      </w:r>
    </w:p>
    <w:p>
      <w:pPr>
        <w:pStyle w:val="27"/>
        <w:bidi w:val="0"/>
        <w:rPr>
          <w:rFonts w:hint="default"/>
          <w:color w:val="auto"/>
          <w:lang w:val="en-US" w:eastAsia="zh-CN"/>
        </w:rPr>
      </w:pPr>
      <w:r>
        <w:rPr>
          <w:rFonts w:hint="default"/>
          <w:color w:val="auto"/>
          <w:lang w:val="en-US" w:eastAsia="zh-CN"/>
        </w:rPr>
        <w:drawing>
          <wp:inline distT="0" distB="0" distL="114300" distR="114300">
            <wp:extent cx="5507990" cy="3561715"/>
            <wp:effectExtent l="9525" t="9525" r="26035" b="10160"/>
            <wp:docPr id="13" name="图片 13" descr="铁水2成德眉资-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铁水2成德眉资-01"/>
                    <pic:cNvPicPr>
                      <a:picLocks noChangeAspect="1"/>
                    </pic:cNvPicPr>
                  </pic:nvPicPr>
                  <pic:blipFill>
                    <a:blip r:embed="rId80"/>
                    <a:srcRect l="1804" t="4984" r="2107" b="7147"/>
                    <a:stretch>
                      <a:fillRect/>
                    </a:stretch>
                  </pic:blipFill>
                  <pic:spPr>
                    <a:xfrm>
                      <a:off x="0" y="0"/>
                      <a:ext cx="5507990" cy="3561715"/>
                    </a:xfrm>
                    <a:prstGeom prst="rect">
                      <a:avLst/>
                    </a:prstGeom>
                    <a:ln>
                      <a:solidFill>
                        <a:schemeClr val="bg2">
                          <a:lumMod val="90000"/>
                        </a:schemeClr>
                      </a:solidFill>
                    </a:ln>
                  </pic:spPr>
                </pic:pic>
              </a:graphicData>
            </a:graphic>
          </wp:inline>
        </w:drawing>
      </w:r>
    </w:p>
    <w:p>
      <w:pPr>
        <w:pStyle w:val="7"/>
        <w:bidi w:val="0"/>
        <w:rPr>
          <w:rFonts w:hint="default" w:eastAsia="楷体"/>
          <w:color w:val="auto"/>
          <w:w w:val="95"/>
          <w:sz w:val="28"/>
          <w:lang w:val="en-US" w:eastAsia="zh-CN"/>
        </w:rPr>
      </w:pPr>
      <w:r>
        <w:rPr>
          <w:color w:val="auto"/>
          <w:w w:val="95"/>
          <w:sz w:val="28"/>
        </w:rPr>
        <w:t xml:space="preserve">图 </w:t>
      </w:r>
      <w:r>
        <w:rPr>
          <w:color w:val="auto"/>
          <w:w w:val="95"/>
          <w:sz w:val="28"/>
        </w:rPr>
        <w:fldChar w:fldCharType="begin"/>
      </w:r>
      <w:r>
        <w:rPr>
          <w:color w:val="auto"/>
          <w:w w:val="95"/>
          <w:sz w:val="28"/>
        </w:rPr>
        <w:instrText xml:space="preserve"> STYLEREF 1 \s </w:instrText>
      </w:r>
      <w:r>
        <w:rPr>
          <w:color w:val="auto"/>
          <w:w w:val="95"/>
          <w:sz w:val="28"/>
        </w:rPr>
        <w:fldChar w:fldCharType="separate"/>
      </w:r>
      <w:r>
        <w:rPr>
          <w:color w:val="auto"/>
          <w:w w:val="95"/>
          <w:sz w:val="28"/>
        </w:rPr>
        <w:t>7</w:t>
      </w:r>
      <w:r>
        <w:rPr>
          <w:color w:val="auto"/>
          <w:w w:val="95"/>
          <w:sz w:val="28"/>
        </w:rPr>
        <w:fldChar w:fldCharType="end"/>
      </w:r>
      <w:r>
        <w:rPr>
          <w:rFonts w:hint="eastAsia"/>
          <w:color w:val="auto"/>
          <w:w w:val="95"/>
          <w:sz w:val="28"/>
          <w:lang w:eastAsia="zh-CN"/>
        </w:rPr>
        <w:t>-</w:t>
      </w:r>
      <w:r>
        <w:rPr>
          <w:color w:val="auto"/>
          <w:w w:val="95"/>
          <w:sz w:val="28"/>
        </w:rPr>
        <w:fldChar w:fldCharType="begin"/>
      </w:r>
      <w:r>
        <w:rPr>
          <w:color w:val="auto"/>
          <w:w w:val="95"/>
          <w:sz w:val="28"/>
        </w:rPr>
        <w:instrText xml:space="preserve"> SEQ 图 \* ARABIC \s 1 </w:instrText>
      </w:r>
      <w:r>
        <w:rPr>
          <w:color w:val="auto"/>
          <w:w w:val="95"/>
          <w:sz w:val="28"/>
        </w:rPr>
        <w:fldChar w:fldCharType="separate"/>
      </w:r>
      <w:r>
        <w:rPr>
          <w:color w:val="auto"/>
          <w:w w:val="95"/>
          <w:sz w:val="28"/>
        </w:rPr>
        <w:t>17</w:t>
      </w:r>
      <w:r>
        <w:rPr>
          <w:color w:val="auto"/>
          <w:w w:val="95"/>
          <w:sz w:val="28"/>
        </w:rPr>
        <w:fldChar w:fldCharType="end"/>
      </w:r>
      <w:r>
        <w:rPr>
          <w:rFonts w:hint="eastAsia"/>
          <w:color w:val="auto"/>
          <w:w w:val="95"/>
          <w:sz w:val="28"/>
          <w:lang w:val="en-US" w:eastAsia="zh-CN"/>
        </w:rPr>
        <w:t xml:space="preserve"> 成都都市圈经示范基地至长江中下游集装箱铁水联运线路图</w:t>
      </w:r>
    </w:p>
    <w:p>
      <w:pPr>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4</w:t>
      </w:r>
      <w:r>
        <w:rPr>
          <w:rFonts w:hint="default" w:ascii="Times New Roman" w:hAnsi="Times New Roman" w:cs="Times New Roman"/>
          <w:b/>
          <w:bCs/>
          <w:color w:val="auto"/>
          <w:lang w:val="en-US" w:eastAsia="zh-CN"/>
        </w:rPr>
        <w:t>.陆空联运</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结合乐山机场建设规模和腹地经济产业发展布局，近期乐山机场依托腹仓带货模式主要发展采用公路方式集散的陆空联运，以满足乐山电子信息、生物医药、跨境电商、生鲜冷链、特色农产品等现代适航产业的航空供应链服务需求为主；远期通过开行全货机航线，辐射眉山、自贡、雅安等周边城市，将乐山打造为川中—川南航空货运集散枢纽。</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重点培育多式联运精品线</w:t>
      </w:r>
      <w:r>
        <w:rPr>
          <w:rFonts w:hint="eastAsia" w:ascii="仿宋_GB2312" w:hAnsi="仿宋_GB2312" w:eastAsia="仿宋_GB2312" w:cs="仿宋_GB2312"/>
          <w:color w:val="auto"/>
          <w:lang w:val="en-US" w:eastAsia="zh-CN"/>
        </w:rPr>
        <w:t>路：示范基地经乐山机场至北上广深等重点城市春茶陆空联运线路。该线</w:t>
      </w:r>
      <w:r>
        <w:rPr>
          <w:rFonts w:hint="default" w:ascii="Times New Roman" w:hAnsi="Times New Roman" w:cs="Times New Roman"/>
          <w:color w:val="auto"/>
          <w:lang w:val="en-US" w:eastAsia="zh-CN"/>
        </w:rPr>
        <w:t>路重点满足夹江、峨眉山等生态茶产业园区茶叶产品对外运输需求，茶叶从</w:t>
      </w:r>
      <w:r>
        <w:rPr>
          <w:rFonts w:hint="eastAsia" w:ascii="Times New Roman" w:hAnsi="Times New Roman" w:cs="Times New Roman"/>
          <w:color w:val="auto"/>
          <w:lang w:val="en-US" w:eastAsia="zh-CN"/>
        </w:rPr>
        <w:t>夹江、峨眉山等种植</w:t>
      </w:r>
      <w:r>
        <w:rPr>
          <w:rFonts w:hint="default" w:ascii="Times New Roman" w:hAnsi="Times New Roman" w:cs="Times New Roman"/>
          <w:color w:val="auto"/>
          <w:lang w:val="en-US" w:eastAsia="zh-CN"/>
        </w:rPr>
        <w:t>基地运出后，经干线公路运至示范基地，简单加工包装后运至乐山机场发往北京、上海、广州、深圳等东部重点城市，</w:t>
      </w:r>
      <w:r>
        <w:rPr>
          <w:rFonts w:hint="eastAsia" w:cs="Times New Roman"/>
          <w:color w:val="auto"/>
          <w:lang w:val="en-US" w:eastAsia="zh-CN"/>
        </w:rPr>
        <w:t>实现最短运输时间由2天缩短至1天，</w:t>
      </w:r>
      <w:r>
        <w:rPr>
          <w:rFonts w:hint="default" w:ascii="Times New Roman" w:hAnsi="Times New Roman" w:cs="Times New Roman"/>
          <w:color w:val="auto"/>
          <w:lang w:val="en-US" w:eastAsia="zh-CN"/>
        </w:rPr>
        <w:t>2035年运量预计可超过1000吨</w:t>
      </w:r>
      <w:r>
        <w:rPr>
          <w:rFonts w:hint="eastAsia" w:cs="Times New Roman"/>
          <w:color w:val="auto"/>
          <w:lang w:val="en-US" w:eastAsia="zh-CN"/>
        </w:rPr>
        <w:t>，可节约乐山至成都机场公路短驳费用每年约6万元</w:t>
      </w:r>
      <w:r>
        <w:rPr>
          <w:rFonts w:hint="default" w:ascii="Times New Roman" w:hAnsi="Times New Roman" w:cs="Times New Roman"/>
          <w:color w:val="auto"/>
          <w:lang w:val="en-US" w:eastAsia="zh-CN"/>
        </w:rPr>
        <w:t>。</w:t>
      </w:r>
    </w:p>
    <w:p>
      <w:pPr>
        <w:pStyle w:val="27"/>
        <w:bidi w:val="0"/>
        <w:rPr>
          <w:rFonts w:hint="default"/>
          <w:color w:val="auto"/>
          <w:lang w:val="en-US" w:eastAsia="zh-CN"/>
        </w:rPr>
      </w:pPr>
      <w:r>
        <w:rPr>
          <w:rFonts w:hint="default"/>
          <w:color w:val="auto"/>
          <w:lang w:val="en-US" w:eastAsia="zh-CN"/>
        </w:rPr>
        <w:drawing>
          <wp:inline distT="0" distB="0" distL="114300" distR="114300">
            <wp:extent cx="5615940" cy="3898900"/>
            <wp:effectExtent l="9525" t="9525" r="13335" b="15875"/>
            <wp:docPr id="21" name="图片 21" descr="9c6c149127f978eeaf002b44707029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9c6c149127f978eeaf002b447070299c"/>
                    <pic:cNvPicPr>
                      <a:picLocks noChangeAspect="1"/>
                    </pic:cNvPicPr>
                  </pic:nvPicPr>
                  <pic:blipFill>
                    <a:blip r:embed="rId81"/>
                    <a:srcRect l="2100" t="3020" r="2425" b="3225"/>
                    <a:stretch>
                      <a:fillRect/>
                    </a:stretch>
                  </pic:blipFill>
                  <pic:spPr>
                    <a:xfrm>
                      <a:off x="0" y="0"/>
                      <a:ext cx="5615940" cy="3898900"/>
                    </a:xfrm>
                    <a:prstGeom prst="rect">
                      <a:avLst/>
                    </a:prstGeom>
                    <a:ln>
                      <a:solidFill>
                        <a:schemeClr val="bg2">
                          <a:lumMod val="75000"/>
                        </a:schemeClr>
                      </a:solidFill>
                    </a:ln>
                  </pic:spPr>
                </pic:pic>
              </a:graphicData>
            </a:graphic>
          </wp:inline>
        </w:drawing>
      </w:r>
    </w:p>
    <w:p>
      <w:pPr>
        <w:pStyle w:val="7"/>
        <w:bidi w:val="0"/>
        <w:rPr>
          <w:rFonts w:hint="eastAsia"/>
          <w:color w:val="auto"/>
          <w:w w:val="90"/>
          <w:sz w:val="28"/>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7</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18</w:t>
      </w:r>
      <w:r>
        <w:rPr>
          <w:color w:val="auto"/>
        </w:rPr>
        <w:fldChar w:fldCharType="end"/>
      </w:r>
      <w:r>
        <w:rPr>
          <w:rFonts w:hint="eastAsia"/>
          <w:color w:val="auto"/>
          <w:lang w:val="en-US" w:eastAsia="zh-CN"/>
        </w:rPr>
        <w:t xml:space="preserve"> </w:t>
      </w:r>
      <w:r>
        <w:rPr>
          <w:rFonts w:hint="eastAsia"/>
          <w:color w:val="auto"/>
          <w:w w:val="90"/>
          <w:sz w:val="28"/>
          <w:lang w:val="en-US" w:eastAsia="zh-CN"/>
        </w:rPr>
        <w:t>示范基地经乐山机场至北上广深等重点城市春茶陆空联运线路图</w:t>
      </w:r>
    </w:p>
    <w:p>
      <w:pPr>
        <w:pStyle w:val="27"/>
        <w:bidi w:val="0"/>
        <w:rPr>
          <w:rFonts w:hint="default"/>
          <w:lang w:val="en-US" w:eastAsia="zh-CN"/>
        </w:rPr>
      </w:pPr>
      <w:r>
        <w:rPr>
          <w:rFonts w:hint="default"/>
          <w:lang w:val="en-US" w:eastAsia="zh-CN"/>
        </w:rPr>
        <w:drawing>
          <wp:inline distT="0" distB="0" distL="114300" distR="114300">
            <wp:extent cx="5579745" cy="3898900"/>
            <wp:effectExtent l="0" t="0" r="1905" b="6350"/>
            <wp:docPr id="51" name="图片 51" descr="7条多式联运线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7条多式联运线路"/>
                    <pic:cNvPicPr>
                      <a:picLocks noChangeAspect="1"/>
                    </pic:cNvPicPr>
                  </pic:nvPicPr>
                  <pic:blipFill>
                    <a:blip r:embed="rId82"/>
                    <a:srcRect l="1303" t="1684" r="1344" b="2116"/>
                    <a:stretch>
                      <a:fillRect/>
                    </a:stretch>
                  </pic:blipFill>
                  <pic:spPr>
                    <a:xfrm>
                      <a:off x="0" y="0"/>
                      <a:ext cx="5579745" cy="3898900"/>
                    </a:xfrm>
                    <a:prstGeom prst="rect">
                      <a:avLst/>
                    </a:prstGeom>
                  </pic:spPr>
                </pic:pic>
              </a:graphicData>
            </a:graphic>
          </wp:inline>
        </w:drawing>
      </w:r>
    </w:p>
    <w:p>
      <w:pPr>
        <w:pStyle w:val="7"/>
        <w:bidi w:val="0"/>
        <w:rPr>
          <w:rFonts w:hint="default" w:eastAsia="楷体"/>
          <w:lang w:val="en-US" w:eastAsia="zh-CN"/>
        </w:rPr>
      </w:pPr>
      <w:r>
        <w:t xml:space="preserve">图 </w:t>
      </w:r>
      <w:r>
        <w:fldChar w:fldCharType="begin"/>
      </w:r>
      <w:r>
        <w:instrText xml:space="preserve"> STYLEREF 1 \s </w:instrText>
      </w:r>
      <w:r>
        <w:fldChar w:fldCharType="separate"/>
      </w:r>
      <w:r>
        <w:t>7</w:t>
      </w:r>
      <w:r>
        <w:fldChar w:fldCharType="end"/>
      </w:r>
      <w:r>
        <w:rPr>
          <w:rFonts w:hint="eastAsia"/>
          <w:lang w:eastAsia="zh-CN"/>
        </w:rPr>
        <w:t>-</w:t>
      </w:r>
      <w:r>
        <w:fldChar w:fldCharType="begin"/>
      </w:r>
      <w:r>
        <w:instrText xml:space="preserve"> SEQ 图 \* ARABIC \s 1 </w:instrText>
      </w:r>
      <w:r>
        <w:fldChar w:fldCharType="separate"/>
      </w:r>
      <w:r>
        <w:t>19</w:t>
      </w:r>
      <w:r>
        <w:fldChar w:fldCharType="end"/>
      </w:r>
      <w:r>
        <w:rPr>
          <w:rFonts w:hint="eastAsia"/>
          <w:lang w:val="en-US" w:eastAsia="zh-CN"/>
        </w:rPr>
        <w:t xml:space="preserve"> 乐山7条多式联运精品线路汇总示意图</w:t>
      </w:r>
    </w:p>
    <w:p>
      <w:pPr>
        <w:pStyle w:val="5"/>
        <w:keepNext w:val="0"/>
        <w:keepLines/>
        <w:pageBreakBefore w:val="0"/>
        <w:widowControl w:val="0"/>
        <w:kinsoku/>
        <w:wordWrap/>
        <w:overflowPunct/>
        <w:topLinePunct w:val="0"/>
        <w:autoSpaceDE/>
        <w:autoSpaceDN/>
        <w:bidi w:val="0"/>
        <w:adjustRightInd w:val="0"/>
        <w:snapToGrid w:val="0"/>
        <w:textAlignment w:val="auto"/>
        <w:outlineLvl w:val="3"/>
        <w:rPr>
          <w:rFonts w:hint="default" w:ascii="Times New Roman" w:hAnsi="Times New Roman" w:cs="Times New Roman"/>
          <w:b/>
          <w:bCs/>
          <w:color w:val="auto"/>
          <w:szCs w:val="32"/>
          <w:lang w:val="en-US" w:eastAsia="zh-CN"/>
        </w:rPr>
      </w:pPr>
      <w:r>
        <w:rPr>
          <w:rFonts w:hint="default" w:ascii="Times New Roman" w:hAnsi="Times New Roman" w:cs="Times New Roman"/>
          <w:b/>
          <w:bCs/>
          <w:color w:val="auto"/>
          <w:szCs w:val="32"/>
          <w:lang w:val="en-US" w:eastAsia="zh-CN"/>
        </w:rPr>
        <w:t>区域分拨</w:t>
      </w:r>
    </w:p>
    <w:p>
      <w:pP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发挥</w:t>
      </w:r>
      <w:r>
        <w:rPr>
          <w:rFonts w:hint="default" w:ascii="Times New Roman" w:hAnsi="Times New Roman" w:cs="Times New Roman"/>
          <w:color w:val="auto"/>
          <w:lang w:val="en-US" w:eastAsia="zh-CN"/>
        </w:rPr>
        <w:t>乐山</w:t>
      </w:r>
      <w:r>
        <w:rPr>
          <w:rFonts w:hint="eastAsia" w:ascii="Times New Roman" w:hAnsi="Times New Roman" w:cs="Times New Roman"/>
          <w:color w:val="auto"/>
          <w:lang w:val="en-US" w:eastAsia="zh-CN"/>
        </w:rPr>
        <w:t>地处</w:t>
      </w:r>
      <w:r>
        <w:rPr>
          <w:rFonts w:hint="default" w:ascii="Times New Roman" w:hAnsi="Times New Roman" w:cs="Times New Roman"/>
          <w:color w:val="auto"/>
          <w:lang w:val="en-US" w:eastAsia="zh-CN"/>
        </w:rPr>
        <w:t>成都平原经济区、川南经济区、攀西经济区交界处的区位优势，依托乐山</w:t>
      </w:r>
      <w:r>
        <w:rPr>
          <w:rFonts w:hint="eastAsia" w:cs="Times New Roman"/>
          <w:color w:val="auto"/>
          <w:lang w:val="en-US" w:eastAsia="zh-CN"/>
        </w:rPr>
        <w:t>“</w:t>
      </w:r>
      <w:r>
        <w:rPr>
          <w:rFonts w:hint="default" w:ascii="Times New Roman" w:hAnsi="Times New Roman" w:cs="Times New Roman"/>
          <w:color w:val="auto"/>
          <w:sz w:val="32"/>
          <w:szCs w:val="32"/>
          <w:lang w:val="en-US" w:eastAsia="zh-CN"/>
        </w:rPr>
        <w:t>一</w:t>
      </w:r>
      <w:r>
        <w:rPr>
          <w:rFonts w:hint="default" w:ascii="Times New Roman" w:hAnsi="Times New Roman" w:eastAsia="仿宋_GB2312" w:cs="Times New Roman"/>
          <w:color w:val="auto"/>
          <w:sz w:val="32"/>
          <w:szCs w:val="32"/>
        </w:rPr>
        <w:t>环</w:t>
      </w:r>
      <w:r>
        <w:rPr>
          <w:rFonts w:hint="default" w:ascii="Times New Roman" w:hAnsi="Times New Roman" w:cs="Times New Roman"/>
          <w:color w:val="auto"/>
          <w:sz w:val="32"/>
          <w:szCs w:val="32"/>
          <w:lang w:val="en-US" w:eastAsia="zh-CN"/>
        </w:rPr>
        <w:t>九</w:t>
      </w:r>
      <w:r>
        <w:rPr>
          <w:rFonts w:hint="default" w:ascii="Times New Roman" w:hAnsi="Times New Roman" w:eastAsia="仿宋_GB2312" w:cs="Times New Roman"/>
          <w:color w:val="auto"/>
          <w:sz w:val="32"/>
          <w:szCs w:val="32"/>
        </w:rPr>
        <w:t>射</w:t>
      </w:r>
      <w:r>
        <w:rPr>
          <w:rFonts w:hint="default" w:ascii="Times New Roman" w:hAnsi="Times New Roman" w:cs="Times New Roman"/>
          <w:color w:val="auto"/>
          <w:sz w:val="32"/>
          <w:szCs w:val="32"/>
          <w:lang w:val="en-US" w:eastAsia="zh-CN"/>
        </w:rPr>
        <w:t>两</w:t>
      </w:r>
      <w:r>
        <w:rPr>
          <w:rFonts w:hint="default" w:ascii="Times New Roman" w:hAnsi="Times New Roman" w:eastAsia="仿宋_GB2312" w:cs="Times New Roman"/>
          <w:color w:val="auto"/>
          <w:sz w:val="32"/>
          <w:szCs w:val="32"/>
        </w:rPr>
        <w:t>纵</w:t>
      </w:r>
      <w:r>
        <w:rPr>
          <w:rFonts w:hint="default" w:ascii="Times New Roman" w:hAnsi="Times New Roman" w:cs="Times New Roman"/>
          <w:color w:val="auto"/>
          <w:sz w:val="32"/>
          <w:szCs w:val="32"/>
          <w:lang w:val="en-US" w:eastAsia="zh-CN"/>
        </w:rPr>
        <w:t>两</w:t>
      </w:r>
      <w:r>
        <w:rPr>
          <w:rFonts w:hint="default" w:ascii="Times New Roman" w:hAnsi="Times New Roman" w:eastAsia="仿宋_GB2312" w:cs="Times New Roman"/>
          <w:color w:val="auto"/>
          <w:sz w:val="32"/>
          <w:szCs w:val="32"/>
        </w:rPr>
        <w:t>横</w:t>
      </w:r>
      <w:r>
        <w:rPr>
          <w:rFonts w:hint="default" w:ascii="Times New Roman" w:hAnsi="Times New Roman" w:cs="Times New Roman"/>
          <w:color w:val="auto"/>
          <w:sz w:val="32"/>
          <w:szCs w:val="32"/>
          <w:lang w:val="en-US" w:eastAsia="zh-CN"/>
        </w:rPr>
        <w:t>一支</w:t>
      </w:r>
      <w:r>
        <w:rPr>
          <w:rFonts w:hint="eastAsia" w:cs="Times New Roman"/>
          <w:color w:val="auto"/>
          <w:lang w:val="en-US" w:eastAsia="zh-CN"/>
        </w:rPr>
        <w:t>”</w:t>
      </w:r>
      <w:r>
        <w:rPr>
          <w:rFonts w:hint="default" w:ascii="Times New Roman" w:hAnsi="Times New Roman" w:cs="Times New Roman"/>
          <w:color w:val="auto"/>
          <w:lang w:val="en-US" w:eastAsia="zh-CN"/>
        </w:rPr>
        <w:t>的高速公路网和</w:t>
      </w:r>
      <w:r>
        <w:rPr>
          <w:rFonts w:hint="eastAsia" w:cs="Times New Roman"/>
          <w:color w:val="auto"/>
          <w:lang w:val="en-US" w:eastAsia="zh-CN"/>
        </w:rPr>
        <w:t>“</w:t>
      </w:r>
      <w:r>
        <w:rPr>
          <w:rFonts w:hint="default" w:ascii="Times New Roman" w:hAnsi="Times New Roman" w:eastAsia="仿宋_GB2312" w:cs="Times New Roman"/>
          <w:color w:val="auto"/>
          <w:sz w:val="32"/>
          <w:szCs w:val="32"/>
        </w:rPr>
        <w:t>五纵五横两环</w:t>
      </w:r>
      <w:r>
        <w:rPr>
          <w:rFonts w:hint="eastAsia" w:cs="Times New Roman"/>
          <w:color w:val="auto"/>
          <w:lang w:val="en-US" w:eastAsia="zh-CN"/>
        </w:rPr>
        <w:t>”</w:t>
      </w:r>
      <w:r>
        <w:rPr>
          <w:rFonts w:hint="default" w:ascii="Times New Roman" w:hAnsi="Times New Roman" w:cs="Times New Roman"/>
          <w:color w:val="auto"/>
          <w:lang w:val="en-US" w:eastAsia="zh-CN"/>
        </w:rPr>
        <w:t>干线公路网，以示范基地为主要承载体，以土地要素等低成本优势和良好的营商环境，加快汇集公路专线、零担、配送、冷链等各类服务资源，构建服务成都平原、川南、攀西等地区的城际集散分拨网和服务乐山市城区以及各区县重要商贸节点的城乡配送网。</w:t>
      </w:r>
    </w:p>
    <w:p>
      <w:pPr>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lang w:val="en-US" w:eastAsia="zh-CN"/>
        </w:rPr>
        <w:t>城际集散分拨网：重点提升乐山对成都、眉山、雅安、重庆、宜宾、泸州、昭通等运输半径300公里左右区域范围城市的物流服务覆盖能力，大力发展建材、粮食、光伏组件等货运专线运输，推动大型制造、商贸企业区域分拨中心及日用品、进口商品等物资分拨中心落户示范基地，支撑乐山打造为高效服务川中川南、渝西、滇北地区，设施先进、衔接顺畅、服务优质的城际物流集散分拨中心。</w:t>
      </w:r>
    </w:p>
    <w:p>
      <w:pPr>
        <w:pStyle w:val="27"/>
        <w:bidi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31130" cy="3838575"/>
            <wp:effectExtent l="9525" t="9525" r="9525" b="15240"/>
            <wp:docPr id="4" name="图片 4" descr="20050c9af5802cfa56d67ab613aaf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050c9af5802cfa56d67ab613aafd40"/>
                    <pic:cNvPicPr>
                      <a:picLocks noChangeAspect="1"/>
                    </pic:cNvPicPr>
                  </pic:nvPicPr>
                  <pic:blipFill>
                    <a:blip r:embed="rId83"/>
                    <a:srcRect t="184"/>
                    <a:stretch>
                      <a:fillRect/>
                    </a:stretch>
                  </pic:blipFill>
                  <pic:spPr>
                    <a:xfrm>
                      <a:off x="0" y="0"/>
                      <a:ext cx="5231130" cy="3838575"/>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20</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城际集散分拨</w:t>
      </w:r>
      <w:r>
        <w:rPr>
          <w:rFonts w:hint="eastAsia" w:ascii="Times New Roman" w:hAnsi="Times New Roman" w:cs="Times New Roman"/>
          <w:color w:val="auto"/>
          <w:lang w:val="en-US" w:eastAsia="zh-CN"/>
        </w:rPr>
        <w:t>运输</w:t>
      </w:r>
      <w:r>
        <w:rPr>
          <w:rFonts w:hint="default" w:ascii="Times New Roman" w:hAnsi="Times New Roman" w:cs="Times New Roman"/>
          <w:color w:val="auto"/>
          <w:lang w:val="en-US" w:eastAsia="zh-CN"/>
        </w:rPr>
        <w:t>组织图</w:t>
      </w:r>
    </w:p>
    <w:p>
      <w:pPr>
        <w:bidi w:val="0"/>
        <w:rPr>
          <w:rFonts w:hint="default" w:ascii="Times New Roman" w:hAnsi="Times New Roman" w:cs="Times New Roman"/>
          <w:color w:val="auto"/>
          <w:lang w:val="en-US" w:eastAsia="zh-CN"/>
        </w:rPr>
      </w:pPr>
      <w:r>
        <w:rPr>
          <w:rFonts w:hint="default" w:ascii="Times New Roman" w:hAnsi="Times New Roman" w:cs="Times New Roman"/>
          <w:b w:val="0"/>
          <w:bCs w:val="0"/>
          <w:color w:val="auto"/>
          <w:lang w:val="en-US" w:eastAsia="zh-CN"/>
        </w:rPr>
        <w:t>城乡配送网：密切示范基地与乐山其他物流节点之间的服务联系，增强乐山主城区以及各</w:t>
      </w:r>
      <w:r>
        <w:rPr>
          <w:rFonts w:hint="default" w:ascii="Times New Roman" w:hAnsi="Times New Roman" w:cs="Times New Roman"/>
          <w:color w:val="auto"/>
          <w:lang w:val="en-US" w:eastAsia="zh-CN"/>
        </w:rPr>
        <w:t>县、乡、村对于多样化、分散化、小批量、多频次、准时达的城乡生产生活物资运输需求保障，着力提升与民生密切相关的生鲜食品冷链物流配送水平，加快打造城乡一体、服务下沉、运作高效的城乡物流配送服务网络。</w:t>
      </w:r>
    </w:p>
    <w:p>
      <w:pPr>
        <w:pStyle w:val="27"/>
        <w:bidi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895850" cy="5967730"/>
            <wp:effectExtent l="9525" t="9525" r="9525" b="23495"/>
            <wp:docPr id="62" name="图片 62" descr="市内物流配送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市内物流配送_画板 1"/>
                    <pic:cNvPicPr>
                      <a:picLocks noChangeAspect="1"/>
                    </pic:cNvPicPr>
                  </pic:nvPicPr>
                  <pic:blipFill>
                    <a:blip r:embed="rId84"/>
                    <a:srcRect l="4985" t="8154" r="3887" b="13357"/>
                    <a:stretch>
                      <a:fillRect/>
                    </a:stretch>
                  </pic:blipFill>
                  <pic:spPr>
                    <a:xfrm>
                      <a:off x="0" y="0"/>
                      <a:ext cx="4895850" cy="5967730"/>
                    </a:xfrm>
                    <a:prstGeom prst="rect">
                      <a:avLst/>
                    </a:prstGeom>
                    <a:ln>
                      <a:solidFill>
                        <a:schemeClr val="bg2">
                          <a:lumMod val="90000"/>
                        </a:schemeClr>
                      </a:solidFill>
                    </a:ln>
                  </pic:spPr>
                </pic:pic>
              </a:graphicData>
            </a:graphic>
          </wp:inline>
        </w:drawing>
      </w:r>
    </w:p>
    <w:p>
      <w:pPr>
        <w:pStyle w:val="7"/>
        <w:bidi w:val="0"/>
        <w:rPr>
          <w:rFonts w:hint="default" w:ascii="Times New Roman" w:hAnsi="Times New Roman" w:cs="Times New Roman"/>
          <w:color w:val="auto"/>
          <w:lang w:val="en-US" w:eastAsia="zh-CN"/>
        </w:rPr>
      </w:pPr>
      <w:r>
        <w:rPr>
          <w:rFonts w:hint="default" w:ascii="Times New Roman" w:hAnsi="Times New Roman" w:cs="Times New Roman"/>
          <w:color w:val="auto"/>
        </w:rPr>
        <w:t xml:space="preserve">图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21</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城乡配送</w:t>
      </w:r>
      <w:r>
        <w:rPr>
          <w:rFonts w:hint="eastAsia" w:ascii="Times New Roman" w:hAnsi="Times New Roman" w:cs="Times New Roman"/>
          <w:color w:val="auto"/>
          <w:lang w:val="en-US" w:eastAsia="zh-CN"/>
        </w:rPr>
        <w:t>运输</w:t>
      </w:r>
      <w:r>
        <w:rPr>
          <w:rFonts w:hint="default" w:ascii="Times New Roman" w:hAnsi="Times New Roman" w:cs="Times New Roman"/>
          <w:color w:val="auto"/>
          <w:lang w:val="en-US" w:eastAsia="zh-CN"/>
        </w:rPr>
        <w:t>组织图</w:t>
      </w:r>
    </w:p>
    <w:p>
      <w:pPr>
        <w:bidi w:val="0"/>
        <w:rPr>
          <w:rFonts w:hint="default" w:ascii="Times New Roman" w:hAnsi="Times New Roman" w:cs="Times New Roman"/>
          <w:color w:val="auto"/>
          <w:lang w:val="en-US" w:eastAsia="zh-CN"/>
        </w:rPr>
      </w:pPr>
    </w:p>
    <w:p>
      <w:pPr>
        <w:pStyle w:val="3"/>
        <w:bidi w:val="0"/>
        <w:rPr>
          <w:rFonts w:hint="default" w:ascii="Times New Roman" w:hAnsi="Times New Roman" w:cs="Times New Roman"/>
          <w:color w:val="auto"/>
          <w:lang w:val="en-US" w:eastAsia="zh-CN"/>
        </w:rPr>
        <w:sectPr>
          <w:headerReference r:id="rId16" w:type="default"/>
          <w:pgSz w:w="23811" w:h="16838" w:orient="landscape"/>
          <w:pgMar w:top="1800" w:right="1440" w:bottom="1800" w:left="1440" w:header="851" w:footer="992" w:gutter="0"/>
          <w:pgNumType w:fmt="decimal"/>
          <w:cols w:space="1280" w:num="2"/>
          <w:docGrid w:type="lines" w:linePitch="312" w:charSpace="0"/>
        </w:sectPr>
      </w:pPr>
      <w:bookmarkStart w:id="143" w:name="_Toc26948"/>
      <w:bookmarkStart w:id="144" w:name="_Toc12385"/>
      <w:bookmarkStart w:id="145" w:name="_Toc32404"/>
      <w:bookmarkStart w:id="146" w:name="_Toc28406"/>
      <w:bookmarkStart w:id="147" w:name="_Toc30461"/>
    </w:p>
    <w:p>
      <w:pPr>
        <w:pStyle w:val="3"/>
        <w:bidi w:val="0"/>
        <w:rPr>
          <w:rFonts w:hint="default" w:ascii="Times New Roman" w:hAnsi="Times New Roman" w:cs="Times New Roman"/>
          <w:color w:val="auto"/>
          <w:lang w:val="en-US" w:eastAsia="zh-CN"/>
        </w:rPr>
      </w:pPr>
      <w:bookmarkStart w:id="148" w:name="_Toc3833"/>
      <w:r>
        <w:rPr>
          <w:rFonts w:hint="default" w:ascii="Times New Roman" w:hAnsi="Times New Roman" w:cs="Times New Roman"/>
          <w:color w:val="auto"/>
          <w:lang w:val="en-US" w:eastAsia="zh-CN"/>
        </w:rPr>
        <w:t>开发运营</w:t>
      </w:r>
      <w:bookmarkEnd w:id="143"/>
      <w:bookmarkEnd w:id="144"/>
      <w:bookmarkEnd w:id="145"/>
      <w:bookmarkEnd w:id="146"/>
      <w:bookmarkEnd w:id="147"/>
      <w:r>
        <w:rPr>
          <w:rFonts w:hint="default" w:ascii="Times New Roman" w:hAnsi="Times New Roman" w:cs="Times New Roman"/>
          <w:color w:val="auto"/>
          <w:lang w:val="en-US" w:eastAsia="zh-CN"/>
        </w:rPr>
        <w:t>模式</w:t>
      </w:r>
      <w:bookmarkEnd w:id="148"/>
      <w:bookmarkStart w:id="149" w:name="_Toc31589"/>
      <w:bookmarkStart w:id="150" w:name="_Toc30305"/>
      <w:bookmarkStart w:id="151" w:name="_Toc10544"/>
      <w:bookmarkStart w:id="152" w:name="_Toc25833"/>
    </w:p>
    <w:p>
      <w:pPr>
        <w:pStyle w:val="4"/>
        <w:bidi w:val="0"/>
        <w:rPr>
          <w:rFonts w:hint="default" w:ascii="Times New Roman" w:hAnsi="Times New Roman" w:cs="Times New Roman"/>
          <w:color w:val="auto"/>
          <w:lang w:val="en-US" w:eastAsia="zh-CN"/>
        </w:rPr>
      </w:pPr>
      <w:bookmarkStart w:id="153" w:name="_Toc22020"/>
      <w:r>
        <w:rPr>
          <w:rFonts w:hint="default" w:ascii="Times New Roman" w:hAnsi="Times New Roman" w:cs="Times New Roman"/>
          <w:color w:val="auto"/>
          <w:lang w:val="en-US" w:eastAsia="zh-CN"/>
        </w:rPr>
        <w:t>开发模式</w:t>
      </w:r>
      <w:bookmarkEnd w:id="153"/>
    </w:p>
    <w:p>
      <w:pPr>
        <w:bidi w:val="0"/>
        <w:rPr>
          <w:rFonts w:hint="default" w:ascii="Times New Roman" w:hAnsi="Times New Roman" w:cs="Times New Roman"/>
          <w:b w:val="0"/>
          <w:bCs w:val="0"/>
          <w:color w:val="auto"/>
          <w:sz w:val="32"/>
          <w:szCs w:val="32"/>
          <w:lang w:val="en-US" w:eastAsia="zh-CN"/>
        </w:rPr>
      </w:pPr>
      <w:r>
        <w:rPr>
          <w:rFonts w:hint="default" w:ascii="Times New Roman" w:hAnsi="Times New Roman" w:cs="Times New Roman"/>
          <w:b w:val="0"/>
          <w:bCs w:val="0"/>
          <w:color w:val="auto"/>
          <w:sz w:val="32"/>
          <w:szCs w:val="32"/>
          <w:lang w:val="en-US" w:eastAsia="zh-CN"/>
        </w:rPr>
        <w:t>我国物流发展初期，国内的物流园区建设规模普遍较小，主要采用政府主导开发模式，随着政府简政放权的深入推进，物流业作为市场化程度相对较高的基础性先导产业，按照</w:t>
      </w:r>
      <w:r>
        <w:rPr>
          <w:rFonts w:hint="eastAsia" w:cs="Times New Roman"/>
          <w:b w:val="0"/>
          <w:bCs w:val="0"/>
          <w:color w:val="auto"/>
          <w:sz w:val="32"/>
          <w:szCs w:val="32"/>
          <w:lang w:val="en-US" w:eastAsia="zh-CN"/>
        </w:rPr>
        <w:t>“</w:t>
      </w:r>
      <w:r>
        <w:rPr>
          <w:rFonts w:hint="default" w:ascii="Times New Roman" w:hAnsi="Times New Roman" w:cs="Times New Roman"/>
          <w:b w:val="0"/>
          <w:bCs w:val="0"/>
          <w:color w:val="auto"/>
          <w:sz w:val="32"/>
          <w:szCs w:val="32"/>
          <w:lang w:val="en-US" w:eastAsia="zh-CN"/>
        </w:rPr>
        <w:t>政府搭台、企业唱戏</w:t>
      </w:r>
      <w:r>
        <w:rPr>
          <w:rFonts w:hint="eastAsia" w:cs="Times New Roman"/>
          <w:b w:val="0"/>
          <w:bCs w:val="0"/>
          <w:color w:val="auto"/>
          <w:sz w:val="32"/>
          <w:szCs w:val="32"/>
          <w:lang w:val="en-US" w:eastAsia="zh-CN"/>
        </w:rPr>
        <w:t>”</w:t>
      </w:r>
      <w:r>
        <w:rPr>
          <w:rFonts w:hint="default" w:ascii="Times New Roman" w:hAnsi="Times New Roman" w:cs="Times New Roman"/>
          <w:b w:val="0"/>
          <w:bCs w:val="0"/>
          <w:color w:val="auto"/>
          <w:sz w:val="32"/>
          <w:szCs w:val="32"/>
          <w:lang w:val="en-US" w:eastAsia="zh-CN"/>
        </w:rPr>
        <w:t>的运营思路，应采用基于规划许可和监督下的企业主导模式或政企联合开发模式，从而发挥政府的空间引导、产业引领、</w:t>
      </w:r>
      <w:r>
        <w:rPr>
          <w:rFonts w:hint="eastAsia" w:ascii="Times New Roman" w:hAnsi="Times New Roman" w:cs="Times New Roman"/>
          <w:b w:val="0"/>
          <w:bCs w:val="0"/>
          <w:color w:val="auto"/>
          <w:sz w:val="32"/>
          <w:szCs w:val="32"/>
          <w:lang w:val="en-US" w:eastAsia="zh-CN"/>
        </w:rPr>
        <w:t>市场</w:t>
      </w:r>
      <w:r>
        <w:rPr>
          <w:rFonts w:hint="default" w:ascii="Times New Roman" w:hAnsi="Times New Roman" w:cs="Times New Roman"/>
          <w:b w:val="0"/>
          <w:bCs w:val="0"/>
          <w:color w:val="auto"/>
          <w:sz w:val="32"/>
          <w:szCs w:val="32"/>
          <w:lang w:val="en-US" w:eastAsia="zh-CN"/>
        </w:rPr>
        <w:t>监督职能，</w:t>
      </w:r>
      <w:r>
        <w:rPr>
          <w:rFonts w:hint="eastAsia" w:ascii="Times New Roman" w:hAnsi="Times New Roman" w:cs="Times New Roman"/>
          <w:b w:val="0"/>
          <w:bCs w:val="0"/>
          <w:color w:val="auto"/>
          <w:sz w:val="32"/>
          <w:szCs w:val="32"/>
          <w:lang w:val="en-US" w:eastAsia="zh-CN"/>
        </w:rPr>
        <w:t>释放</w:t>
      </w:r>
      <w:r>
        <w:rPr>
          <w:rFonts w:hint="default" w:ascii="Times New Roman" w:hAnsi="Times New Roman" w:cs="Times New Roman"/>
          <w:b w:val="0"/>
          <w:bCs w:val="0"/>
          <w:color w:val="auto"/>
          <w:sz w:val="32"/>
          <w:szCs w:val="32"/>
          <w:lang w:val="en-US" w:eastAsia="zh-CN"/>
        </w:rPr>
        <w:t>企业的</w:t>
      </w:r>
      <w:r>
        <w:rPr>
          <w:rFonts w:hint="eastAsia" w:ascii="Times New Roman" w:hAnsi="Times New Roman" w:cs="Times New Roman"/>
          <w:b w:val="0"/>
          <w:bCs w:val="0"/>
          <w:color w:val="auto"/>
          <w:sz w:val="32"/>
          <w:szCs w:val="32"/>
          <w:lang w:val="en-US" w:eastAsia="zh-CN"/>
        </w:rPr>
        <w:t>主动</w:t>
      </w:r>
      <w:r>
        <w:rPr>
          <w:rFonts w:hint="default" w:ascii="Times New Roman" w:hAnsi="Times New Roman" w:cs="Times New Roman"/>
          <w:b w:val="0"/>
          <w:bCs w:val="0"/>
          <w:color w:val="auto"/>
          <w:sz w:val="32"/>
          <w:szCs w:val="32"/>
          <w:lang w:val="en-US" w:eastAsia="zh-CN"/>
        </w:rPr>
        <w:t>性与发展活力。</w:t>
      </w:r>
    </w:p>
    <w:p>
      <w:pPr>
        <w:bidi w:val="0"/>
        <w:rPr>
          <w:rFonts w:hint="default" w:ascii="Times New Roman" w:hAnsi="Times New Roman" w:cs="Times New Roman"/>
          <w:b w:val="0"/>
          <w:bCs w:val="0"/>
          <w:color w:val="auto"/>
          <w:sz w:val="32"/>
          <w:szCs w:val="32"/>
          <w:lang w:val="en-US" w:eastAsia="zh-CN"/>
        </w:rPr>
      </w:pPr>
      <w:r>
        <w:rPr>
          <w:rFonts w:hint="default" w:ascii="Times New Roman" w:hAnsi="Times New Roman" w:cs="Times New Roman"/>
          <w:b w:val="0"/>
          <w:bCs w:val="0"/>
          <w:color w:val="auto"/>
          <w:sz w:val="32"/>
          <w:szCs w:val="32"/>
          <w:lang w:val="en-US" w:eastAsia="zh-CN"/>
        </w:rPr>
        <w:t>基于乐山市物流业当前所处发展阶</w:t>
      </w:r>
      <w:r>
        <w:rPr>
          <w:rFonts w:hint="eastAsia" w:ascii="仿宋_GB2312" w:hAnsi="仿宋_GB2312" w:eastAsia="仿宋_GB2312" w:cs="仿宋_GB2312"/>
          <w:b w:val="0"/>
          <w:bCs w:val="0"/>
          <w:color w:val="auto"/>
          <w:sz w:val="32"/>
          <w:szCs w:val="32"/>
          <w:lang w:val="en-US" w:eastAsia="zh-CN"/>
        </w:rPr>
        <w:t>段，建议示范基地采用政企合作开发模式，由政府部门对示范基地功能区进行统一布局规划，在</w:t>
      </w:r>
      <w:r>
        <w:rPr>
          <w:rFonts w:hint="default" w:ascii="Times New Roman" w:hAnsi="Times New Roman" w:cs="Times New Roman"/>
          <w:b w:val="0"/>
          <w:bCs w:val="0"/>
          <w:color w:val="auto"/>
          <w:sz w:val="32"/>
          <w:szCs w:val="32"/>
          <w:lang w:val="en-US" w:eastAsia="zh-CN"/>
        </w:rPr>
        <w:t>一体化集约布局的前提下，采用招商开发建设</w:t>
      </w:r>
      <w:r>
        <w:rPr>
          <w:rFonts w:hint="eastAsia" w:cs="Times New Roman"/>
          <w:b w:val="0"/>
          <w:bCs w:val="0"/>
          <w:color w:val="auto"/>
          <w:sz w:val="32"/>
          <w:szCs w:val="32"/>
          <w:lang w:val="en-US" w:eastAsia="zh-CN"/>
        </w:rPr>
        <w:t>等</w:t>
      </w:r>
      <w:r>
        <w:rPr>
          <w:rFonts w:hint="default" w:ascii="Times New Roman" w:hAnsi="Times New Roman" w:cs="Times New Roman"/>
          <w:b w:val="0"/>
          <w:bCs w:val="0"/>
          <w:color w:val="auto"/>
          <w:sz w:val="32"/>
          <w:szCs w:val="32"/>
          <w:lang w:val="en-US" w:eastAsia="zh-CN"/>
        </w:rPr>
        <w:t>模式</w:t>
      </w:r>
      <w:r>
        <w:rPr>
          <w:rFonts w:hint="eastAsia" w:ascii="Times New Roman" w:hAnsi="Times New Roman" w:cs="Times New Roman"/>
          <w:b w:val="0"/>
          <w:bCs w:val="0"/>
          <w:color w:val="auto"/>
          <w:sz w:val="32"/>
          <w:szCs w:val="32"/>
          <w:lang w:val="en-US" w:eastAsia="zh-CN"/>
        </w:rPr>
        <w:t>共同推进园区建设</w:t>
      </w:r>
      <w:r>
        <w:rPr>
          <w:rFonts w:hint="default" w:ascii="Times New Roman" w:hAnsi="Times New Roman" w:cs="Times New Roman"/>
          <w:b w:val="0"/>
          <w:bCs w:val="0"/>
          <w:color w:val="auto"/>
          <w:sz w:val="32"/>
          <w:szCs w:val="32"/>
          <w:lang w:val="en-US" w:eastAsia="zh-CN"/>
        </w:rPr>
        <w:t>。</w:t>
      </w:r>
    </w:p>
    <w:p>
      <w:pPr>
        <w:pStyle w:val="4"/>
        <w:bidi w:val="0"/>
        <w:rPr>
          <w:rFonts w:hint="default" w:ascii="Times New Roman" w:hAnsi="Times New Roman" w:cs="Times New Roman"/>
          <w:color w:val="auto"/>
          <w:lang w:val="en-US" w:eastAsia="zh-CN"/>
        </w:rPr>
      </w:pPr>
      <w:bookmarkStart w:id="154" w:name="_Toc20779"/>
      <w:r>
        <w:rPr>
          <w:rFonts w:hint="default" w:ascii="Times New Roman" w:hAnsi="Times New Roman" w:cs="Times New Roman"/>
          <w:color w:val="auto"/>
          <w:lang w:val="en-US" w:eastAsia="zh-CN"/>
        </w:rPr>
        <w:t>运营模式</w:t>
      </w:r>
      <w:bookmarkEnd w:id="154"/>
    </w:p>
    <w:p>
      <w:pPr>
        <w:rPr>
          <w:rFonts w:hint="default" w:ascii="Times New Roman" w:hAnsi="Times New Roman" w:cs="Times New Roman"/>
          <w:b w:val="0"/>
          <w:bCs w:val="0"/>
          <w:color w:val="auto"/>
          <w:sz w:val="32"/>
          <w:szCs w:val="32"/>
          <w:lang w:val="en-US" w:eastAsia="zh-CN"/>
        </w:rPr>
      </w:pPr>
      <w:r>
        <w:rPr>
          <w:rFonts w:hint="eastAsia" w:ascii="Times New Roman" w:hAnsi="Times New Roman" w:cs="Times New Roman"/>
          <w:b w:val="0"/>
          <w:bCs w:val="0"/>
          <w:color w:val="auto"/>
          <w:sz w:val="32"/>
          <w:szCs w:val="32"/>
          <w:lang w:val="en-US" w:eastAsia="zh-CN"/>
        </w:rPr>
        <w:t>示范基地</w:t>
      </w:r>
      <w:r>
        <w:rPr>
          <w:rFonts w:hint="default" w:ascii="Times New Roman" w:hAnsi="Times New Roman" w:cs="Times New Roman"/>
          <w:b w:val="0"/>
          <w:bCs w:val="0"/>
          <w:color w:val="auto"/>
          <w:sz w:val="32"/>
          <w:szCs w:val="32"/>
          <w:lang w:val="en-US" w:eastAsia="zh-CN"/>
        </w:rPr>
        <w:t>运营模式</w:t>
      </w:r>
      <w:r>
        <w:rPr>
          <w:rFonts w:hint="eastAsia" w:ascii="Times New Roman" w:hAnsi="Times New Roman" w:cs="Times New Roman"/>
          <w:b w:val="0"/>
          <w:bCs w:val="0"/>
          <w:color w:val="auto"/>
          <w:sz w:val="32"/>
          <w:szCs w:val="32"/>
          <w:lang w:val="en-US" w:eastAsia="zh-CN"/>
        </w:rPr>
        <w:t>可</w:t>
      </w:r>
      <w:r>
        <w:rPr>
          <w:rFonts w:hint="default" w:ascii="Times New Roman" w:hAnsi="Times New Roman" w:cs="Times New Roman"/>
          <w:b w:val="0"/>
          <w:bCs w:val="0"/>
          <w:color w:val="auto"/>
          <w:sz w:val="32"/>
          <w:szCs w:val="32"/>
          <w:lang w:val="en-US" w:eastAsia="zh-CN"/>
        </w:rPr>
        <w:t>通过整合基础设施、技术、流程、人力、信息等核心要素，形成一套涵</w:t>
      </w:r>
      <w:r>
        <w:rPr>
          <w:rFonts w:hint="eastAsia" w:ascii="仿宋_GB2312" w:hAnsi="仿宋_GB2312" w:eastAsia="仿宋_GB2312" w:cs="仿宋_GB2312"/>
          <w:b w:val="0"/>
          <w:bCs w:val="0"/>
          <w:color w:val="auto"/>
          <w:sz w:val="32"/>
          <w:szCs w:val="32"/>
          <w:lang w:val="en-US" w:eastAsia="zh-CN"/>
        </w:rPr>
        <w:t>盖组织管理和业务服务的系统性运营机制，实现高效协调和管理多种运输方式间的货物转运、仓储、信息处</w:t>
      </w:r>
      <w:r>
        <w:rPr>
          <w:rFonts w:hint="default" w:ascii="Times New Roman" w:hAnsi="Times New Roman" w:cs="Times New Roman"/>
          <w:b w:val="0"/>
          <w:bCs w:val="0"/>
          <w:color w:val="auto"/>
          <w:sz w:val="32"/>
          <w:szCs w:val="32"/>
          <w:lang w:val="en-US" w:eastAsia="zh-CN"/>
        </w:rPr>
        <w:t>理及相关服务，提升整个基地的物流服务效率和竞争力。</w:t>
      </w:r>
    </w:p>
    <w:p>
      <w:pPr>
        <w:rPr>
          <w:rFonts w:hint="default" w:ascii="Times New Roman" w:hAnsi="Times New Roman" w:cs="Times New Roman"/>
          <w:b/>
          <w:bCs/>
          <w:color w:val="auto"/>
          <w:sz w:val="32"/>
          <w:szCs w:val="32"/>
          <w:u w:val="none"/>
          <w:lang w:val="en-US" w:eastAsia="zh-CN"/>
        </w:rPr>
      </w:pPr>
      <w:r>
        <w:rPr>
          <w:rFonts w:hint="default" w:ascii="Times New Roman" w:hAnsi="Times New Roman" w:cs="Times New Roman"/>
          <w:b/>
          <w:bCs/>
          <w:color w:val="auto"/>
          <w:sz w:val="32"/>
          <w:szCs w:val="32"/>
          <w:u w:val="none"/>
          <w:lang w:val="en-US" w:eastAsia="zh-CN"/>
        </w:rPr>
        <w:t>1.组织管理</w:t>
      </w:r>
    </w:p>
    <w:p>
      <w:pPr>
        <w:rPr>
          <w:rFonts w:hint="default" w:ascii="Times New Roman" w:hAnsi="Times New Roman" w:cs="Times New Roman"/>
          <w:b w:val="0"/>
          <w:bCs w:val="0"/>
          <w:color w:val="4874CB" w:themeColor="accent1"/>
          <w:sz w:val="32"/>
          <w:szCs w:val="32"/>
          <w:u w:val="none"/>
          <w:lang w:val="en-US" w:eastAsia="zh-CN"/>
          <w14:textFill>
            <w14:solidFill>
              <w14:schemeClr w14:val="accent1"/>
            </w14:solidFill>
          </w14:textFill>
        </w:rPr>
      </w:pPr>
      <w:r>
        <w:rPr>
          <w:rFonts w:hint="default" w:ascii="Times New Roman" w:hAnsi="Times New Roman" w:cs="Times New Roman"/>
          <w:b w:val="0"/>
          <w:bCs w:val="0"/>
          <w:color w:val="auto"/>
          <w:sz w:val="32"/>
          <w:szCs w:val="32"/>
          <w:u w:val="none"/>
          <w:lang w:val="en-US" w:eastAsia="zh-CN"/>
        </w:rPr>
        <w:t>示范基地以建设规划为基础，采用</w:t>
      </w:r>
      <w:r>
        <w:rPr>
          <w:rFonts w:hint="eastAsia" w:cs="Times New Roman"/>
          <w:b w:val="0"/>
          <w:bCs w:val="0"/>
          <w:color w:val="auto"/>
          <w:sz w:val="32"/>
          <w:szCs w:val="32"/>
          <w:u w:val="none"/>
          <w:lang w:val="en-US" w:eastAsia="zh-CN"/>
        </w:rPr>
        <w:t>“</w:t>
      </w:r>
      <w:r>
        <w:rPr>
          <w:rFonts w:hint="default" w:ascii="Times New Roman" w:hAnsi="Times New Roman" w:cs="Times New Roman"/>
          <w:b w:val="0"/>
          <w:bCs w:val="0"/>
          <w:color w:val="auto"/>
          <w:sz w:val="32"/>
          <w:szCs w:val="32"/>
          <w:u w:val="none"/>
          <w:lang w:val="en-US" w:eastAsia="zh-CN"/>
        </w:rPr>
        <w:t>政府主导扶持、企业自主经营</w:t>
      </w:r>
      <w:r>
        <w:rPr>
          <w:rFonts w:hint="eastAsia" w:cs="Times New Roman"/>
          <w:b w:val="0"/>
          <w:bCs w:val="0"/>
          <w:color w:val="auto"/>
          <w:sz w:val="32"/>
          <w:szCs w:val="32"/>
          <w:u w:val="none"/>
          <w:lang w:val="en-US" w:eastAsia="zh-CN"/>
        </w:rPr>
        <w:t>”</w:t>
      </w:r>
      <w:r>
        <w:rPr>
          <w:rFonts w:hint="default" w:ascii="Times New Roman" w:hAnsi="Times New Roman" w:cs="Times New Roman"/>
          <w:b w:val="0"/>
          <w:bCs w:val="0"/>
          <w:color w:val="auto"/>
          <w:sz w:val="32"/>
          <w:szCs w:val="32"/>
          <w:u w:val="none"/>
          <w:lang w:val="en-US" w:eastAsia="zh-CN"/>
        </w:rPr>
        <w:t>的运营管理机制，</w:t>
      </w:r>
      <w:r>
        <w:rPr>
          <w:rFonts w:hint="default" w:cs="Times New Roman"/>
          <w:b w:val="0"/>
          <w:bCs w:val="0"/>
          <w:color w:val="auto"/>
          <w:sz w:val="32"/>
          <w:szCs w:val="32"/>
          <w:u w:val="none"/>
          <w:lang w:val="en-US" w:eastAsia="zh-CN"/>
        </w:rPr>
        <w:t>前期</w:t>
      </w:r>
      <w:r>
        <w:rPr>
          <w:rFonts w:hint="default" w:ascii="Times New Roman" w:hAnsi="Times New Roman" w:eastAsia="仿宋_GB2312" w:cs="Times New Roman"/>
          <w:b w:val="0"/>
          <w:bCs w:val="0"/>
          <w:color w:val="auto"/>
          <w:sz w:val="32"/>
          <w:szCs w:val="32"/>
          <w:u w:val="none"/>
          <w:lang w:val="en-US" w:eastAsia="zh-CN"/>
        </w:rPr>
        <w:t>由行业主管部门</w:t>
      </w:r>
      <w:r>
        <w:rPr>
          <w:rFonts w:hint="default" w:cs="Times New Roman"/>
          <w:b w:val="0"/>
          <w:bCs w:val="0"/>
          <w:color w:val="auto"/>
          <w:sz w:val="32"/>
          <w:szCs w:val="32"/>
          <w:u w:val="none"/>
          <w:lang w:val="en-US" w:eastAsia="zh-CN"/>
        </w:rPr>
        <w:t>负责</w:t>
      </w:r>
      <w:r>
        <w:rPr>
          <w:rFonts w:hint="default" w:ascii="Times New Roman" w:hAnsi="Times New Roman" w:cs="Times New Roman"/>
          <w:b w:val="0"/>
          <w:bCs w:val="0"/>
          <w:color w:val="auto"/>
          <w:sz w:val="32"/>
          <w:szCs w:val="32"/>
          <w:u w:val="none"/>
          <w:lang w:val="en-US" w:eastAsia="zh-CN"/>
        </w:rPr>
        <w:t>协调</w:t>
      </w:r>
      <w:r>
        <w:rPr>
          <w:rFonts w:hint="default" w:cs="Times New Roman"/>
          <w:b w:val="0"/>
          <w:bCs w:val="0"/>
          <w:color w:val="auto"/>
          <w:sz w:val="32"/>
          <w:szCs w:val="32"/>
          <w:u w:val="none"/>
          <w:lang w:val="en-US" w:eastAsia="zh-CN"/>
        </w:rPr>
        <w:t>推进</w:t>
      </w:r>
      <w:r>
        <w:rPr>
          <w:rFonts w:hint="default" w:ascii="Times New Roman" w:hAnsi="Times New Roman" w:cs="Times New Roman"/>
          <w:b w:val="0"/>
          <w:bCs w:val="0"/>
          <w:color w:val="auto"/>
          <w:sz w:val="32"/>
          <w:szCs w:val="32"/>
          <w:u w:val="none"/>
          <w:lang w:val="en-US" w:eastAsia="zh-CN"/>
        </w:rPr>
        <w:t>港口、铁路、国际物流</w:t>
      </w:r>
      <w:r>
        <w:rPr>
          <w:rFonts w:hint="default" w:cs="Times New Roman"/>
          <w:b w:val="0"/>
          <w:bCs w:val="0"/>
          <w:color w:val="auto"/>
          <w:sz w:val="32"/>
          <w:szCs w:val="32"/>
          <w:u w:val="none"/>
          <w:lang w:val="en-US" w:eastAsia="zh-CN"/>
        </w:rPr>
        <w:t>等功能区重大物流基础设施建设，以及统筹</w:t>
      </w:r>
      <w:r>
        <w:rPr>
          <w:rFonts w:hint="default" w:ascii="Times New Roman" w:hAnsi="Times New Roman" w:cs="Times New Roman"/>
          <w:b w:val="0"/>
          <w:bCs w:val="0"/>
          <w:color w:val="auto"/>
          <w:sz w:val="32"/>
          <w:szCs w:val="32"/>
          <w:u w:val="none"/>
          <w:lang w:val="en-US" w:eastAsia="zh-CN"/>
        </w:rPr>
        <w:t>进行招商引资活动等</w:t>
      </w:r>
      <w:r>
        <w:rPr>
          <w:rFonts w:hint="default" w:cs="Times New Roman"/>
          <w:b w:val="0"/>
          <w:bCs w:val="0"/>
          <w:color w:val="auto"/>
          <w:sz w:val="32"/>
          <w:szCs w:val="32"/>
          <w:u w:val="none"/>
          <w:lang w:val="en-US" w:eastAsia="zh-CN"/>
        </w:rPr>
        <w:t>，后期通过</w:t>
      </w:r>
      <w:r>
        <w:rPr>
          <w:rFonts w:hint="default" w:ascii="Times New Roman" w:hAnsi="Times New Roman" w:cs="Times New Roman"/>
          <w:b w:val="0"/>
          <w:bCs w:val="0"/>
          <w:color w:val="auto"/>
          <w:sz w:val="32"/>
          <w:szCs w:val="32"/>
          <w:u w:val="none"/>
          <w:lang w:val="en-US" w:eastAsia="zh-CN"/>
        </w:rPr>
        <w:t>招商引入专业化物流企业开展运营，借助专业化运营企业的市场化资源优势，推动多式联运基地高效、快速地投入运营。</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b/>
          <w:bCs/>
          <w:color w:val="auto"/>
          <w:sz w:val="32"/>
          <w:szCs w:val="32"/>
          <w:highlight w:val="yellow"/>
          <w:lang w:val="en-US" w:eastAsia="zh-CN"/>
        </w:rPr>
      </w:pPr>
      <w:r>
        <w:rPr>
          <w:rFonts w:hint="default" w:ascii="Times New Roman" w:hAnsi="Times New Roman" w:cs="Times New Roman"/>
          <w:b/>
          <w:bCs/>
          <w:color w:val="auto"/>
          <w:sz w:val="32"/>
          <w:szCs w:val="32"/>
          <w:lang w:val="en-US" w:eastAsia="zh-CN"/>
        </w:rPr>
        <w:t>2.业务服务</w:t>
      </w:r>
    </w:p>
    <w:p>
      <w:pPr>
        <w:rPr>
          <w:rFonts w:hint="default" w:ascii="Times New Roman" w:hAnsi="Times New Roman" w:cs="Times New Roman"/>
          <w:b w:val="0"/>
          <w:bCs w:val="0"/>
          <w:color w:val="auto"/>
          <w:sz w:val="32"/>
          <w:szCs w:val="32"/>
          <w:highlight w:val="none"/>
          <w:lang w:val="en-US" w:eastAsia="zh-CN"/>
        </w:rPr>
      </w:pPr>
      <w:r>
        <w:rPr>
          <w:rFonts w:hint="eastAsia" w:cs="Times New Roman"/>
          <w:b w:val="0"/>
          <w:bCs w:val="0"/>
          <w:color w:val="auto"/>
          <w:sz w:val="32"/>
          <w:szCs w:val="32"/>
          <w:highlight w:val="none"/>
          <w:lang w:val="en-US" w:eastAsia="zh-CN"/>
        </w:rPr>
        <w:t>紧扣全市</w:t>
      </w:r>
      <w:r>
        <w:rPr>
          <w:rFonts w:hint="eastAsia" w:cs="Times New Roman"/>
          <w:color w:val="auto"/>
          <w:lang w:val="en-US" w:eastAsia="zh-CN"/>
        </w:rPr>
        <w:t>“</w:t>
      </w:r>
      <w:r>
        <w:rPr>
          <w:rFonts w:hint="eastAsia" w:ascii="Times New Roman" w:hAnsi="Times New Roman" w:cs="Times New Roman"/>
          <w:color w:val="auto"/>
          <w:lang w:val="en-US" w:eastAsia="zh-CN"/>
        </w:rPr>
        <w:t>241</w:t>
      </w:r>
      <w:r>
        <w:rPr>
          <w:rFonts w:hint="eastAsia" w:cs="Times New Roman"/>
          <w:color w:val="auto"/>
          <w:lang w:val="en-US" w:eastAsia="zh-CN"/>
        </w:rPr>
        <w:t>”</w:t>
      </w:r>
      <w:r>
        <w:rPr>
          <w:rFonts w:hint="eastAsia" w:ascii="Times New Roman" w:hAnsi="Times New Roman" w:cs="Times New Roman"/>
          <w:color w:val="auto"/>
          <w:lang w:val="en-US" w:eastAsia="zh-CN"/>
        </w:rPr>
        <w:t>现代工业产业体系和</w:t>
      </w:r>
      <w:r>
        <w:rPr>
          <w:rFonts w:hint="eastAsia" w:cs="Times New Roman"/>
          <w:color w:val="auto"/>
          <w:lang w:val="en-US" w:eastAsia="zh-CN"/>
        </w:rPr>
        <w:t>“</w:t>
      </w:r>
      <w:r>
        <w:rPr>
          <w:rFonts w:hint="eastAsia" w:ascii="Times New Roman" w:hAnsi="Times New Roman" w:cs="Times New Roman"/>
          <w:color w:val="auto"/>
          <w:lang w:val="en-US" w:eastAsia="zh-CN"/>
        </w:rPr>
        <w:t>211</w:t>
      </w:r>
      <w:r>
        <w:rPr>
          <w:rFonts w:hint="eastAsia" w:cs="Times New Roman"/>
          <w:color w:val="auto"/>
          <w:lang w:val="en-US" w:eastAsia="zh-CN"/>
        </w:rPr>
        <w:t>+”</w:t>
      </w:r>
      <w:r>
        <w:rPr>
          <w:rFonts w:hint="default" w:ascii="Times New Roman" w:hAnsi="Times New Roman" w:cs="Times New Roman"/>
          <w:color w:val="auto"/>
          <w:kern w:val="3"/>
          <w:sz w:val="32"/>
          <w:rtl w:val="0"/>
          <w:lang w:val="en-US" w:eastAsia="zh-CN"/>
        </w:rPr>
        <w:t>现代农业产业</w:t>
      </w:r>
      <w:r>
        <w:rPr>
          <w:rFonts w:hint="eastAsia" w:cs="Times New Roman"/>
          <w:color w:val="auto"/>
          <w:kern w:val="3"/>
          <w:sz w:val="32"/>
          <w:rtl w:val="0"/>
          <w:lang w:val="en-US" w:eastAsia="zh-CN"/>
        </w:rPr>
        <w:t>集群</w:t>
      </w:r>
      <w:r>
        <w:rPr>
          <w:rFonts w:hint="eastAsia" w:ascii="Times New Roman" w:hAnsi="Times New Roman" w:cs="Times New Roman"/>
          <w:color w:val="auto"/>
          <w:lang w:val="en-US" w:eastAsia="zh-CN"/>
        </w:rPr>
        <w:t>，</w:t>
      </w:r>
      <w:r>
        <w:rPr>
          <w:rFonts w:hint="eastAsia" w:cs="Times New Roman"/>
          <w:b w:val="0"/>
          <w:bCs w:val="0"/>
          <w:color w:val="auto"/>
          <w:sz w:val="32"/>
          <w:szCs w:val="32"/>
          <w:highlight w:val="none"/>
          <w:lang w:val="en-US" w:eastAsia="zh-CN"/>
        </w:rPr>
        <w:t>促进</w:t>
      </w:r>
      <w:r>
        <w:rPr>
          <w:rFonts w:hint="default" w:ascii="Times New Roman" w:hAnsi="Times New Roman" w:cs="Times New Roman"/>
          <w:b w:val="0"/>
          <w:bCs w:val="0"/>
          <w:color w:val="auto"/>
          <w:sz w:val="32"/>
          <w:szCs w:val="32"/>
          <w:highlight w:val="none"/>
          <w:lang w:val="en-US" w:eastAsia="zh-CN"/>
        </w:rPr>
        <w:t>物流业与制造业</w:t>
      </w:r>
      <w:r>
        <w:rPr>
          <w:rFonts w:hint="eastAsia" w:cs="Times New Roman"/>
          <w:b w:val="0"/>
          <w:bCs w:val="0"/>
          <w:color w:val="auto"/>
          <w:sz w:val="32"/>
          <w:szCs w:val="32"/>
          <w:highlight w:val="none"/>
          <w:lang w:val="en-US" w:eastAsia="zh-CN"/>
        </w:rPr>
        <w:t>、农业</w:t>
      </w:r>
      <w:r>
        <w:rPr>
          <w:rFonts w:hint="default" w:ascii="Times New Roman" w:hAnsi="Times New Roman" w:cs="Times New Roman"/>
          <w:b w:val="0"/>
          <w:bCs w:val="0"/>
          <w:color w:val="auto"/>
          <w:sz w:val="32"/>
          <w:szCs w:val="32"/>
          <w:highlight w:val="none"/>
          <w:lang w:val="en-US" w:eastAsia="zh-CN"/>
        </w:rPr>
        <w:t>深度融合</w:t>
      </w:r>
      <w:r>
        <w:rPr>
          <w:rFonts w:hint="eastAsia" w:cs="Times New Roman"/>
          <w:b w:val="0"/>
          <w:bCs w:val="0"/>
          <w:color w:val="auto"/>
          <w:sz w:val="32"/>
          <w:szCs w:val="32"/>
          <w:highlight w:val="none"/>
          <w:lang w:val="en-US" w:eastAsia="zh-CN"/>
        </w:rPr>
        <w:t>发展，</w:t>
      </w:r>
      <w:r>
        <w:rPr>
          <w:rFonts w:hint="default" w:ascii="Times New Roman" w:hAnsi="Times New Roman" w:cs="Times New Roman"/>
          <w:b w:val="0"/>
          <w:bCs w:val="0"/>
          <w:color w:val="auto"/>
          <w:sz w:val="32"/>
          <w:szCs w:val="32"/>
          <w:highlight w:val="none"/>
          <w:lang w:val="en-US" w:eastAsia="zh-CN"/>
        </w:rPr>
        <w:t>围绕服务基础产品、优势产品，提供多样化物流服务模式多式联运，</w:t>
      </w:r>
      <w:r>
        <w:rPr>
          <w:rFonts w:hint="eastAsia" w:ascii="Times New Roman" w:hAnsi="Times New Roman" w:cs="Times New Roman"/>
          <w:b w:val="0"/>
          <w:bCs w:val="0"/>
          <w:color w:val="auto"/>
          <w:sz w:val="32"/>
          <w:szCs w:val="32"/>
          <w:highlight w:val="none"/>
          <w:lang w:val="en-US" w:eastAsia="zh-CN"/>
        </w:rPr>
        <w:t>推动</w:t>
      </w:r>
      <w:r>
        <w:rPr>
          <w:rFonts w:hint="default" w:ascii="Times New Roman" w:hAnsi="Times New Roman" w:cs="Times New Roman"/>
          <w:b w:val="0"/>
          <w:bCs w:val="0"/>
          <w:color w:val="auto"/>
          <w:sz w:val="32"/>
          <w:szCs w:val="32"/>
          <w:highlight w:val="none"/>
          <w:lang w:val="en-US" w:eastAsia="zh-CN"/>
        </w:rPr>
        <w:t>示范基地从传统的“单一仓储物流”</w:t>
      </w:r>
      <w:r>
        <w:rPr>
          <w:rFonts w:hint="eastAsia" w:ascii="Times New Roman" w:hAnsi="Times New Roman" w:cs="Times New Roman"/>
          <w:b w:val="0"/>
          <w:bCs w:val="0"/>
          <w:color w:val="auto"/>
          <w:sz w:val="32"/>
          <w:szCs w:val="32"/>
          <w:highlight w:val="none"/>
          <w:lang w:val="en-US" w:eastAsia="zh-CN"/>
        </w:rPr>
        <w:t>业务</w:t>
      </w:r>
      <w:r>
        <w:rPr>
          <w:rFonts w:hint="default" w:ascii="Times New Roman" w:hAnsi="Times New Roman" w:cs="Times New Roman"/>
          <w:b w:val="0"/>
          <w:bCs w:val="0"/>
          <w:color w:val="auto"/>
          <w:sz w:val="32"/>
          <w:szCs w:val="32"/>
          <w:highlight w:val="none"/>
          <w:lang w:val="en-US" w:eastAsia="zh-CN"/>
        </w:rPr>
        <w:t>服务模式向“定制化</w:t>
      </w:r>
      <w:r>
        <w:rPr>
          <w:rFonts w:hint="eastAsia" w:cs="Times New Roman"/>
          <w:b w:val="0"/>
          <w:bCs w:val="0"/>
          <w:color w:val="auto"/>
          <w:sz w:val="32"/>
          <w:szCs w:val="32"/>
          <w:highlight w:val="none"/>
          <w:lang w:val="en-US" w:eastAsia="zh-CN"/>
        </w:rPr>
        <w:t>、一站式</w:t>
      </w:r>
      <w:r>
        <w:rPr>
          <w:rFonts w:hint="default" w:ascii="Times New Roman" w:hAnsi="Times New Roman" w:cs="Times New Roman"/>
          <w:b w:val="0"/>
          <w:bCs w:val="0"/>
          <w:color w:val="auto"/>
          <w:sz w:val="32"/>
          <w:szCs w:val="32"/>
          <w:highlight w:val="none"/>
          <w:lang w:val="en-US" w:eastAsia="zh-CN"/>
        </w:rPr>
        <w:t>物流解决方案”</w:t>
      </w:r>
      <w:r>
        <w:rPr>
          <w:rFonts w:hint="eastAsia" w:ascii="Times New Roman" w:hAnsi="Times New Roman" w:cs="Times New Roman"/>
          <w:b w:val="0"/>
          <w:bCs w:val="0"/>
          <w:color w:val="auto"/>
          <w:sz w:val="32"/>
          <w:szCs w:val="32"/>
          <w:highlight w:val="none"/>
          <w:lang w:val="en-US" w:eastAsia="zh-CN"/>
        </w:rPr>
        <w:t>业务</w:t>
      </w:r>
      <w:r>
        <w:rPr>
          <w:rFonts w:hint="default" w:ascii="Times New Roman" w:hAnsi="Times New Roman" w:cs="Times New Roman"/>
          <w:b w:val="0"/>
          <w:bCs w:val="0"/>
          <w:color w:val="auto"/>
          <w:sz w:val="32"/>
          <w:szCs w:val="32"/>
          <w:highlight w:val="none"/>
          <w:lang w:val="en-US" w:eastAsia="zh-CN"/>
        </w:rPr>
        <w:t>服务模式转变。</w:t>
      </w:r>
    </w:p>
    <w:p>
      <w:pPr>
        <w:rPr>
          <w:rFonts w:hint="default" w:ascii="Times New Roman" w:hAnsi="Times New Roman" w:cs="Times New Roman"/>
          <w:b w:val="0"/>
          <w:bCs w:val="0"/>
          <w:color w:val="auto"/>
          <w:sz w:val="32"/>
          <w:szCs w:val="32"/>
          <w:highlight w:val="none"/>
          <w:lang w:val="en-US" w:eastAsia="zh-CN"/>
        </w:rPr>
      </w:pPr>
      <w:r>
        <w:rPr>
          <w:rFonts w:hint="default" w:ascii="Times New Roman" w:hAnsi="Times New Roman" w:cs="Times New Roman"/>
          <w:b w:val="0"/>
          <w:bCs w:val="0"/>
          <w:color w:val="auto"/>
          <w:sz w:val="32"/>
          <w:szCs w:val="32"/>
          <w:highlight w:val="none"/>
          <w:lang w:val="en-US" w:eastAsia="zh-CN"/>
        </w:rPr>
        <w:t>聚焦商贸生活物资和常见生产资料等</w:t>
      </w:r>
      <w:r>
        <w:rPr>
          <w:rFonts w:hint="default" w:ascii="Times New Roman" w:hAnsi="Times New Roman" w:cs="Times New Roman"/>
          <w:b w:val="0"/>
          <w:bCs w:val="0"/>
          <w:color w:val="auto"/>
          <w:sz w:val="32"/>
          <w:szCs w:val="32"/>
          <w:lang w:val="en-US" w:eastAsia="zh-CN"/>
        </w:rPr>
        <w:t>基础产品，提供标准化仓储服务以及干线运输服务，为客户提供稳定、可靠的基础物流服务。</w:t>
      </w:r>
      <w:r>
        <w:rPr>
          <w:rFonts w:hint="default" w:ascii="Times New Roman" w:hAnsi="Times New Roman" w:cs="Times New Roman"/>
          <w:b w:val="0"/>
          <w:bCs w:val="0"/>
          <w:color w:val="auto"/>
          <w:sz w:val="32"/>
          <w:szCs w:val="32"/>
          <w:highlight w:val="none"/>
          <w:lang w:val="en-US" w:eastAsia="zh-CN"/>
        </w:rPr>
        <w:t>聚焦</w:t>
      </w:r>
      <w:r>
        <w:rPr>
          <w:rFonts w:hint="eastAsia" w:cs="Times New Roman"/>
          <w:b w:val="0"/>
          <w:bCs w:val="0"/>
          <w:color w:val="auto"/>
          <w:sz w:val="32"/>
          <w:szCs w:val="32"/>
          <w:highlight w:val="none"/>
          <w:lang w:val="en-US" w:eastAsia="zh-CN"/>
        </w:rPr>
        <w:t>矿建材料</w:t>
      </w:r>
      <w:r>
        <w:rPr>
          <w:rFonts w:hint="default" w:ascii="Times New Roman" w:hAnsi="Times New Roman" w:cs="Times New Roman"/>
          <w:b w:val="0"/>
          <w:bCs w:val="0"/>
          <w:color w:val="auto"/>
          <w:sz w:val="32"/>
          <w:szCs w:val="32"/>
          <w:highlight w:val="none"/>
          <w:lang w:val="en-US" w:eastAsia="zh-CN"/>
        </w:rPr>
        <w:t>、煤炭等大宗</w:t>
      </w:r>
      <w:r>
        <w:rPr>
          <w:rFonts w:hint="eastAsia" w:cs="Times New Roman"/>
          <w:b w:val="0"/>
          <w:bCs w:val="0"/>
          <w:color w:val="auto"/>
          <w:sz w:val="32"/>
          <w:szCs w:val="32"/>
          <w:highlight w:val="none"/>
          <w:lang w:val="en-US" w:eastAsia="zh-CN"/>
        </w:rPr>
        <w:t>物资</w:t>
      </w:r>
      <w:r>
        <w:rPr>
          <w:rFonts w:hint="default" w:ascii="Times New Roman" w:hAnsi="Times New Roman" w:cs="Times New Roman"/>
          <w:b w:val="0"/>
          <w:bCs w:val="0"/>
          <w:color w:val="auto"/>
          <w:sz w:val="32"/>
          <w:szCs w:val="32"/>
          <w:highlight w:val="none"/>
          <w:lang w:val="en-US" w:eastAsia="zh-CN"/>
        </w:rPr>
        <w:t>、农机设备等产品，</w:t>
      </w:r>
      <w:r>
        <w:rPr>
          <w:rFonts w:hint="eastAsia" w:cs="Times New Roman"/>
          <w:b w:val="0"/>
          <w:bCs w:val="0"/>
          <w:color w:val="auto"/>
          <w:sz w:val="32"/>
          <w:szCs w:val="32"/>
          <w:highlight w:val="none"/>
          <w:lang w:val="en-US" w:eastAsia="zh-CN"/>
        </w:rPr>
        <w:t>“</w:t>
      </w:r>
      <w:r>
        <w:rPr>
          <w:rFonts w:hint="default" w:ascii="Times New Roman" w:hAnsi="Times New Roman" w:cs="Times New Roman"/>
          <w:b w:val="0"/>
          <w:bCs w:val="0"/>
          <w:color w:val="auto"/>
          <w:sz w:val="32"/>
          <w:szCs w:val="32"/>
          <w:highlight w:val="none"/>
          <w:lang w:val="en-US" w:eastAsia="zh-CN"/>
        </w:rPr>
        <w:t>一业一策</w:t>
      </w:r>
      <w:r>
        <w:rPr>
          <w:rFonts w:hint="eastAsia" w:cs="Times New Roman"/>
          <w:b w:val="0"/>
          <w:bCs w:val="0"/>
          <w:color w:val="auto"/>
          <w:sz w:val="32"/>
          <w:szCs w:val="32"/>
          <w:highlight w:val="none"/>
          <w:lang w:val="en-US" w:eastAsia="zh-CN"/>
        </w:rPr>
        <w:t>”提供</w:t>
      </w:r>
      <w:r>
        <w:rPr>
          <w:rFonts w:hint="default" w:ascii="Times New Roman" w:hAnsi="Times New Roman" w:cs="Times New Roman"/>
          <w:b w:val="0"/>
          <w:bCs w:val="0"/>
          <w:color w:val="auto"/>
          <w:sz w:val="32"/>
          <w:szCs w:val="32"/>
          <w:highlight w:val="none"/>
          <w:lang w:val="en-US" w:eastAsia="zh-CN"/>
        </w:rPr>
        <w:t>定制化、专业化物流服务方案，拓展相关产品的增值服务。围绕新型建材，提供集生产加工、储运、贸易于一体的物贸一体化服务</w:t>
      </w:r>
      <w:r>
        <w:rPr>
          <w:rFonts w:hint="default" w:ascii="Times New Roman" w:hAnsi="Times New Roman" w:cs="Times New Roman"/>
          <w:b w:val="0"/>
          <w:bCs w:val="0"/>
          <w:color w:val="auto"/>
          <w:sz w:val="32"/>
          <w:szCs w:val="32"/>
          <w:lang w:val="en-US" w:eastAsia="zh-CN"/>
        </w:rPr>
        <w:t>，形成生态链完整的大宗商品贸易产业园。</w:t>
      </w:r>
      <w:r>
        <w:rPr>
          <w:rFonts w:hint="eastAsia" w:cs="Times New Roman"/>
          <w:b w:val="0"/>
          <w:bCs w:val="0"/>
          <w:color w:val="auto"/>
          <w:sz w:val="32"/>
          <w:szCs w:val="32"/>
          <w:lang w:val="en-US" w:eastAsia="zh-CN"/>
        </w:rPr>
        <w:t>聚焦乐山特色</w:t>
      </w:r>
      <w:r>
        <w:rPr>
          <w:rFonts w:hint="default" w:ascii="Times New Roman" w:hAnsi="Times New Roman" w:cs="Times New Roman"/>
          <w:b w:val="0"/>
          <w:bCs w:val="0"/>
          <w:color w:val="auto"/>
          <w:sz w:val="32"/>
          <w:szCs w:val="32"/>
          <w:highlight w:val="none"/>
          <w:lang w:val="en-US" w:eastAsia="zh-CN"/>
        </w:rPr>
        <w:t>农产品，打造</w:t>
      </w:r>
      <w:r>
        <w:rPr>
          <w:rFonts w:hint="eastAsia" w:cs="Times New Roman"/>
          <w:b w:val="0"/>
          <w:bCs w:val="0"/>
          <w:color w:val="auto"/>
          <w:sz w:val="32"/>
          <w:szCs w:val="32"/>
          <w:highlight w:val="none"/>
          <w:lang w:val="en-US" w:eastAsia="zh-CN"/>
        </w:rPr>
        <w:t>“</w:t>
      </w:r>
      <w:r>
        <w:rPr>
          <w:rFonts w:hint="default" w:ascii="Times New Roman" w:hAnsi="Times New Roman" w:cs="Times New Roman"/>
          <w:b w:val="0"/>
          <w:bCs w:val="0"/>
          <w:color w:val="auto"/>
          <w:sz w:val="32"/>
          <w:szCs w:val="32"/>
          <w:highlight w:val="none"/>
          <w:lang w:val="en-US" w:eastAsia="zh-CN"/>
        </w:rPr>
        <w:t>全程冷链+溯源</w:t>
      </w:r>
      <w:r>
        <w:rPr>
          <w:rFonts w:hint="eastAsia" w:cs="Times New Roman"/>
          <w:b w:val="0"/>
          <w:bCs w:val="0"/>
          <w:color w:val="auto"/>
          <w:sz w:val="32"/>
          <w:szCs w:val="32"/>
          <w:highlight w:val="none"/>
          <w:lang w:val="en-US" w:eastAsia="zh-CN"/>
        </w:rPr>
        <w:t>”</w:t>
      </w:r>
      <w:r>
        <w:rPr>
          <w:rFonts w:hint="default" w:ascii="Times New Roman" w:hAnsi="Times New Roman" w:cs="Times New Roman"/>
          <w:b w:val="0"/>
          <w:bCs w:val="0"/>
          <w:color w:val="auto"/>
          <w:sz w:val="32"/>
          <w:szCs w:val="32"/>
          <w:highlight w:val="none"/>
          <w:lang w:val="en-US" w:eastAsia="zh-CN"/>
        </w:rPr>
        <w:t>一体化解决方案，在保障农产品新鲜度的同时，提供农产品溯源服务，提升产品附加值与市场竞争力。</w:t>
      </w:r>
    </w:p>
    <w:p>
      <w:pPr>
        <w:rPr>
          <w:rFonts w:hint="default" w:ascii="Times New Roman" w:hAnsi="Times New Roman" w:cs="Times New Roman"/>
          <w:b w:val="0"/>
          <w:bCs w:val="0"/>
          <w:color w:val="auto"/>
          <w:sz w:val="32"/>
          <w:szCs w:val="32"/>
          <w:highlight w:val="none"/>
          <w:lang w:val="en-US" w:eastAsia="zh-CN"/>
        </w:rPr>
      </w:pPr>
      <w:r>
        <w:rPr>
          <w:rFonts w:hint="default" w:ascii="Times New Roman" w:hAnsi="Times New Roman" w:cs="Times New Roman"/>
          <w:b w:val="0"/>
          <w:bCs w:val="0"/>
          <w:color w:val="auto"/>
          <w:sz w:val="32"/>
          <w:szCs w:val="32"/>
          <w:highlight w:val="none"/>
          <w:lang w:val="en-US" w:eastAsia="zh-CN"/>
        </w:rPr>
        <w:t>重点围绕大件装备、化工产品、钢材、多晶硅等3</w:t>
      </w:r>
      <w:r>
        <w:rPr>
          <w:rFonts w:hint="eastAsia" w:cs="Times New Roman"/>
          <w:b w:val="0"/>
          <w:bCs w:val="0"/>
          <w:color w:val="auto"/>
          <w:sz w:val="32"/>
          <w:szCs w:val="32"/>
          <w:highlight w:val="none"/>
          <w:lang w:val="en-US" w:eastAsia="zh-CN"/>
        </w:rPr>
        <w:t>—</w:t>
      </w:r>
      <w:r>
        <w:rPr>
          <w:rFonts w:hint="default" w:ascii="Times New Roman" w:hAnsi="Times New Roman" w:cs="Times New Roman"/>
          <w:b w:val="0"/>
          <w:bCs w:val="0"/>
          <w:color w:val="auto"/>
          <w:sz w:val="32"/>
          <w:szCs w:val="32"/>
          <w:highlight w:val="none"/>
          <w:lang w:val="en-US" w:eastAsia="zh-CN"/>
        </w:rPr>
        <w:t>5类</w:t>
      </w:r>
      <w:r>
        <w:rPr>
          <w:rFonts w:hint="eastAsia" w:ascii="Times New Roman" w:hAnsi="Times New Roman" w:cs="Times New Roman"/>
          <w:b w:val="0"/>
          <w:bCs w:val="0"/>
          <w:color w:val="auto"/>
          <w:sz w:val="32"/>
          <w:szCs w:val="32"/>
          <w:highlight w:val="none"/>
          <w:lang w:val="en-US" w:eastAsia="zh-CN"/>
        </w:rPr>
        <w:t>优势</w:t>
      </w:r>
      <w:r>
        <w:rPr>
          <w:rFonts w:hint="default" w:ascii="Times New Roman" w:hAnsi="Times New Roman" w:cs="Times New Roman"/>
          <w:b w:val="0"/>
          <w:bCs w:val="0"/>
          <w:color w:val="auto"/>
          <w:sz w:val="32"/>
          <w:szCs w:val="32"/>
          <w:highlight w:val="none"/>
          <w:lang w:val="en-US" w:eastAsia="zh-CN"/>
        </w:rPr>
        <w:t>产品及原材料运输需求，形成单品物流服务方案，打造多式联运精品线路，构建单品全国集散中心，</w:t>
      </w:r>
      <w:r>
        <w:rPr>
          <w:rFonts w:hint="eastAsia" w:ascii="Times New Roman" w:hAnsi="Times New Roman" w:cs="Times New Roman"/>
          <w:b w:val="0"/>
          <w:bCs w:val="0"/>
          <w:color w:val="auto"/>
          <w:sz w:val="32"/>
          <w:szCs w:val="32"/>
          <w:highlight w:val="none"/>
          <w:lang w:val="en-US" w:eastAsia="zh-CN"/>
        </w:rPr>
        <w:t>发展优势产品期货交割服务，</w:t>
      </w:r>
      <w:r>
        <w:rPr>
          <w:rFonts w:hint="default" w:ascii="Times New Roman" w:hAnsi="Times New Roman" w:cs="Times New Roman"/>
          <w:b w:val="0"/>
          <w:bCs w:val="0"/>
          <w:color w:val="auto"/>
          <w:sz w:val="32"/>
          <w:szCs w:val="32"/>
          <w:highlight w:val="none"/>
          <w:lang w:val="en-US" w:eastAsia="zh-CN"/>
        </w:rPr>
        <w:t>充分挖掘并打造差异化竞争力，满足不同客户群体的多样化需求。</w:t>
      </w:r>
    </w:p>
    <w:p>
      <w:pPr>
        <w:rPr>
          <w:rFonts w:hint="eastAsia" w:ascii="Times New Roman" w:hAnsi="Times New Roman"/>
          <w:bCs/>
          <w:color w:val="auto"/>
          <w:sz w:val="32"/>
          <w:szCs w:val="32"/>
          <w:lang w:val="en-US" w:eastAsia="zh-CN"/>
        </w:rPr>
      </w:pPr>
      <w:r>
        <w:rPr>
          <w:rFonts w:hint="eastAsia" w:ascii="Times New Roman" w:hAnsi="Times New Roman" w:cs="Times New Roman"/>
          <w:b w:val="0"/>
          <w:bCs w:val="0"/>
          <w:color w:val="auto"/>
          <w:sz w:val="32"/>
          <w:szCs w:val="32"/>
          <w:highlight w:val="none"/>
          <w:lang w:val="en-US" w:eastAsia="zh-CN"/>
        </w:rPr>
        <w:t>本项目</w:t>
      </w:r>
      <w:r>
        <w:rPr>
          <w:rFonts w:hint="eastAsia" w:cs="Times New Roman"/>
          <w:b w:val="0"/>
          <w:bCs w:val="0"/>
          <w:color w:val="auto"/>
          <w:sz w:val="32"/>
          <w:szCs w:val="32"/>
          <w:highlight w:val="none"/>
          <w:lang w:val="en-US" w:eastAsia="zh-CN"/>
        </w:rPr>
        <w:t>作为</w:t>
      </w:r>
      <w:r>
        <w:rPr>
          <w:rFonts w:hint="eastAsia" w:ascii="Times New Roman" w:hAnsi="Times New Roman" w:cs="Times New Roman"/>
          <w:b w:val="0"/>
          <w:bCs w:val="0"/>
          <w:color w:val="auto"/>
          <w:sz w:val="32"/>
          <w:szCs w:val="32"/>
          <w:highlight w:val="none"/>
          <w:lang w:val="en-US" w:eastAsia="zh-CN"/>
        </w:rPr>
        <w:t>公铁水空一站式多式联运示范基地，</w:t>
      </w:r>
      <w:r>
        <w:rPr>
          <w:rFonts w:hint="eastAsia" w:cs="Times New Roman"/>
          <w:b w:val="0"/>
          <w:bCs w:val="0"/>
          <w:color w:val="auto"/>
          <w:sz w:val="32"/>
          <w:szCs w:val="32"/>
          <w:highlight w:val="none"/>
          <w:lang w:val="en-US" w:eastAsia="zh-CN"/>
        </w:rPr>
        <w:t>其中“一站式”服务可以总体概括为：</w:t>
      </w:r>
      <w:r>
        <w:rPr>
          <w:rFonts w:eastAsia="仿宋_GB2312" w:cs="Times New Roman"/>
          <w:color w:val="auto"/>
          <w:sz w:val="32"/>
          <w:szCs w:val="32"/>
        </w:rPr>
        <w:t>基于一次委托、一单到底</w:t>
      </w:r>
      <w:r>
        <w:rPr>
          <w:rFonts w:hint="eastAsia" w:cs="Times New Roman"/>
          <w:color w:val="auto"/>
          <w:sz w:val="32"/>
          <w:szCs w:val="32"/>
          <w:lang w:eastAsia="zh-CN"/>
        </w:rPr>
        <w:t>、</w:t>
      </w:r>
      <w:r>
        <w:rPr>
          <w:rFonts w:hint="eastAsia" w:cs="Times New Roman"/>
          <w:color w:val="auto"/>
          <w:sz w:val="32"/>
          <w:szCs w:val="32"/>
          <w:lang w:val="en-US" w:eastAsia="zh-CN"/>
        </w:rPr>
        <w:t>一箱到底</w:t>
      </w:r>
      <w:r>
        <w:rPr>
          <w:rFonts w:eastAsia="仿宋_GB2312" w:cs="Times New Roman"/>
          <w:color w:val="auto"/>
          <w:sz w:val="32"/>
          <w:szCs w:val="32"/>
        </w:rPr>
        <w:t>的多式联运服务方式，</w:t>
      </w:r>
      <w:r>
        <w:rPr>
          <w:rFonts w:hint="eastAsia" w:cs="Times New Roman"/>
          <w:color w:val="auto"/>
          <w:sz w:val="32"/>
          <w:szCs w:val="32"/>
          <w:lang w:val="en-US" w:eastAsia="zh-CN"/>
        </w:rPr>
        <w:t>以</w:t>
      </w:r>
      <w:r>
        <w:rPr>
          <w:rFonts w:eastAsia="仿宋_GB2312" w:cs="Times New Roman"/>
          <w:color w:val="auto"/>
          <w:sz w:val="32"/>
          <w:szCs w:val="32"/>
        </w:rPr>
        <w:t>多式联运运营组织一体化</w:t>
      </w:r>
      <w:r>
        <w:rPr>
          <w:rFonts w:hint="eastAsia" w:cs="Times New Roman"/>
          <w:color w:val="auto"/>
          <w:sz w:val="32"/>
          <w:szCs w:val="32"/>
          <w:lang w:val="en-US" w:eastAsia="zh-CN"/>
        </w:rPr>
        <w:t>为核心</w:t>
      </w:r>
      <w:r>
        <w:rPr>
          <w:rFonts w:eastAsia="仿宋_GB2312" w:cs="Times New Roman"/>
          <w:color w:val="auto"/>
          <w:sz w:val="32"/>
          <w:szCs w:val="32"/>
        </w:rPr>
        <w:t>，</w:t>
      </w:r>
      <w:r>
        <w:rPr>
          <w:rFonts w:hint="eastAsia" w:cs="Times New Roman"/>
          <w:color w:val="auto"/>
          <w:sz w:val="32"/>
          <w:szCs w:val="32"/>
          <w:lang w:val="en-US" w:eastAsia="zh-CN"/>
        </w:rPr>
        <w:t>推动</w:t>
      </w:r>
      <w:r>
        <w:rPr>
          <w:rFonts w:eastAsia="仿宋_GB2312" w:cs="Times New Roman"/>
          <w:color w:val="auto"/>
          <w:sz w:val="32"/>
          <w:szCs w:val="32"/>
        </w:rPr>
        <w:t>制造</w:t>
      </w:r>
      <w:r>
        <w:rPr>
          <w:rFonts w:hint="eastAsia" w:cs="Times New Roman"/>
          <w:color w:val="auto"/>
          <w:sz w:val="32"/>
          <w:szCs w:val="32"/>
          <w:lang w:eastAsia="zh-CN"/>
        </w:rPr>
        <w:t>业</w:t>
      </w:r>
      <w:r>
        <w:rPr>
          <w:rFonts w:eastAsia="仿宋_GB2312" w:cs="Times New Roman"/>
          <w:color w:val="auto"/>
          <w:sz w:val="32"/>
          <w:szCs w:val="32"/>
        </w:rPr>
        <w:t>企业、物流企业、海关监管、银行金融、保险理赔</w:t>
      </w:r>
      <w:r>
        <w:rPr>
          <w:rFonts w:hint="eastAsia" w:cs="Times New Roman"/>
          <w:color w:val="auto"/>
          <w:sz w:val="32"/>
          <w:szCs w:val="32"/>
          <w:lang w:val="en-US" w:eastAsia="zh-CN"/>
        </w:rPr>
        <w:t>等</w:t>
      </w:r>
      <w:r>
        <w:rPr>
          <w:rFonts w:eastAsia="仿宋_GB2312" w:cs="Times New Roman"/>
          <w:color w:val="auto"/>
          <w:sz w:val="32"/>
          <w:szCs w:val="32"/>
        </w:rPr>
        <w:t>多式联运全链条资源的汇集整合，实现</w:t>
      </w:r>
      <w:r>
        <w:rPr>
          <w:rFonts w:hint="eastAsia" w:cs="Times New Roman"/>
          <w:color w:val="auto"/>
          <w:sz w:val="32"/>
          <w:szCs w:val="32"/>
          <w:lang w:val="en-US" w:eastAsia="zh-CN"/>
        </w:rPr>
        <w:t>现代物流</w:t>
      </w:r>
      <w:r>
        <w:rPr>
          <w:rFonts w:eastAsia="仿宋_GB2312" w:cs="Times New Roman"/>
          <w:color w:val="auto"/>
          <w:sz w:val="32"/>
          <w:szCs w:val="32"/>
        </w:rPr>
        <w:t>产业</w:t>
      </w:r>
      <w:r>
        <w:rPr>
          <w:rFonts w:hint="eastAsia" w:cs="Times New Roman"/>
          <w:color w:val="auto"/>
          <w:sz w:val="32"/>
          <w:szCs w:val="32"/>
          <w:lang w:eastAsia="zh-CN"/>
        </w:rPr>
        <w:t>“</w:t>
      </w:r>
      <w:r>
        <w:rPr>
          <w:rFonts w:eastAsia="仿宋_GB2312" w:cs="Times New Roman"/>
          <w:color w:val="auto"/>
          <w:sz w:val="32"/>
          <w:szCs w:val="32"/>
        </w:rPr>
        <w:t>全链条、一站式</w:t>
      </w:r>
      <w:r>
        <w:rPr>
          <w:rFonts w:hint="eastAsia" w:cs="Times New Roman"/>
          <w:color w:val="auto"/>
          <w:sz w:val="32"/>
          <w:szCs w:val="32"/>
          <w:lang w:eastAsia="zh-CN"/>
        </w:rPr>
        <w:t>”</w:t>
      </w:r>
      <w:r>
        <w:rPr>
          <w:rFonts w:eastAsia="仿宋_GB2312" w:cs="Times New Roman"/>
          <w:color w:val="auto"/>
          <w:sz w:val="32"/>
          <w:szCs w:val="32"/>
        </w:rPr>
        <w:t>服务</w:t>
      </w:r>
      <w:r>
        <w:rPr>
          <w:rFonts w:hint="eastAsia" w:cs="Times New Roman"/>
          <w:color w:val="auto"/>
          <w:sz w:val="32"/>
          <w:szCs w:val="32"/>
          <w:lang w:eastAsia="zh-CN"/>
        </w:rPr>
        <w:t>。</w:t>
      </w:r>
      <w:r>
        <w:rPr>
          <w:rFonts w:hint="eastAsia" w:cs="Times New Roman"/>
          <w:b w:val="0"/>
          <w:bCs w:val="0"/>
          <w:color w:val="auto"/>
          <w:sz w:val="32"/>
          <w:szCs w:val="32"/>
          <w:highlight w:val="none"/>
          <w:lang w:val="en-US" w:eastAsia="zh-CN"/>
        </w:rPr>
        <w:t>为了做大做强示范基地的“一站式”特色服务，示范基地应积极谋划发展</w:t>
      </w:r>
      <w:r>
        <w:rPr>
          <w:rFonts w:hint="eastAsia"/>
          <w:bCs/>
          <w:color w:val="auto"/>
          <w:sz w:val="32"/>
          <w:szCs w:val="32"/>
          <w:lang w:eastAsia="zh-CN"/>
        </w:rPr>
        <w:t>“</w:t>
      </w:r>
      <w:r>
        <w:rPr>
          <w:rFonts w:ascii="Times New Roman" w:hAnsi="Times New Roman"/>
          <w:bCs/>
          <w:color w:val="auto"/>
          <w:sz w:val="32"/>
          <w:szCs w:val="32"/>
        </w:rPr>
        <w:t>一单制</w:t>
      </w:r>
      <w:r>
        <w:rPr>
          <w:rFonts w:hint="eastAsia"/>
          <w:bCs/>
          <w:color w:val="auto"/>
          <w:sz w:val="32"/>
          <w:szCs w:val="32"/>
          <w:lang w:eastAsia="zh-CN"/>
        </w:rPr>
        <w:t>”“</w:t>
      </w:r>
      <w:r>
        <w:rPr>
          <w:rFonts w:ascii="Times New Roman" w:hAnsi="Times New Roman"/>
          <w:bCs/>
          <w:color w:val="auto"/>
          <w:sz w:val="32"/>
          <w:szCs w:val="32"/>
        </w:rPr>
        <w:t>一箱制</w:t>
      </w:r>
      <w:r>
        <w:rPr>
          <w:rFonts w:hint="eastAsia"/>
          <w:bCs/>
          <w:color w:val="auto"/>
          <w:sz w:val="32"/>
          <w:szCs w:val="32"/>
          <w:lang w:eastAsia="zh-CN"/>
        </w:rPr>
        <w:t>”</w:t>
      </w:r>
      <w:r>
        <w:rPr>
          <w:rFonts w:hint="eastAsia" w:ascii="Times New Roman" w:hAnsi="Times New Roman"/>
          <w:bCs/>
          <w:color w:val="auto"/>
          <w:sz w:val="32"/>
          <w:szCs w:val="32"/>
          <w:lang w:val="en-US" w:eastAsia="zh-CN"/>
        </w:rPr>
        <w:t>等先进运输服务模式，可重点从以下两方面开展工作：一是通过积极引进多式联运物流企业，以企业为主体，以示范基地为载体，研究</w:t>
      </w:r>
      <w:r>
        <w:rPr>
          <w:rFonts w:ascii="Times New Roman" w:hAnsi="Times New Roman"/>
          <w:bCs/>
          <w:color w:val="auto"/>
          <w:sz w:val="32"/>
          <w:szCs w:val="32"/>
        </w:rPr>
        <w:t>推动</w:t>
      </w:r>
      <w:r>
        <w:rPr>
          <w:rFonts w:hint="eastAsia" w:ascii="Times New Roman" w:hAnsi="Times New Roman"/>
          <w:bCs/>
          <w:color w:val="auto"/>
          <w:sz w:val="32"/>
          <w:szCs w:val="32"/>
          <w:lang w:val="en-US" w:eastAsia="zh-CN"/>
        </w:rPr>
        <w:t>多式联运</w:t>
      </w:r>
      <w:r>
        <w:rPr>
          <w:rFonts w:ascii="Times New Roman" w:hAnsi="Times New Roman"/>
          <w:bCs/>
          <w:color w:val="auto"/>
          <w:sz w:val="32"/>
          <w:szCs w:val="32"/>
        </w:rPr>
        <w:t>单证标准统一、服务规则衔接</w:t>
      </w:r>
      <w:r>
        <w:rPr>
          <w:rFonts w:hint="eastAsia" w:ascii="Times New Roman" w:hAnsi="Times New Roman"/>
          <w:bCs/>
          <w:color w:val="auto"/>
          <w:sz w:val="32"/>
          <w:szCs w:val="32"/>
          <w:lang w:eastAsia="zh-CN"/>
        </w:rPr>
        <w:t>，</w:t>
      </w:r>
      <w:r>
        <w:rPr>
          <w:rFonts w:ascii="Times New Roman" w:hAnsi="Times New Roman"/>
          <w:bCs/>
          <w:color w:val="auto"/>
          <w:sz w:val="32"/>
          <w:szCs w:val="32"/>
        </w:rPr>
        <w:t>发展联运单证物权凭证功能等，</w:t>
      </w:r>
      <w:r>
        <w:rPr>
          <w:rFonts w:hint="eastAsia" w:ascii="Times New Roman" w:hAnsi="Times New Roman"/>
          <w:bCs/>
          <w:color w:val="auto"/>
          <w:sz w:val="32"/>
          <w:szCs w:val="32"/>
        </w:rPr>
        <w:t>探索集装箱、托盘跨区域跨方式循环使用，提高物流标准化运载工具使用率和循环共用比例</w:t>
      </w:r>
      <w:r>
        <w:rPr>
          <w:rFonts w:hint="eastAsia" w:ascii="Times New Roman" w:hAnsi="Times New Roman"/>
          <w:bCs/>
          <w:color w:val="auto"/>
          <w:sz w:val="32"/>
          <w:szCs w:val="32"/>
          <w:lang w:eastAsia="zh-CN"/>
        </w:rPr>
        <w:t>。</w:t>
      </w:r>
      <w:r>
        <w:rPr>
          <w:rFonts w:hint="eastAsia" w:ascii="Times New Roman" w:hAnsi="Times New Roman"/>
          <w:bCs/>
          <w:color w:val="auto"/>
          <w:sz w:val="32"/>
          <w:szCs w:val="32"/>
          <w:lang w:val="en-US" w:eastAsia="zh-CN"/>
        </w:rPr>
        <w:t>二是以“一单制”“一箱制”为主题积极申报交通物流降本提质增效交通强国专项试点任务，以小切口试点来创新具有乐山特色的</w:t>
      </w:r>
      <w:r>
        <w:rPr>
          <w:rFonts w:hint="eastAsia"/>
          <w:bCs/>
          <w:color w:val="auto"/>
          <w:sz w:val="32"/>
          <w:szCs w:val="32"/>
          <w:lang w:val="en-US" w:eastAsia="zh-CN"/>
        </w:rPr>
        <w:t>“</w:t>
      </w:r>
      <w:r>
        <w:rPr>
          <w:rFonts w:hint="eastAsia" w:ascii="Times New Roman" w:hAnsi="Times New Roman"/>
          <w:bCs/>
          <w:color w:val="auto"/>
          <w:sz w:val="32"/>
          <w:szCs w:val="32"/>
          <w:lang w:val="en-US" w:eastAsia="zh-CN"/>
        </w:rPr>
        <w:t>一站式</w:t>
      </w:r>
      <w:r>
        <w:rPr>
          <w:rFonts w:hint="eastAsia"/>
          <w:bCs/>
          <w:color w:val="auto"/>
          <w:sz w:val="32"/>
          <w:szCs w:val="32"/>
          <w:lang w:val="en-US" w:eastAsia="zh-CN"/>
        </w:rPr>
        <w:t>”</w:t>
      </w:r>
      <w:r>
        <w:rPr>
          <w:rFonts w:hint="eastAsia" w:ascii="Times New Roman" w:hAnsi="Times New Roman"/>
          <w:bCs/>
          <w:color w:val="auto"/>
          <w:sz w:val="32"/>
          <w:szCs w:val="32"/>
          <w:lang w:val="en-US" w:eastAsia="zh-CN"/>
        </w:rPr>
        <w:t>物流服务方案。</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41" w:type="dxa"/>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黑体" w:hAnsi="黑体" w:eastAsia="黑体" w:cs="黑体"/>
                <w:b w:val="0"/>
                <w:bCs w:val="0"/>
                <w:color w:val="auto"/>
                <w:sz w:val="30"/>
                <w:szCs w:val="30"/>
                <w:vertAlign w:val="baseline"/>
                <w:lang w:val="en-US" w:eastAsia="zh-CN"/>
              </w:rPr>
            </w:pPr>
            <w:r>
              <w:rPr>
                <w:rFonts w:hint="eastAsia" w:ascii="黑体" w:hAnsi="黑体" w:eastAsia="黑体" w:cs="黑体"/>
                <w:b w:val="0"/>
                <w:bCs w:val="0"/>
                <w:color w:val="auto"/>
                <w:sz w:val="30"/>
                <w:szCs w:val="30"/>
                <w:lang w:val="en-US" w:eastAsia="zh-CN"/>
                <w14:ligatures w14:val="standardContextual"/>
              </w:rPr>
              <w:t xml:space="preserve">专栏3 </w:t>
            </w:r>
            <w:r>
              <w:rPr>
                <w:rFonts w:hint="eastAsia" w:ascii="黑体" w:hAnsi="黑体" w:eastAsia="黑体" w:cs="黑体"/>
                <w:b w:val="0"/>
                <w:bCs w:val="0"/>
                <w:color w:val="auto"/>
                <w:sz w:val="30"/>
                <w:szCs w:val="30"/>
                <w14:ligatures w14:val="standardContextual"/>
              </w:rPr>
              <w:t>成都（青白江）国际铁路港</w:t>
            </w:r>
            <w:r>
              <w:rPr>
                <w:rFonts w:hint="eastAsia" w:ascii="黑体" w:hAnsi="黑体" w:eastAsia="黑体" w:cs="黑体"/>
                <w:b w:val="0"/>
                <w:bCs w:val="0"/>
                <w:color w:val="auto"/>
                <w:sz w:val="30"/>
                <w:szCs w:val="30"/>
                <w:lang w:val="en-US" w:eastAsia="zh-CN"/>
                <w14:ligatures w14:val="standardContextual"/>
              </w:rPr>
              <w:t>打造“一站式”服务经验</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仿宋_GB2312" w:hAnsi="仿宋_GB2312" w:eastAsia="仿宋_GB2312" w:cs="仿宋_GB2312"/>
                <w:b w:val="0"/>
                <w:bCs w:val="0"/>
                <w:color w:val="auto"/>
                <w:sz w:val="30"/>
                <w:szCs w:val="30"/>
              </w:rPr>
            </w:pPr>
            <w:r>
              <w:rPr>
                <w:rFonts w:hint="eastAsia" w:ascii="仿宋_GB2312" w:hAnsi="仿宋_GB2312" w:eastAsia="仿宋_GB2312" w:cs="仿宋_GB2312"/>
                <w:b w:val="0"/>
                <w:bCs w:val="0"/>
                <w:color w:val="auto"/>
                <w:sz w:val="30"/>
                <w:szCs w:val="30"/>
              </w:rPr>
              <w:t>形成完善的“一站式”服务设施。建成投运多式联运综合大厅，集中铁路、船公司、港口、海关等服务窗口，引入铁路无轨营业部、班列公司、6家港口及1家船公司和保险代理公司入驻，推行“单窗口一站式”服务，实现成都本地报关退税，货主不需要到港口即可办完所有进出口货物手续，搭建起了铁路内陆港多式联运平台。</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eastAsia="仿宋_GB2312" w:cs="Times New Roman"/>
                <w:color w:val="auto"/>
                <w:sz w:val="30"/>
                <w:szCs w:val="30"/>
              </w:rPr>
            </w:pPr>
            <w:r>
              <w:rPr>
                <w:rFonts w:hint="eastAsia" w:ascii="仿宋_GB2312" w:hAnsi="仿宋_GB2312" w:eastAsia="仿宋_GB2312" w:cs="仿宋_GB2312"/>
                <w:b w:val="0"/>
                <w:bCs w:val="0"/>
                <w:color w:val="auto"/>
                <w:sz w:val="30"/>
                <w:szCs w:val="30"/>
                <w:lang w:val="en-US" w:eastAsia="zh-CN"/>
              </w:rPr>
              <w:t>推动</w:t>
            </w:r>
            <w:r>
              <w:rPr>
                <w:rFonts w:hint="eastAsia" w:ascii="仿宋_GB2312" w:hAnsi="仿宋_GB2312" w:eastAsia="仿宋_GB2312" w:cs="仿宋_GB2312"/>
                <w:b w:val="0"/>
                <w:bCs w:val="0"/>
                <w:color w:val="auto"/>
                <w:sz w:val="30"/>
                <w:szCs w:val="30"/>
                <w:lang w:eastAsia="zh-CN"/>
              </w:rPr>
              <w:t>“</w:t>
            </w:r>
            <w:r>
              <w:rPr>
                <w:rFonts w:hint="eastAsia" w:ascii="仿宋_GB2312" w:hAnsi="仿宋_GB2312" w:eastAsia="仿宋_GB2312" w:cs="仿宋_GB2312"/>
                <w:b w:val="0"/>
                <w:bCs w:val="0"/>
                <w:color w:val="auto"/>
                <w:sz w:val="30"/>
                <w:szCs w:val="30"/>
              </w:rPr>
              <w:t>一单到底+一票结算</w:t>
            </w:r>
            <w:r>
              <w:rPr>
                <w:rFonts w:hint="eastAsia" w:ascii="仿宋_GB2312" w:hAnsi="仿宋_GB2312" w:eastAsia="仿宋_GB2312" w:cs="仿宋_GB2312"/>
                <w:b w:val="0"/>
                <w:bCs w:val="0"/>
                <w:color w:val="auto"/>
                <w:sz w:val="30"/>
                <w:szCs w:val="30"/>
                <w:lang w:eastAsia="zh-CN"/>
              </w:rPr>
              <w:t>”</w:t>
            </w:r>
            <w:r>
              <w:rPr>
                <w:rFonts w:hint="eastAsia" w:ascii="仿宋_GB2312" w:hAnsi="仿宋_GB2312" w:eastAsia="仿宋_GB2312" w:cs="仿宋_GB2312"/>
                <w:b w:val="0"/>
                <w:bCs w:val="0"/>
                <w:color w:val="auto"/>
                <w:sz w:val="30"/>
                <w:szCs w:val="30"/>
              </w:rPr>
              <w:t>。</w:t>
            </w:r>
            <w:r>
              <w:rPr>
                <w:rFonts w:eastAsia="仿宋_GB2312" w:cs="Times New Roman"/>
                <w:color w:val="auto"/>
                <w:sz w:val="30"/>
                <w:szCs w:val="30"/>
              </w:rPr>
              <w:t>通过打造成都国际多式联运单证体系，利用多式联运“一单制”作为媒介，将货物的交易变成单证的交易，贸易、运输单据处理由原有的</w:t>
            </w:r>
            <w:r>
              <w:rPr>
                <w:rFonts w:hint="eastAsia" w:eastAsia="仿宋_GB2312" w:cs="Times New Roman"/>
                <w:color w:val="auto"/>
                <w:sz w:val="30"/>
                <w:szCs w:val="30"/>
                <w:lang w:eastAsia="zh-CN"/>
              </w:rPr>
              <w:t>“</w:t>
            </w:r>
            <w:r>
              <w:rPr>
                <w:rFonts w:eastAsia="仿宋_GB2312" w:cs="Times New Roman"/>
                <w:color w:val="auto"/>
                <w:sz w:val="30"/>
                <w:szCs w:val="30"/>
              </w:rPr>
              <w:t>多头接洽</w:t>
            </w:r>
            <w:r>
              <w:rPr>
                <w:rFonts w:hint="eastAsia" w:eastAsia="仿宋_GB2312" w:cs="Times New Roman"/>
                <w:color w:val="auto"/>
                <w:sz w:val="30"/>
                <w:szCs w:val="30"/>
                <w:lang w:eastAsia="zh-CN"/>
              </w:rPr>
              <w:t>”</w:t>
            </w:r>
            <w:r>
              <w:rPr>
                <w:rFonts w:eastAsia="仿宋_GB2312" w:cs="Times New Roman"/>
                <w:color w:val="auto"/>
                <w:sz w:val="30"/>
                <w:szCs w:val="30"/>
              </w:rPr>
              <w:t>转变为</w:t>
            </w:r>
            <w:r>
              <w:rPr>
                <w:rFonts w:hint="eastAsia" w:eastAsia="仿宋_GB2312" w:cs="Times New Roman"/>
                <w:color w:val="auto"/>
                <w:sz w:val="30"/>
                <w:szCs w:val="30"/>
                <w:lang w:eastAsia="zh-CN"/>
              </w:rPr>
              <w:t>“</w:t>
            </w:r>
            <w:r>
              <w:rPr>
                <w:rFonts w:eastAsia="仿宋_GB2312" w:cs="Times New Roman"/>
                <w:color w:val="auto"/>
                <w:sz w:val="30"/>
                <w:szCs w:val="30"/>
              </w:rPr>
              <w:t>一窗受理</w:t>
            </w:r>
            <w:r>
              <w:rPr>
                <w:rFonts w:hint="eastAsia" w:eastAsia="仿宋_GB2312" w:cs="Times New Roman"/>
                <w:color w:val="auto"/>
                <w:sz w:val="30"/>
                <w:szCs w:val="30"/>
                <w:lang w:eastAsia="zh-CN"/>
              </w:rPr>
              <w:t>”</w:t>
            </w:r>
            <w:r>
              <w:rPr>
                <w:rFonts w:eastAsia="仿宋_GB2312" w:cs="Times New Roman"/>
                <w:color w:val="auto"/>
                <w:sz w:val="30"/>
                <w:szCs w:val="30"/>
              </w:rPr>
              <w:t>，极大提高了企业的沟通效率，有效提高了外贸交易便利性。</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仿宋_GB2312" w:hAnsi="仿宋_GB2312" w:eastAsia="仿宋_GB2312" w:cs="仿宋_GB2312"/>
                <w:b w:val="0"/>
                <w:bCs w:val="0"/>
                <w:color w:val="auto"/>
                <w:sz w:val="30"/>
                <w:szCs w:val="30"/>
              </w:rPr>
            </w:pPr>
            <w:r>
              <w:rPr>
                <w:rFonts w:hint="eastAsia" w:ascii="仿宋_GB2312" w:hAnsi="仿宋_GB2312" w:eastAsia="仿宋_GB2312" w:cs="仿宋_GB2312"/>
                <w:b w:val="0"/>
                <w:bCs w:val="0"/>
                <w:color w:val="auto"/>
                <w:sz w:val="30"/>
                <w:szCs w:val="30"/>
                <w:lang w:val="en-US" w:eastAsia="zh-CN"/>
              </w:rPr>
              <w:t>推动</w:t>
            </w:r>
            <w:r>
              <w:rPr>
                <w:rFonts w:hint="eastAsia" w:ascii="仿宋_GB2312" w:hAnsi="仿宋_GB2312" w:eastAsia="仿宋_GB2312" w:cs="仿宋_GB2312"/>
                <w:b w:val="0"/>
                <w:bCs w:val="0"/>
                <w:color w:val="auto"/>
                <w:sz w:val="30"/>
                <w:szCs w:val="30"/>
              </w:rPr>
              <w:t>“一次委托+一口报价”。通过多式联运单证串联跨境多式联运的组织、安排、协调等环节，以公铁联运、海铁联运等方式实现门到门运输“一单到底”。目前陆港公司已成功为企业组织了欧洲经中欧班列回程、中俄班列和中东经海铁联运回程的门到门运输，实现了多种运输方式的有效组织。</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仿宋_GB2312" w:hAnsi="仿宋_GB2312" w:eastAsia="仿宋_GB2312" w:cs="仿宋_GB2312"/>
                <w:b w:val="0"/>
                <w:bCs w:val="0"/>
                <w:color w:val="auto"/>
                <w:sz w:val="30"/>
                <w:szCs w:val="30"/>
              </w:rPr>
            </w:pPr>
            <w:r>
              <w:rPr>
                <w:rFonts w:hint="eastAsia" w:ascii="仿宋_GB2312" w:hAnsi="仿宋_GB2312" w:eastAsia="仿宋_GB2312" w:cs="仿宋_GB2312"/>
                <w:b w:val="0"/>
                <w:bCs w:val="0"/>
                <w:color w:val="auto"/>
                <w:sz w:val="30"/>
                <w:szCs w:val="30"/>
                <w:lang w:val="en-US" w:eastAsia="zh-CN"/>
              </w:rPr>
              <w:t>推动</w:t>
            </w:r>
            <w:r>
              <w:rPr>
                <w:rFonts w:hint="eastAsia" w:ascii="仿宋_GB2312" w:hAnsi="仿宋_GB2312" w:eastAsia="仿宋_GB2312" w:cs="仿宋_GB2312"/>
                <w:b w:val="0"/>
                <w:bCs w:val="0"/>
                <w:color w:val="auto"/>
                <w:sz w:val="30"/>
                <w:szCs w:val="30"/>
              </w:rPr>
              <w:t>“明确主体+全程负责”。通过多式联运单证明确全程运输责任主体，并通过单证引入保险全程参与，大大降低了货物运输赔付风险和责任认定难等问题。</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color w:val="auto"/>
                <w:lang w:val="en-US" w:eastAsia="zh-CN"/>
              </w:rPr>
            </w:pPr>
            <w:r>
              <w:rPr>
                <w:rFonts w:hint="eastAsia" w:ascii="仿宋_GB2312" w:hAnsi="仿宋_GB2312" w:eastAsia="仿宋_GB2312" w:cs="仿宋_GB2312"/>
                <w:b w:val="0"/>
                <w:bCs w:val="0"/>
                <w:color w:val="auto"/>
                <w:sz w:val="30"/>
                <w:szCs w:val="30"/>
                <w:lang w:val="en-US" w:eastAsia="zh-CN"/>
              </w:rPr>
              <w:t>推动</w:t>
            </w:r>
            <w:r>
              <w:rPr>
                <w:rFonts w:hint="eastAsia" w:ascii="仿宋_GB2312" w:hAnsi="仿宋_GB2312" w:eastAsia="仿宋_GB2312" w:cs="仿宋_GB2312"/>
                <w:b w:val="0"/>
                <w:bCs w:val="0"/>
                <w:color w:val="auto"/>
                <w:sz w:val="30"/>
                <w:szCs w:val="30"/>
              </w:rPr>
              <w:t>“全程控货+金融创新”</w:t>
            </w:r>
            <w:r>
              <w:rPr>
                <w:rFonts w:eastAsia="仿宋_GB2312" w:cs="Times New Roman"/>
                <w:color w:val="auto"/>
                <w:sz w:val="30"/>
                <w:szCs w:val="30"/>
              </w:rPr>
              <w:t>。依靠陆港公司物流资源整合优势，不断完善货物监督管理，实现单证项下货物的全程可控，帮助金融机构控制风险，发挥多式联运单证货物的质押融资功能。</w:t>
            </w:r>
          </w:p>
        </w:tc>
      </w:tr>
    </w:tbl>
    <w:p>
      <w:pPr>
        <w:rPr>
          <w:rFonts w:hint="default"/>
          <w:lang w:val="en-US" w:eastAsia="zh-CN"/>
        </w:rPr>
      </w:pPr>
    </w:p>
    <w:p>
      <w:pPr>
        <w:ind w:firstLine="0" w:firstLineChars="0"/>
        <w:rPr>
          <w:rFonts w:hint="default" w:ascii="Times New Roman" w:hAnsi="Times New Roman" w:cs="Times New Roman"/>
          <w:color w:val="auto"/>
          <w:lang w:val="en-US" w:eastAsia="zh-CN"/>
        </w:rPr>
        <w:sectPr>
          <w:headerReference r:id="rId17" w:type="default"/>
          <w:pgSz w:w="23811" w:h="16838" w:orient="landscape"/>
          <w:pgMar w:top="1800" w:right="1440" w:bottom="1800" w:left="1440" w:header="851" w:footer="992" w:gutter="0"/>
          <w:pgNumType w:fmt="decimal"/>
          <w:cols w:equalWidth="0" w:num="2">
            <w:col w:w="10253" w:space="425"/>
            <w:col w:w="10253"/>
          </w:cols>
          <w:docGrid w:type="lines" w:linePitch="312" w:charSpace="0"/>
        </w:sectPr>
      </w:pPr>
    </w:p>
    <w:p>
      <w:pPr>
        <w:pStyle w:val="3"/>
        <w:bidi w:val="0"/>
        <w:rPr>
          <w:rFonts w:hint="default" w:ascii="Times New Roman" w:hAnsi="Times New Roman" w:cs="Times New Roman"/>
          <w:color w:val="auto"/>
          <w:lang w:val="en-US" w:eastAsia="zh-CN"/>
        </w:rPr>
      </w:pPr>
      <w:bookmarkStart w:id="155" w:name="_Toc25871"/>
      <w:r>
        <w:rPr>
          <w:rFonts w:hint="default" w:ascii="Times New Roman" w:hAnsi="Times New Roman" w:cs="Times New Roman"/>
          <w:color w:val="auto"/>
          <w:lang w:val="en-US" w:eastAsia="zh-CN"/>
        </w:rPr>
        <w:t>建设计划</w:t>
      </w:r>
      <w:bookmarkEnd w:id="155"/>
    </w:p>
    <w:p>
      <w:pPr>
        <w:spacing w:line="600" w:lineRule="exact"/>
        <w:ind w:firstLine="640" w:firstLineChars="200"/>
        <w:rPr>
          <w:rFonts w:hint="default" w:ascii="Times New Roman" w:hAnsi="Times New Roman" w:cs="Times New Roman"/>
          <w:color w:val="auto"/>
          <w:sz w:val="32"/>
          <w:szCs w:val="32"/>
          <w:lang w:val="en-US" w:eastAsia="zh-CN"/>
        </w:rPr>
      </w:pPr>
      <w:r>
        <w:rPr>
          <w:rFonts w:hint="default" w:ascii="Times New Roman" w:hAnsi="Times New Roman" w:cs="Times New Roman"/>
          <w:color w:val="auto"/>
          <w:sz w:val="32"/>
          <w:szCs w:val="32"/>
          <w:lang w:val="en-US" w:eastAsia="zh-CN"/>
        </w:rPr>
        <w:t>示范基地</w:t>
      </w:r>
      <w:r>
        <w:rPr>
          <w:rFonts w:hint="eastAsia" w:cs="Times New Roman"/>
          <w:color w:val="auto"/>
          <w:sz w:val="32"/>
          <w:szCs w:val="32"/>
          <w:lang w:val="en-US" w:eastAsia="zh-CN"/>
        </w:rPr>
        <w:t>边界内</w:t>
      </w:r>
      <w:r>
        <w:rPr>
          <w:rFonts w:hint="default" w:ascii="Times New Roman" w:hAnsi="Times New Roman" w:cs="Times New Roman"/>
          <w:color w:val="auto"/>
          <w:sz w:val="32"/>
          <w:szCs w:val="32"/>
          <w:lang w:val="en-US" w:eastAsia="zh-CN"/>
        </w:rPr>
        <w:t>建设工作分</w:t>
      </w:r>
      <w:r>
        <w:rPr>
          <w:rFonts w:hint="eastAsia" w:ascii="Times New Roman" w:hAnsi="Times New Roman" w:cs="Times New Roman"/>
          <w:color w:val="auto"/>
          <w:sz w:val="32"/>
          <w:szCs w:val="32"/>
          <w:lang w:val="en-US" w:eastAsia="zh-CN"/>
        </w:rPr>
        <w:t>为</w:t>
      </w:r>
      <w:r>
        <w:rPr>
          <w:rFonts w:hint="default" w:ascii="Times New Roman" w:hAnsi="Times New Roman" w:cs="Times New Roman"/>
          <w:color w:val="auto"/>
          <w:sz w:val="32"/>
          <w:szCs w:val="32"/>
          <w:lang w:val="en-US" w:eastAsia="zh-CN"/>
        </w:rPr>
        <w:t>近期（2025—2030年）和远期（2031—2035年）两个阶段，</w:t>
      </w:r>
      <w:r>
        <w:rPr>
          <w:rFonts w:hint="eastAsia" w:cs="Times New Roman"/>
          <w:color w:val="auto"/>
          <w:sz w:val="32"/>
          <w:szCs w:val="32"/>
          <w:lang w:val="en-US" w:eastAsia="zh-CN"/>
        </w:rPr>
        <w:t>各功能区按照分期开发建设的思路，</w:t>
      </w:r>
      <w:r>
        <w:rPr>
          <w:rFonts w:hint="default" w:ascii="Times New Roman" w:hAnsi="Times New Roman" w:cs="Times New Roman"/>
          <w:color w:val="auto"/>
          <w:sz w:val="32"/>
          <w:szCs w:val="32"/>
          <w:lang w:val="en-US" w:eastAsia="zh-CN"/>
        </w:rPr>
        <w:t>共计划实施</w:t>
      </w:r>
      <w:r>
        <w:rPr>
          <w:rFonts w:hint="eastAsia" w:cs="Times New Roman"/>
          <w:color w:val="auto"/>
          <w:sz w:val="32"/>
          <w:szCs w:val="32"/>
          <w:lang w:val="en-US" w:eastAsia="zh-CN"/>
        </w:rPr>
        <w:t>27</w:t>
      </w:r>
      <w:r>
        <w:rPr>
          <w:rFonts w:hint="default" w:ascii="Times New Roman" w:hAnsi="Times New Roman" w:cs="Times New Roman"/>
          <w:color w:val="auto"/>
          <w:sz w:val="32"/>
          <w:szCs w:val="32"/>
          <w:lang w:val="en-US" w:eastAsia="zh-CN"/>
        </w:rPr>
        <w:t>个项目建设，总投资约</w:t>
      </w:r>
      <w:r>
        <w:rPr>
          <w:rFonts w:hint="eastAsia" w:cs="Times New Roman"/>
          <w:color w:val="auto"/>
          <w:sz w:val="32"/>
          <w:szCs w:val="32"/>
          <w:lang w:val="en-US" w:eastAsia="zh-CN"/>
        </w:rPr>
        <w:t>120.02</w:t>
      </w:r>
      <w:r>
        <w:rPr>
          <w:rFonts w:hint="default" w:ascii="Times New Roman" w:hAnsi="Times New Roman" w:cs="Times New Roman"/>
          <w:color w:val="auto"/>
          <w:sz w:val="32"/>
          <w:szCs w:val="32"/>
          <w:lang w:val="en-US" w:eastAsia="zh-CN"/>
        </w:rPr>
        <w:t>亿元，其中近期计划建设</w:t>
      </w:r>
      <w:r>
        <w:rPr>
          <w:rFonts w:hint="eastAsia" w:cs="Times New Roman"/>
          <w:color w:val="auto"/>
          <w:sz w:val="32"/>
          <w:szCs w:val="32"/>
          <w:lang w:val="en-US" w:eastAsia="zh-CN"/>
        </w:rPr>
        <w:t>11</w:t>
      </w:r>
      <w:r>
        <w:rPr>
          <w:rFonts w:hint="default" w:ascii="Times New Roman" w:hAnsi="Times New Roman" w:cs="Times New Roman"/>
          <w:color w:val="auto"/>
          <w:sz w:val="32"/>
          <w:szCs w:val="32"/>
          <w:lang w:val="en-US" w:eastAsia="zh-CN"/>
        </w:rPr>
        <w:t>个项目、项目总投资约</w:t>
      </w:r>
      <w:r>
        <w:rPr>
          <w:rFonts w:hint="eastAsia" w:cs="Times New Roman"/>
          <w:color w:val="auto"/>
          <w:sz w:val="32"/>
          <w:szCs w:val="32"/>
          <w:lang w:val="en-US" w:eastAsia="zh-CN"/>
        </w:rPr>
        <w:t>38.57</w:t>
      </w:r>
      <w:r>
        <w:rPr>
          <w:rFonts w:hint="default" w:ascii="Times New Roman" w:hAnsi="Times New Roman" w:cs="Times New Roman"/>
          <w:color w:val="auto"/>
          <w:sz w:val="32"/>
          <w:szCs w:val="32"/>
          <w:lang w:val="en-US" w:eastAsia="zh-CN"/>
        </w:rPr>
        <w:t>亿元，远期计划建设</w:t>
      </w:r>
      <w:r>
        <w:rPr>
          <w:rFonts w:hint="eastAsia" w:cs="Times New Roman"/>
          <w:color w:val="auto"/>
          <w:sz w:val="32"/>
          <w:szCs w:val="32"/>
          <w:lang w:val="en-US" w:eastAsia="zh-CN"/>
        </w:rPr>
        <w:t>16</w:t>
      </w:r>
      <w:r>
        <w:rPr>
          <w:rFonts w:hint="default" w:ascii="Times New Roman" w:hAnsi="Times New Roman" w:cs="Times New Roman"/>
          <w:color w:val="auto"/>
          <w:sz w:val="32"/>
          <w:szCs w:val="32"/>
          <w:lang w:val="en-US" w:eastAsia="zh-CN"/>
        </w:rPr>
        <w:t>个项目、项目总投资约</w:t>
      </w:r>
      <w:r>
        <w:rPr>
          <w:rFonts w:hint="eastAsia" w:cs="Times New Roman"/>
          <w:color w:val="auto"/>
          <w:sz w:val="32"/>
          <w:szCs w:val="32"/>
          <w:lang w:val="en-US" w:eastAsia="zh-CN"/>
        </w:rPr>
        <w:t>81.45</w:t>
      </w:r>
      <w:r>
        <w:rPr>
          <w:rFonts w:hint="default" w:ascii="Times New Roman" w:hAnsi="Times New Roman" w:cs="Times New Roman"/>
          <w:color w:val="auto"/>
          <w:sz w:val="32"/>
          <w:szCs w:val="32"/>
          <w:lang w:val="en-US" w:eastAsia="zh-CN"/>
        </w:rPr>
        <w:t>亿元。</w:t>
      </w:r>
    </w:p>
    <w:p>
      <w:pPr>
        <w:rPr>
          <w:rFonts w:hint="eastAsia" w:cs="Times New Roman"/>
          <w:b w:val="0"/>
          <w:bCs w:val="0"/>
          <w:color w:val="auto"/>
          <w:lang w:val="en-US" w:eastAsia="zh-CN"/>
        </w:rPr>
      </w:pPr>
      <w:r>
        <w:rPr>
          <w:rFonts w:hint="eastAsia" w:cs="Times New Roman"/>
          <w:b w:val="0"/>
          <w:bCs w:val="0"/>
          <w:color w:val="auto"/>
          <w:lang w:val="en-US" w:eastAsia="zh-CN"/>
        </w:rPr>
        <w:t>示范基地边界外集疏运路网体系、市政配套设施等，共实施7个重点项目，总投资60.71亿元，其中近期投资57.36亿元，远期投资3.35亿元。</w:t>
      </w:r>
    </w:p>
    <w:p>
      <w:pPr>
        <w:spacing w:line="600" w:lineRule="exact"/>
        <w:ind w:firstLine="640" w:firstLineChars="200"/>
        <w:rPr>
          <w:rFonts w:hint="default" w:cs="Times New Roman"/>
          <w:color w:val="auto"/>
          <w:sz w:val="32"/>
          <w:szCs w:val="32"/>
          <w:lang w:val="en-US" w:eastAsia="zh-CN"/>
        </w:rPr>
      </w:pPr>
      <w:r>
        <w:rPr>
          <w:rFonts w:hint="eastAsia" w:cs="Times New Roman"/>
          <w:color w:val="auto"/>
          <w:sz w:val="32"/>
          <w:szCs w:val="32"/>
          <w:lang w:val="en-US" w:eastAsia="zh-CN"/>
        </w:rPr>
        <w:t>以上项目累计总投资180.73亿元，其中近期投资95.93亿元，远期投资84.8亿元。</w:t>
      </w:r>
    </w:p>
    <w:p>
      <w:pPr>
        <w:pStyle w:val="4"/>
        <w:bidi w:val="0"/>
        <w:rPr>
          <w:rFonts w:hint="default"/>
          <w:color w:val="auto"/>
          <w:lang w:val="en-US" w:eastAsia="zh-CN"/>
        </w:rPr>
      </w:pPr>
      <w:bookmarkStart w:id="156" w:name="_Toc30409"/>
      <w:bookmarkStart w:id="157" w:name="_Toc12704"/>
      <w:r>
        <w:rPr>
          <w:rFonts w:hint="default"/>
          <w:color w:val="auto"/>
          <w:lang w:val="en-US" w:eastAsia="zh-CN"/>
        </w:rPr>
        <w:t>近期建设计划</w:t>
      </w:r>
      <w:bookmarkEnd w:id="156"/>
      <w:bookmarkEnd w:id="157"/>
    </w:p>
    <w:p>
      <w:pPr>
        <w:spacing w:line="600" w:lineRule="exact"/>
        <w:ind w:firstLine="640" w:firstLineChars="200"/>
        <w:rPr>
          <w:rFonts w:hint="default" w:ascii="Times New Roman" w:hAnsi="Times New Roman" w:eastAsia="仿宋_GB2312" w:cs="Times New Roman"/>
          <w:color w:val="auto"/>
          <w:sz w:val="32"/>
          <w:szCs w:val="32"/>
          <w:highlight w:val="yellow"/>
          <w:lang w:val="en-US" w:eastAsia="zh-CN"/>
        </w:rPr>
      </w:pPr>
      <w:r>
        <w:rPr>
          <w:rFonts w:hint="default" w:ascii="Times New Roman" w:hAnsi="Times New Roman" w:cs="Times New Roman"/>
          <w:color w:val="auto"/>
          <w:sz w:val="32"/>
          <w:szCs w:val="32"/>
          <w:lang w:val="en-US" w:eastAsia="zh-CN"/>
        </w:rPr>
        <w:t>近期以服务乐山晶硅光伏、新型建材以及省内重大件设备等产业发展需求，</w:t>
      </w:r>
      <w:r>
        <w:rPr>
          <w:rFonts w:hint="eastAsia" w:cs="Times New Roman"/>
          <w:color w:val="auto"/>
          <w:sz w:val="32"/>
          <w:szCs w:val="32"/>
          <w:lang w:val="en-US" w:eastAsia="zh-CN"/>
        </w:rPr>
        <w:t>重点推动</w:t>
      </w:r>
      <w:r>
        <w:rPr>
          <w:rFonts w:hint="default" w:ascii="Times New Roman" w:hAnsi="Times New Roman" w:cs="Times New Roman"/>
          <w:color w:val="auto"/>
          <w:sz w:val="32"/>
          <w:szCs w:val="32"/>
          <w:lang w:val="en-US" w:eastAsia="zh-CN"/>
        </w:rPr>
        <w:t>港口物流功能区、</w:t>
      </w:r>
      <w:r>
        <w:rPr>
          <w:rFonts w:hint="eastAsia" w:cs="Times New Roman"/>
          <w:color w:val="auto"/>
          <w:sz w:val="32"/>
          <w:szCs w:val="32"/>
          <w:lang w:val="en-US" w:eastAsia="zh-CN"/>
        </w:rPr>
        <w:t>国际物流功能区、智慧公路物流功能区、大宗商品物贸一体功能区、冷链物流功能区、电商快递物流功能区、医药及冷链物流功能区、供应链集成服务功能区等各功能区一期开发建设</w:t>
      </w:r>
      <w:r>
        <w:rPr>
          <w:rFonts w:hint="default" w:ascii="Times New Roman" w:hAnsi="Times New Roman" w:cs="Times New Roman"/>
          <w:color w:val="auto"/>
          <w:sz w:val="32"/>
          <w:szCs w:val="32"/>
          <w:lang w:val="en-US" w:eastAsia="zh-CN"/>
        </w:rPr>
        <w:t>，拟实施重点项目如下。</w:t>
      </w:r>
    </w:p>
    <w:p>
      <w:p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1.市政道路设施建设</w:t>
      </w:r>
    </w:p>
    <w:p>
      <w:pPr>
        <w:rPr>
          <w:rFonts w:hint="eastAsia" w:cs="Times New Roman"/>
          <w:b w:val="0"/>
          <w:bCs w:val="0"/>
          <w:color w:val="auto"/>
          <w:lang w:val="en-US" w:eastAsia="zh-CN"/>
        </w:rPr>
      </w:pPr>
      <w:r>
        <w:rPr>
          <w:rFonts w:hint="eastAsia" w:ascii="Times New Roman" w:hAnsi="Times New Roman" w:cs="Times New Roman"/>
          <w:b w:val="0"/>
          <w:bCs w:val="0"/>
          <w:color w:val="auto"/>
          <w:lang w:val="en-US" w:eastAsia="zh-CN"/>
        </w:rPr>
        <w:t>实施多式联运基地集疏运道路体系建设一期工程</w:t>
      </w:r>
      <w:r>
        <w:rPr>
          <w:rFonts w:hint="eastAsia" w:cs="Times New Roman"/>
          <w:b w:val="0"/>
          <w:bCs w:val="0"/>
          <w:color w:val="auto"/>
          <w:lang w:val="en-US" w:eastAsia="zh-CN"/>
        </w:rPr>
        <w:t>，</w:t>
      </w:r>
      <w:r>
        <w:rPr>
          <w:rFonts w:hint="default" w:ascii="Times New Roman" w:hAnsi="Times New Roman" w:cs="Times New Roman"/>
          <w:b w:val="0"/>
          <w:bCs w:val="0"/>
          <w:color w:val="auto"/>
          <w:lang w:val="en-US" w:eastAsia="zh-CN"/>
        </w:rPr>
        <w:t>近期重点围绕港口物流功能区、国际物流功能区、</w:t>
      </w:r>
      <w:r>
        <w:rPr>
          <w:rFonts w:hint="eastAsia" w:cs="Times New Roman"/>
          <w:b w:val="0"/>
          <w:bCs w:val="0"/>
          <w:color w:val="auto"/>
          <w:lang w:val="en-US" w:eastAsia="zh-CN"/>
        </w:rPr>
        <w:t>智慧公路物流功能区</w:t>
      </w: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大宗商品</w:t>
      </w:r>
      <w:r>
        <w:rPr>
          <w:rFonts w:hint="default" w:ascii="Times New Roman" w:hAnsi="Times New Roman" w:cs="Times New Roman"/>
          <w:b w:val="0"/>
          <w:bCs w:val="0"/>
          <w:color w:val="auto"/>
          <w:lang w:val="en-US" w:eastAsia="zh-CN"/>
        </w:rPr>
        <w:t>物贸一体化功能区等临港区域开发，优先建设</w:t>
      </w:r>
      <w:r>
        <w:rPr>
          <w:rFonts w:hint="eastAsia" w:cs="Times New Roman"/>
          <w:b w:val="0"/>
          <w:bCs w:val="0"/>
          <w:color w:val="auto"/>
          <w:lang w:val="en-US" w:eastAsia="zh-CN"/>
        </w:rPr>
        <w:t>支路1、</w:t>
      </w:r>
      <w:r>
        <w:rPr>
          <w:rFonts w:hint="default" w:ascii="Times New Roman" w:hAnsi="Times New Roman" w:cs="Times New Roman"/>
          <w:b w:val="0"/>
          <w:bCs w:val="0"/>
          <w:color w:val="auto"/>
          <w:lang w:val="en-US" w:eastAsia="zh-CN"/>
        </w:rPr>
        <w:t>支路</w:t>
      </w:r>
      <w:r>
        <w:rPr>
          <w:rFonts w:hint="eastAsia" w:cs="Times New Roman"/>
          <w:b w:val="0"/>
          <w:bCs w:val="0"/>
          <w:color w:val="auto"/>
          <w:lang w:val="en-US" w:eastAsia="zh-CN"/>
        </w:rPr>
        <w:t>3</w:t>
      </w: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横二路一期</w:t>
      </w: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横三路一期</w:t>
      </w:r>
      <w:r>
        <w:rPr>
          <w:rFonts w:hint="default" w:ascii="Times New Roman" w:hAnsi="Times New Roman" w:cs="Times New Roman"/>
          <w:b w:val="0"/>
          <w:bCs w:val="0"/>
          <w:color w:val="auto"/>
          <w:lang w:val="en-US" w:eastAsia="zh-CN"/>
        </w:rPr>
        <w:t>等城市道路建设</w:t>
      </w:r>
      <w:r>
        <w:rPr>
          <w:rFonts w:hint="eastAsia" w:cs="Times New Roman"/>
          <w:b w:val="0"/>
          <w:bCs w:val="0"/>
          <w:color w:val="auto"/>
          <w:lang w:val="en-US" w:eastAsia="zh-CN"/>
        </w:rPr>
        <w:t>，约3公里</w:t>
      </w:r>
      <w:r>
        <w:rPr>
          <w:rFonts w:hint="default" w:ascii="Times New Roman" w:hAnsi="Times New Roman" w:cs="Times New Roman"/>
          <w:b w:val="0"/>
          <w:bCs w:val="0"/>
          <w:color w:val="auto"/>
          <w:lang w:val="en-US" w:eastAsia="zh-CN"/>
        </w:rPr>
        <w:t>，实现功能区与进港大道、S215快速连通集散，项目总投资约</w:t>
      </w:r>
      <w:r>
        <w:rPr>
          <w:rFonts w:hint="eastAsia" w:cs="Times New Roman"/>
          <w:b w:val="0"/>
          <w:bCs w:val="0"/>
          <w:color w:val="auto"/>
          <w:lang w:val="en-US" w:eastAsia="zh-CN"/>
        </w:rPr>
        <w:t>1.67</w:t>
      </w:r>
      <w:r>
        <w:rPr>
          <w:rFonts w:hint="default" w:ascii="Times New Roman" w:hAnsi="Times New Roman" w:cs="Times New Roman"/>
          <w:b w:val="0"/>
          <w:bCs w:val="0"/>
          <w:color w:val="auto"/>
          <w:lang w:val="en-US" w:eastAsia="zh-CN"/>
        </w:rPr>
        <w:t>亿元</w:t>
      </w:r>
      <w:r>
        <w:rPr>
          <w:rFonts w:hint="eastAsia" w:cs="Times New Roman"/>
          <w:b w:val="0"/>
          <w:bCs w:val="0"/>
          <w:color w:val="auto"/>
          <w:lang w:val="en-US" w:eastAsia="zh-CN"/>
        </w:rPr>
        <w:t>。</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2.拟实施物流项目</w:t>
      </w:r>
    </w:p>
    <w:p>
      <w:pPr>
        <w:spacing w:line="600" w:lineRule="exact"/>
        <w:ind w:firstLine="640" w:firstLineChars="200"/>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港口物流功能区一期，</w:t>
      </w:r>
      <w:r>
        <w:rPr>
          <w:rFonts w:hint="eastAsia" w:ascii="仿宋_GB2312" w:hAnsi="仿宋_GB2312" w:eastAsia="仿宋_GB2312" w:cs="仿宋_GB2312"/>
          <w:color w:val="auto"/>
          <w:sz w:val="32"/>
          <w:szCs w:val="32"/>
          <w:lang w:val="en-US" w:eastAsia="zh-CN"/>
        </w:rPr>
        <w:t>实施乐山港老江坝作业区大件码头一期工程</w:t>
      </w:r>
      <w:r>
        <w:rPr>
          <w:rFonts w:hint="eastAsia" w:ascii="仿宋_GB2312" w:hAnsi="仿宋_GB2312" w:eastAsia="仿宋_GB2312" w:cs="仿宋_GB2312"/>
          <w:b w:val="0"/>
          <w:bCs w:val="0"/>
          <w:color w:val="auto"/>
          <w:sz w:val="32"/>
          <w:szCs w:val="32"/>
          <w:lang w:val="en-US" w:eastAsia="zh-CN"/>
        </w:rPr>
        <w:t>，拟建设1个1000吨级重大件泊位、1个1000吨级多用途泊位、堆场等设施，项目投资约5.26亿元，建设年限为2026—2028年，同步实施乐山港老江坝作业区大件码头进港公路，拟按一级公路技术等级（兼城市道路功能）、大件路技术规范建设0.9公里的进港公路，项目投资约0.9亿元。</w:t>
      </w:r>
    </w:p>
    <w:p>
      <w:pPr>
        <w:pStyle w:val="19"/>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sz w:val="32"/>
          <w:szCs w:val="32"/>
          <w:lang w:val="en-US" w:eastAsia="zh-CN"/>
        </w:rPr>
        <w:t>国际物流功能区一期，</w:t>
      </w:r>
      <w:r>
        <w:rPr>
          <w:rFonts w:hint="eastAsia" w:ascii="仿宋_GB2312" w:hAnsi="仿宋_GB2312" w:eastAsia="仿宋_GB2312" w:cs="仿宋_GB2312"/>
          <w:b w:val="0"/>
          <w:bCs w:val="0"/>
          <w:color w:val="auto"/>
          <w:kern w:val="2"/>
          <w:sz w:val="32"/>
          <w:szCs w:val="32"/>
          <w:lang w:val="en-US" w:eastAsia="zh-CN" w:bidi="ar-SA"/>
        </w:rPr>
        <w:t>按照“</w:t>
      </w:r>
      <w:r>
        <w:rPr>
          <w:rFonts w:hint="eastAsia" w:ascii="仿宋_GB2312" w:hAnsi="仿宋_GB2312" w:eastAsia="仿宋_GB2312" w:cs="仿宋_GB2312"/>
          <w:b w:val="0"/>
          <w:bCs w:val="0"/>
          <w:color w:val="auto"/>
          <w:kern w:val="2"/>
          <w:sz w:val="32"/>
          <w:szCs w:val="22"/>
          <w:lang w:val="en-US" w:eastAsia="zh-CN" w:bidi="ar-SA"/>
        </w:rPr>
        <w:t>边建设、边申请”的思路，申建海关监管作业场所及保税物流中心（B型），拟建设保税仓等保税物流设施，以满足草甘膦、硅料、特色农副产品等主要产品外贸增长需求，项目投资约3.4亿元。项目建成前期可先作为普通物流仓储设施临时使用，待保税物流中心（B型）获批后封关运营。</w:t>
      </w:r>
    </w:p>
    <w:p>
      <w:pPr>
        <w:ind w:firstLine="640"/>
        <w:rPr>
          <w:rFonts w:hint="eastAsia" w:ascii="仿宋_GB2312" w:hAnsi="仿宋_GB2312" w:eastAsia="仿宋_GB2312" w:cs="仿宋_GB2312"/>
          <w:b w:val="0"/>
          <w:bCs w:val="0"/>
          <w:color w:val="auto"/>
          <w:lang w:val="en-US" w:eastAsia="zh-CN"/>
        </w:rPr>
      </w:pPr>
      <w:r>
        <w:rPr>
          <w:rFonts w:hint="eastAsia" w:ascii="仿宋_GB2312" w:hAnsi="仿宋_GB2312" w:eastAsia="仿宋_GB2312" w:cs="仿宋_GB2312"/>
          <w:b w:val="0"/>
          <w:bCs w:val="0"/>
          <w:color w:val="auto"/>
          <w:lang w:val="en-US" w:eastAsia="zh-CN"/>
        </w:rPr>
        <w:t>智慧公路物流功能区一期，</w:t>
      </w:r>
      <w:r>
        <w:rPr>
          <w:rFonts w:hint="eastAsia" w:ascii="仿宋_GB2312" w:hAnsi="仿宋_GB2312" w:eastAsia="仿宋_GB2312" w:cs="仿宋_GB2312"/>
          <w:b w:val="0"/>
          <w:bCs w:val="0"/>
          <w:color w:val="auto"/>
          <w:sz w:val="32"/>
          <w:szCs w:val="32"/>
          <w:lang w:val="en-US" w:eastAsia="zh-CN"/>
        </w:rPr>
        <w:t>实施商贸</w:t>
      </w:r>
      <w:r>
        <w:rPr>
          <w:rFonts w:hint="eastAsia" w:ascii="仿宋_GB2312" w:hAnsi="仿宋_GB2312" w:eastAsia="仿宋_GB2312" w:cs="仿宋_GB2312"/>
          <w:b w:val="0"/>
          <w:bCs w:val="0"/>
          <w:color w:val="auto"/>
          <w:highlight w:val="none"/>
          <w:lang w:val="en-US" w:eastAsia="zh-CN"/>
        </w:rPr>
        <w:t>物流分拨配送中心项目，</w:t>
      </w:r>
      <w:r>
        <w:rPr>
          <w:rFonts w:hint="eastAsia" w:ascii="仿宋_GB2312" w:hAnsi="仿宋_GB2312" w:eastAsia="仿宋_GB2312" w:cs="仿宋_GB2312"/>
          <w:b w:val="0"/>
          <w:bCs w:val="0"/>
          <w:color w:val="auto"/>
          <w:lang w:val="en-US" w:eastAsia="zh-CN"/>
        </w:rPr>
        <w:t>建设生活物资标准仓库、零担物流中心、</w:t>
      </w:r>
      <w:r>
        <w:rPr>
          <w:rFonts w:hint="eastAsia" w:ascii="仿宋_GB2312" w:hAnsi="仿宋_GB2312" w:eastAsia="仿宋_GB2312" w:cs="仿宋_GB2312"/>
          <w:b w:val="0"/>
          <w:bCs w:val="0"/>
          <w:color w:val="auto"/>
          <w:highlight w:val="none"/>
          <w:lang w:val="en-US" w:eastAsia="zh-CN"/>
        </w:rPr>
        <w:t>城市共配中心等公路物流设施项目，服务区域生活物资的集散配送，项目投资约4.5亿元。</w:t>
      </w:r>
    </w:p>
    <w:p>
      <w:pPr>
        <w:spacing w:line="600" w:lineRule="exact"/>
        <w:ind w:left="0" w:leftChars="0" w:firstLine="640" w:firstLineChars="200"/>
        <w:rPr>
          <w:rFonts w:hint="default" w:ascii="Times New Roman" w:hAnsi="Times New Roman" w:cs="Times New Roman"/>
          <w:color w:val="auto"/>
          <w:lang w:val="en-US" w:eastAsia="zh-CN"/>
        </w:rPr>
      </w:pPr>
      <w:r>
        <w:rPr>
          <w:rFonts w:hint="eastAsia" w:ascii="仿宋_GB2312" w:hAnsi="仿宋_GB2312" w:eastAsia="仿宋_GB2312" w:cs="仿宋_GB2312"/>
          <w:b w:val="0"/>
          <w:bCs w:val="0"/>
          <w:color w:val="auto"/>
          <w:lang w:val="en-US" w:eastAsia="zh-CN"/>
        </w:rPr>
        <w:t>大宗商品物贸一体功能区一期，实施大宗商品仓储贸易中心项目，建设大宗商品仓储设施、交易中心</w:t>
      </w:r>
      <w:r>
        <w:rPr>
          <w:rFonts w:hint="eastAsia" w:cs="Times New Roman"/>
          <w:color w:val="auto"/>
          <w:lang w:val="en-US" w:eastAsia="zh-CN"/>
        </w:rPr>
        <w:t>、批发市场等，服务钢材、陶瓷等建材商品仓储、交易、批发以及配送等综合物流服务，适时结合市场需求建设大宗商品期货交割仓库，建设高标准、恒温防潮等期货交割仓库以及配套设施，项目投资约6.0亿元</w:t>
      </w:r>
      <w:r>
        <w:rPr>
          <w:rFonts w:hint="default" w:ascii="Times New Roman" w:hAnsi="Times New Roman" w:cs="Times New Roman"/>
          <w:color w:val="auto"/>
          <w:lang w:val="en-US" w:eastAsia="zh-CN"/>
        </w:rPr>
        <w:t>。</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b w:val="0"/>
          <w:bCs w:val="0"/>
          <w:color w:val="auto"/>
          <w:lang w:val="en-US" w:eastAsia="zh-CN"/>
        </w:rPr>
        <w:t>冷链物流功能区一期，</w:t>
      </w:r>
      <w:r>
        <w:rPr>
          <w:rFonts w:hint="eastAsia" w:ascii="仿宋_GB2312" w:hAnsi="仿宋_GB2312" w:eastAsia="仿宋_GB2312" w:cs="仿宋_GB2312"/>
          <w:color w:val="auto"/>
          <w:lang w:val="en-US" w:eastAsia="zh-CN"/>
        </w:rPr>
        <w:t>实施冷链物流仓储项目，建设多温区仓储设施、低温加工区、中央厨房等冷链仓储加工设施，项目投资约5.5亿元。</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电商快递物流功能区一期，实施电商快递物流产业园一期项目，建设快递区域中转中心、快递智能分拨中心、配送中心等设施，项目投资约6.75亿元。</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医药及应急物流功能区一期，实施</w:t>
      </w:r>
      <w:r>
        <w:rPr>
          <w:rFonts w:hint="eastAsia" w:ascii="仿宋_GB2312" w:hAnsi="仿宋_GB2312" w:eastAsia="仿宋_GB2312" w:cs="仿宋_GB2312"/>
          <w:b w:val="0"/>
          <w:bCs w:val="0"/>
          <w:color w:val="auto"/>
          <w:sz w:val="32"/>
          <w:szCs w:val="32"/>
          <w:lang w:val="en-US" w:eastAsia="zh-CN"/>
        </w:rPr>
        <w:t>应急物资储备中心项目，建设</w:t>
      </w:r>
      <w:r>
        <w:rPr>
          <w:rFonts w:hint="eastAsia" w:ascii="仿宋_GB2312" w:hAnsi="仿宋_GB2312" w:eastAsia="仿宋_GB2312" w:cs="仿宋_GB2312"/>
          <w:color w:val="auto"/>
          <w:szCs w:val="32"/>
          <w:lang w:val="en-US" w:eastAsia="zh-CN"/>
        </w:rPr>
        <w:t>平急两用大仓、应急物资战略储备库、应急周转中心等设施，为乐山市应急物资的</w:t>
      </w:r>
      <w:r>
        <w:rPr>
          <w:rFonts w:hint="eastAsia" w:ascii="仿宋_GB2312" w:hAnsi="仿宋_GB2312" w:eastAsia="仿宋_GB2312" w:cs="仿宋_GB2312"/>
          <w:color w:val="auto"/>
          <w:szCs w:val="32"/>
        </w:rPr>
        <w:t>智能仓储、高效运输</w:t>
      </w:r>
      <w:r>
        <w:rPr>
          <w:rFonts w:hint="eastAsia" w:ascii="仿宋_GB2312" w:hAnsi="仿宋_GB2312" w:eastAsia="仿宋_GB2312" w:cs="仿宋_GB2312"/>
          <w:color w:val="auto"/>
          <w:szCs w:val="32"/>
          <w:lang w:val="en-US" w:eastAsia="zh-CN"/>
        </w:rPr>
        <w:t>提供保障，项目投资约2.25亿元。</w:t>
      </w:r>
    </w:p>
    <w:p>
      <w:pPr>
        <w:spacing w:line="600" w:lineRule="exact"/>
        <w:ind w:firstLine="640" w:firstLineChars="200"/>
        <w:rPr>
          <w:rFonts w:hint="default" w:ascii="Times New Roman" w:hAnsi="Times New Roman" w:cs="Times New Roman"/>
          <w:color w:val="auto"/>
          <w:lang w:val="en-US" w:eastAsia="zh-CN"/>
        </w:rPr>
      </w:pPr>
      <w:r>
        <w:rPr>
          <w:rFonts w:hint="eastAsia" w:ascii="仿宋_GB2312" w:hAnsi="仿宋_GB2312" w:eastAsia="仿宋_GB2312" w:cs="仿宋_GB2312"/>
          <w:b w:val="0"/>
          <w:bCs w:val="0"/>
          <w:color w:val="auto"/>
          <w:lang w:val="en-US" w:eastAsia="zh-CN"/>
        </w:rPr>
        <w:t>供应链集成服务功能区一期，</w:t>
      </w:r>
      <w:r>
        <w:rPr>
          <w:rFonts w:hint="default" w:ascii="Times New Roman" w:hAnsi="Times New Roman" w:cs="Times New Roman"/>
          <w:color w:val="auto"/>
          <w:lang w:val="en-US" w:eastAsia="zh-CN"/>
        </w:rPr>
        <w:t>拟实施供应链集成服务中心一期项目</w:t>
      </w:r>
      <w:r>
        <w:rPr>
          <w:rFonts w:hint="eastAsia" w:cs="Times New Roman"/>
          <w:color w:val="auto"/>
          <w:lang w:val="en-US" w:eastAsia="zh-CN"/>
        </w:rPr>
        <w:t>，建设</w:t>
      </w:r>
      <w:r>
        <w:rPr>
          <w:rFonts w:hint="default" w:ascii="Times New Roman" w:hAnsi="Times New Roman" w:cs="Times New Roman"/>
          <w:color w:val="auto"/>
          <w:lang w:val="en-US" w:eastAsia="zh-CN"/>
        </w:rPr>
        <w:t>乐山市综合物流信息平台，建议以</w:t>
      </w:r>
      <w:r>
        <w:rPr>
          <w:rFonts w:hint="eastAsia" w:cs="Times New Roman"/>
          <w:color w:val="auto"/>
          <w:lang w:val="en-US" w:eastAsia="zh-CN"/>
        </w:rPr>
        <w:t>“</w:t>
      </w:r>
      <w:r>
        <w:rPr>
          <w:rFonts w:hint="default" w:ascii="Times New Roman" w:hAnsi="Times New Roman" w:cs="Times New Roman"/>
          <w:color w:val="auto"/>
          <w:lang w:val="en-US" w:eastAsia="zh-CN"/>
        </w:rPr>
        <w:t>三网融合</w:t>
      </w:r>
      <w:r>
        <w:rPr>
          <w:rFonts w:hint="eastAsia" w:cs="Times New Roman"/>
          <w:color w:val="auto"/>
          <w:lang w:val="en-US" w:eastAsia="zh-CN"/>
        </w:rPr>
        <w:t>”</w:t>
      </w:r>
      <w:r>
        <w:rPr>
          <w:rFonts w:hint="default" w:ascii="Times New Roman" w:hAnsi="Times New Roman" w:cs="Times New Roman"/>
          <w:color w:val="auto"/>
          <w:lang w:val="en-US" w:eastAsia="zh-CN"/>
        </w:rPr>
        <w:t>试点为契机联合</w:t>
      </w:r>
      <w:r>
        <w:rPr>
          <w:rFonts w:hint="eastAsia" w:cs="Times New Roman"/>
          <w:color w:val="auto"/>
          <w:lang w:val="en-US" w:eastAsia="zh-CN"/>
        </w:rPr>
        <w:t>龙头物流企业</w:t>
      </w:r>
      <w:r>
        <w:rPr>
          <w:rFonts w:hint="default" w:ascii="Times New Roman" w:hAnsi="Times New Roman" w:cs="Times New Roman"/>
          <w:color w:val="auto"/>
          <w:lang w:val="en-US" w:eastAsia="zh-CN"/>
        </w:rPr>
        <w:t>共同建设，提供</w:t>
      </w:r>
      <w:r>
        <w:rPr>
          <w:rFonts w:hint="eastAsia" w:cs="Times New Roman"/>
          <w:color w:val="auto"/>
          <w:lang w:val="en-US" w:eastAsia="zh-CN"/>
        </w:rPr>
        <w:t>“</w:t>
      </w:r>
      <w:r>
        <w:rPr>
          <w:rFonts w:hint="default" w:ascii="Times New Roman" w:hAnsi="Times New Roman" w:cs="Times New Roman"/>
          <w:color w:val="auto"/>
          <w:lang w:val="en-US" w:eastAsia="zh-CN"/>
        </w:rPr>
        <w:t>一站式</w:t>
      </w:r>
      <w:r>
        <w:rPr>
          <w:rFonts w:hint="eastAsia" w:cs="Times New Roman"/>
          <w:color w:val="auto"/>
          <w:lang w:val="en-US" w:eastAsia="zh-CN"/>
        </w:rPr>
        <w:t>”</w:t>
      </w:r>
      <w:r>
        <w:rPr>
          <w:rFonts w:hint="default" w:ascii="Times New Roman" w:hAnsi="Times New Roman" w:cs="Times New Roman"/>
          <w:color w:val="auto"/>
          <w:lang w:val="en-US" w:eastAsia="zh-CN"/>
        </w:rPr>
        <w:t>数字物流公共信息服务</w:t>
      </w:r>
      <w:r>
        <w:rPr>
          <w:rFonts w:hint="eastAsia" w:cs="Times New Roman"/>
          <w:color w:val="auto"/>
          <w:lang w:val="en-US" w:eastAsia="zh-CN"/>
        </w:rPr>
        <w:t>，配套建设</w:t>
      </w:r>
      <w:r>
        <w:rPr>
          <w:rFonts w:hint="eastAsia" w:cs="Times New Roman"/>
          <w:color w:val="auto"/>
          <w:sz w:val="32"/>
          <w:szCs w:val="32"/>
          <w:lang w:val="en-US" w:eastAsia="zh-CN"/>
        </w:rPr>
        <w:t>综合能源补给站</w:t>
      </w:r>
      <w:r>
        <w:rPr>
          <w:rFonts w:hint="default" w:ascii="Times New Roman" w:hAnsi="Times New Roman" w:cs="Times New Roman"/>
          <w:color w:val="auto"/>
          <w:lang w:val="en-US" w:eastAsia="zh-CN"/>
        </w:rPr>
        <w:t>等</w:t>
      </w:r>
      <w:r>
        <w:rPr>
          <w:rFonts w:hint="eastAsia" w:cs="Times New Roman"/>
          <w:color w:val="auto"/>
          <w:lang w:val="en-US" w:eastAsia="zh-CN"/>
        </w:rPr>
        <w:t>设施</w:t>
      </w:r>
      <w:r>
        <w:rPr>
          <w:rFonts w:hint="default" w:ascii="Times New Roman" w:hAnsi="Times New Roman" w:cs="Times New Roman"/>
          <w:color w:val="auto"/>
          <w:lang w:val="en-US" w:eastAsia="zh-CN"/>
        </w:rPr>
        <w:t>，项目投资约</w:t>
      </w:r>
      <w:r>
        <w:rPr>
          <w:rFonts w:hint="eastAsia" w:cs="Times New Roman"/>
          <w:color w:val="auto"/>
          <w:lang w:val="en-US" w:eastAsia="zh-CN"/>
        </w:rPr>
        <w:t>2.34</w:t>
      </w:r>
      <w:r>
        <w:rPr>
          <w:rFonts w:hint="default" w:ascii="Times New Roman" w:hAnsi="Times New Roman" w:cs="Times New Roman"/>
          <w:color w:val="auto"/>
          <w:lang w:val="en-US" w:eastAsia="zh-CN"/>
        </w:rPr>
        <w:t>亿元。</w:t>
      </w:r>
    </w:p>
    <w:p>
      <w:pPr>
        <w:spacing w:line="600" w:lineRule="exact"/>
        <w:ind w:firstLine="640" w:firstLineChars="200"/>
        <w:rPr>
          <w:rFonts w:hint="default" w:ascii="Times New Roman" w:hAnsi="Times New Roman" w:cs="Times New Roman"/>
          <w:color w:val="auto"/>
          <w:lang w:val="en-US" w:eastAsia="zh-CN"/>
        </w:rPr>
        <w:sectPr>
          <w:headerReference r:id="rId18" w:type="default"/>
          <w:pgSz w:w="23811" w:h="16838" w:orient="landscape"/>
          <w:pgMar w:top="1800" w:right="1440" w:bottom="1800" w:left="1440" w:header="851" w:footer="992" w:gutter="0"/>
          <w:pgNumType w:fmt="decimal"/>
          <w:cols w:equalWidth="0" w:num="2">
            <w:col w:w="10253" w:space="1280"/>
            <w:col w:w="9398"/>
          </w:cols>
          <w:docGrid w:type="lines" w:linePitch="312" w:charSpace="0"/>
        </w:sectPr>
      </w:pPr>
    </w:p>
    <w:p>
      <w:pPr>
        <w:pStyle w:val="7"/>
        <w:rPr>
          <w:rFonts w:hint="default" w:ascii="Times New Roman" w:hAnsi="Times New Roman" w:eastAsia="楷体"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9</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近期拟实施重点项目</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2278"/>
        <w:gridCol w:w="5097"/>
        <w:gridCol w:w="9051"/>
        <w:gridCol w:w="3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exact"/>
          <w:tblHeader/>
        </w:trPr>
        <w:tc>
          <w:tcPr>
            <w:tcW w:w="308"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序号</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eastAsia="黑体" w:cs="Times New Roman"/>
                <w:color w:val="auto"/>
                <w:sz w:val="24"/>
                <w:szCs w:val="24"/>
                <w:vertAlign w:val="baseline"/>
                <w:lang w:val="en-US" w:eastAsia="zh-CN"/>
              </w:rPr>
              <w:t>分类</w:t>
            </w:r>
          </w:p>
        </w:tc>
        <w:tc>
          <w:tcPr>
            <w:tcW w:w="1217"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项目</w:t>
            </w:r>
          </w:p>
        </w:tc>
        <w:tc>
          <w:tcPr>
            <w:tcW w:w="2160"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建设内容</w:t>
            </w:r>
          </w:p>
        </w:tc>
        <w:tc>
          <w:tcPr>
            <w:tcW w:w="769"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项目投资（亿元）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308"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1</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cs="Times New Roman"/>
                <w:color w:val="auto"/>
                <w:sz w:val="24"/>
                <w:szCs w:val="24"/>
                <w:vertAlign w:val="baseline"/>
                <w:lang w:val="en-US" w:eastAsia="zh-CN"/>
              </w:rPr>
              <w:t>市政道路及公共服务</w:t>
            </w:r>
            <w:r>
              <w:rPr>
                <w:rFonts w:hint="default" w:ascii="Times New Roman" w:hAnsi="Times New Roman" w:cs="Times New Roman"/>
                <w:color w:val="auto"/>
                <w:sz w:val="24"/>
                <w:szCs w:val="24"/>
                <w:vertAlign w:val="baseline"/>
                <w:lang w:val="en-US" w:eastAsia="zh-CN"/>
              </w:rPr>
              <w:t>设施</w:t>
            </w:r>
          </w:p>
        </w:tc>
        <w:tc>
          <w:tcPr>
            <w:tcW w:w="1217"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lang w:val="en-US" w:eastAsia="zh-CN"/>
              </w:rPr>
              <w:t>多式联运基地集疏运道路体系建设一期工程</w:t>
            </w:r>
            <w:r>
              <w:rPr>
                <w:rFonts w:hint="eastAsia" w:cs="Times New Roman"/>
                <w:color w:val="auto"/>
                <w:sz w:val="24"/>
                <w:szCs w:val="24"/>
                <w:lang w:val="en-US" w:eastAsia="zh-CN"/>
              </w:rPr>
              <w:t>（项目3个）</w:t>
            </w:r>
          </w:p>
        </w:tc>
        <w:tc>
          <w:tcPr>
            <w:tcW w:w="216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建设支路1、支路3、横三路一期等城市道路建设，约3公里</w:t>
            </w:r>
          </w:p>
        </w:tc>
        <w:tc>
          <w:tcPr>
            <w:tcW w:w="769"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trPr>
        <w:tc>
          <w:tcPr>
            <w:tcW w:w="308"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2</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港口物流功能区</w:t>
            </w:r>
            <w:r>
              <w:rPr>
                <w:rFonts w:hint="eastAsia" w:cs="Times New Roman"/>
                <w:color w:val="auto"/>
                <w:sz w:val="24"/>
                <w:szCs w:val="24"/>
                <w:vertAlign w:val="baseline"/>
                <w:lang w:val="en-US" w:eastAsia="zh-CN"/>
              </w:rPr>
              <w:t>一期</w:t>
            </w:r>
          </w:p>
        </w:tc>
        <w:tc>
          <w:tcPr>
            <w:tcW w:w="1217"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仿宋_GB2312" w:cs="Times New Roman"/>
                <w:color w:val="auto"/>
                <w:sz w:val="24"/>
                <w:szCs w:val="24"/>
                <w:vertAlign w:val="baseline"/>
                <w:lang w:val="en-US" w:eastAsia="zh-CN"/>
              </w:rPr>
            </w:pPr>
            <w:r>
              <w:rPr>
                <w:rFonts w:hint="default" w:ascii="Times New Roman" w:hAnsi="Times New Roman" w:cs="Times New Roman"/>
                <w:color w:val="auto"/>
                <w:sz w:val="24"/>
                <w:szCs w:val="24"/>
              </w:rPr>
              <w:t>乐山港老江坝作业区大件码头一期工程</w:t>
            </w:r>
            <w:r>
              <w:rPr>
                <w:rFonts w:hint="eastAsia" w:cs="Times New Roman"/>
                <w:color w:val="auto"/>
                <w:sz w:val="24"/>
                <w:szCs w:val="24"/>
                <w:lang w:eastAsia="zh-CN"/>
              </w:rPr>
              <w:t>（</w:t>
            </w:r>
            <w:r>
              <w:rPr>
                <w:rFonts w:hint="eastAsia" w:cs="Times New Roman"/>
                <w:color w:val="auto"/>
                <w:sz w:val="24"/>
                <w:szCs w:val="24"/>
                <w:lang w:val="en-US" w:eastAsia="zh-CN"/>
              </w:rPr>
              <w:t>含进港公路</w:t>
            </w:r>
            <w:r>
              <w:rPr>
                <w:rFonts w:hint="eastAsia" w:cs="Times New Roman"/>
                <w:color w:val="auto"/>
                <w:sz w:val="24"/>
                <w:szCs w:val="24"/>
                <w:lang w:eastAsia="zh-CN"/>
              </w:rPr>
              <w:t>）</w:t>
            </w:r>
          </w:p>
        </w:tc>
        <w:tc>
          <w:tcPr>
            <w:tcW w:w="21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建设1个1000吨级重大件泊位、1个1000吨级多用途泊位、堆场等设施</w:t>
            </w:r>
            <w:r>
              <w:rPr>
                <w:rFonts w:hint="eastAsia" w:ascii="Times New Roman" w:hAnsi="Times New Roman" w:cs="Times New Roman"/>
                <w:color w:val="auto"/>
                <w:sz w:val="24"/>
                <w:szCs w:val="24"/>
                <w:vertAlign w:val="baseline"/>
                <w:lang w:val="en-US" w:eastAsia="zh-CN"/>
              </w:rPr>
              <w:t>。</w:t>
            </w:r>
            <w:r>
              <w:rPr>
                <w:rFonts w:hint="default" w:ascii="Times New Roman" w:hAnsi="Times New Roman" w:cs="Times New Roman"/>
                <w:color w:val="auto"/>
                <w:sz w:val="24"/>
                <w:szCs w:val="24"/>
                <w:vertAlign w:val="baseline"/>
                <w:lang w:val="en-US" w:eastAsia="zh-CN"/>
              </w:rPr>
              <w:t>拟按一级公路技术等级（兼城市道路功能）、大件路技术规范建设0.9公里的进港公路</w:t>
            </w:r>
          </w:p>
        </w:tc>
        <w:tc>
          <w:tcPr>
            <w:tcW w:w="769"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308"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3</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4"/>
                <w:szCs w:val="24"/>
                <w:vertAlign w:val="baseline"/>
                <w:lang w:val="en-US" w:eastAsia="zh-CN"/>
              </w:rPr>
            </w:pPr>
            <w:r>
              <w:rPr>
                <w:rFonts w:hint="eastAsia" w:cs="Times New Roman"/>
                <w:color w:val="auto"/>
                <w:sz w:val="24"/>
                <w:szCs w:val="24"/>
                <w:vertAlign w:val="baseline"/>
                <w:lang w:val="en-US" w:eastAsia="zh-CN"/>
              </w:rPr>
              <w:t>国际物流功能区一期</w:t>
            </w:r>
          </w:p>
        </w:tc>
        <w:tc>
          <w:tcPr>
            <w:tcW w:w="1217"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申建海关监管作业场所及保税物流中心（B型）</w:t>
            </w:r>
          </w:p>
        </w:tc>
        <w:tc>
          <w:tcPr>
            <w:tcW w:w="21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w:t>
            </w:r>
            <w:r>
              <w:rPr>
                <w:rFonts w:hint="eastAsia" w:cs="Times New Roman"/>
                <w:color w:val="auto"/>
                <w:sz w:val="24"/>
                <w:szCs w:val="24"/>
                <w:vertAlign w:val="baseline"/>
                <w:lang w:val="en-US" w:eastAsia="zh-CN"/>
              </w:rPr>
              <w:t>海关监管作业场所</w:t>
            </w:r>
            <w:r>
              <w:rPr>
                <w:rFonts w:hint="default" w:ascii="Times New Roman" w:hAnsi="Times New Roman" w:cs="Times New Roman"/>
                <w:color w:val="auto"/>
                <w:sz w:val="24"/>
                <w:szCs w:val="24"/>
                <w:vertAlign w:val="baseline"/>
                <w:lang w:val="en-US" w:eastAsia="zh-CN"/>
              </w:rPr>
              <w:t>、保税仓等保税物流设施</w:t>
            </w:r>
          </w:p>
        </w:tc>
        <w:tc>
          <w:tcPr>
            <w:tcW w:w="769"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308"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cs="Times New Roman"/>
                <w:color w:val="auto"/>
                <w:kern w:val="2"/>
                <w:sz w:val="24"/>
                <w:szCs w:val="24"/>
                <w:vertAlign w:val="baseline"/>
                <w:lang w:val="en-US" w:eastAsia="zh-CN" w:bidi="ar-SA"/>
              </w:rPr>
              <w:t>4</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智慧公路物流功能区一期</w:t>
            </w:r>
          </w:p>
        </w:tc>
        <w:tc>
          <w:tcPr>
            <w:tcW w:w="1217"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商贸物流分拨配送中心项目</w:t>
            </w:r>
          </w:p>
        </w:tc>
        <w:tc>
          <w:tcPr>
            <w:tcW w:w="21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建设生活物资标准仓库、零担物流中心、城市共配中心等物流设施</w:t>
            </w:r>
          </w:p>
        </w:tc>
        <w:tc>
          <w:tcPr>
            <w:tcW w:w="769"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rPr>
        <w:tc>
          <w:tcPr>
            <w:tcW w:w="308"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5</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大宗商品物贸一体功能区</w:t>
            </w:r>
            <w:r>
              <w:rPr>
                <w:rFonts w:hint="eastAsia" w:cs="Times New Roman"/>
                <w:color w:val="auto"/>
                <w:sz w:val="24"/>
                <w:szCs w:val="24"/>
                <w:vertAlign w:val="baseline"/>
                <w:lang w:val="en-US" w:eastAsia="zh-CN"/>
              </w:rPr>
              <w:t>一期</w:t>
            </w:r>
          </w:p>
        </w:tc>
        <w:tc>
          <w:tcPr>
            <w:tcW w:w="1217"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大宗商品仓储贸易中心项目</w:t>
            </w:r>
          </w:p>
        </w:tc>
        <w:tc>
          <w:tcPr>
            <w:tcW w:w="21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建设大宗商品仓储设施、交易中心、批发市场等</w:t>
            </w:r>
            <w:r>
              <w:rPr>
                <w:rFonts w:hint="eastAsia" w:cs="Times New Roman"/>
                <w:color w:val="auto"/>
                <w:sz w:val="24"/>
                <w:szCs w:val="24"/>
                <w:vertAlign w:val="baseline"/>
                <w:lang w:val="en-US" w:eastAsia="zh-CN"/>
              </w:rPr>
              <w:t>，远期结合需求申建大宗商品</w:t>
            </w:r>
            <w:r>
              <w:rPr>
                <w:rFonts w:hint="default" w:ascii="Times New Roman" w:hAnsi="Times New Roman" w:cs="Times New Roman"/>
                <w:color w:val="auto"/>
                <w:sz w:val="24"/>
                <w:szCs w:val="24"/>
                <w:vertAlign w:val="baseline"/>
                <w:lang w:val="en-US" w:eastAsia="zh-CN"/>
              </w:rPr>
              <w:t>期货交割仓库</w:t>
            </w:r>
          </w:p>
        </w:tc>
        <w:tc>
          <w:tcPr>
            <w:tcW w:w="769"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308"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6</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冷链物流功能区一期</w:t>
            </w:r>
          </w:p>
        </w:tc>
        <w:tc>
          <w:tcPr>
            <w:tcW w:w="1217"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冷链物流仓储项目</w:t>
            </w:r>
          </w:p>
        </w:tc>
        <w:tc>
          <w:tcPr>
            <w:tcW w:w="21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建设多温区仓储设施、低温加工区、中央厨房等冷链仓储加工设施</w:t>
            </w:r>
          </w:p>
        </w:tc>
        <w:tc>
          <w:tcPr>
            <w:tcW w:w="769"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308"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7</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电商快递物流功能区一期</w:t>
            </w:r>
          </w:p>
        </w:tc>
        <w:tc>
          <w:tcPr>
            <w:tcW w:w="1217"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电商快递物流产业园一期</w:t>
            </w:r>
            <w:r>
              <w:rPr>
                <w:rFonts w:hint="eastAsia" w:cs="Times New Roman"/>
                <w:color w:val="auto"/>
                <w:sz w:val="24"/>
                <w:szCs w:val="24"/>
                <w:vertAlign w:val="baseline"/>
                <w:lang w:val="en-US" w:eastAsia="zh-CN"/>
              </w:rPr>
              <w:t>工程</w:t>
            </w:r>
          </w:p>
        </w:tc>
        <w:tc>
          <w:tcPr>
            <w:tcW w:w="21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建设快递区域中转中心、快递智能分拨中心、配送中心等设施</w:t>
            </w:r>
          </w:p>
        </w:tc>
        <w:tc>
          <w:tcPr>
            <w:tcW w:w="769"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08"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8</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医药及应急物流功能区一期</w:t>
            </w:r>
          </w:p>
        </w:tc>
        <w:tc>
          <w:tcPr>
            <w:tcW w:w="1217"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应急物资储备中心项目</w:t>
            </w:r>
          </w:p>
        </w:tc>
        <w:tc>
          <w:tcPr>
            <w:tcW w:w="21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建设平急两用大仓、应急物资战略储备库、应急周转中心等设施</w:t>
            </w:r>
          </w:p>
        </w:tc>
        <w:tc>
          <w:tcPr>
            <w:tcW w:w="769"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308" w:type="pct"/>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9</w:t>
            </w:r>
          </w:p>
        </w:tc>
        <w:tc>
          <w:tcPr>
            <w:tcW w:w="544"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供应链集成服务功能区</w:t>
            </w:r>
            <w:r>
              <w:rPr>
                <w:rFonts w:hint="eastAsia" w:cs="Times New Roman"/>
                <w:color w:val="auto"/>
                <w:sz w:val="24"/>
                <w:szCs w:val="24"/>
                <w:vertAlign w:val="baseline"/>
                <w:lang w:val="en-US" w:eastAsia="zh-CN"/>
              </w:rPr>
              <w:t>一期</w:t>
            </w:r>
          </w:p>
        </w:tc>
        <w:tc>
          <w:tcPr>
            <w:tcW w:w="1217"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供应链集成服务中心</w:t>
            </w:r>
            <w:r>
              <w:rPr>
                <w:rFonts w:hint="eastAsia" w:cs="Times New Roman"/>
                <w:color w:val="auto"/>
                <w:sz w:val="24"/>
                <w:szCs w:val="24"/>
                <w:vertAlign w:val="baseline"/>
                <w:lang w:val="en-US" w:eastAsia="zh-CN"/>
              </w:rPr>
              <w:t>一期项目</w:t>
            </w:r>
          </w:p>
        </w:tc>
        <w:tc>
          <w:tcPr>
            <w:tcW w:w="216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建设供应链物流运营中心、综合物流配套服务中心</w:t>
            </w:r>
            <w:r>
              <w:rPr>
                <w:rFonts w:hint="eastAsia" w:cs="Times New Roman"/>
                <w:color w:val="auto"/>
                <w:sz w:val="24"/>
                <w:szCs w:val="24"/>
                <w:vertAlign w:val="baseline"/>
                <w:lang w:val="en-US" w:eastAsia="zh-CN"/>
              </w:rPr>
              <w:t>、综合能源补给站</w:t>
            </w:r>
            <w:r>
              <w:rPr>
                <w:rFonts w:hint="default" w:ascii="Times New Roman" w:hAnsi="Times New Roman" w:cs="Times New Roman"/>
                <w:color w:val="auto"/>
                <w:sz w:val="24"/>
                <w:szCs w:val="24"/>
                <w:vertAlign w:val="baseline"/>
                <w:lang w:val="en-US" w:eastAsia="zh-CN"/>
              </w:rPr>
              <w:t>等</w:t>
            </w:r>
          </w:p>
        </w:tc>
        <w:tc>
          <w:tcPr>
            <w:tcW w:w="769" w:type="pct"/>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30" w:type="pct"/>
            <w:gridSpan w:val="4"/>
            <w:shd w:val="clear" w:color="auto" w:fill="auto"/>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合计</w:t>
            </w:r>
          </w:p>
        </w:tc>
        <w:tc>
          <w:tcPr>
            <w:tcW w:w="769" w:type="pct"/>
            <w:tcMar>
              <w:top w:w="0" w:type="dxa"/>
              <w:left w:w="0" w:type="dxa"/>
              <w:bottom w:w="0" w:type="dxa"/>
              <w:right w:w="0" w:type="dxa"/>
            </w:tcMar>
            <w:vAlign w:val="center"/>
          </w:tcPr>
          <w:p>
            <w:pPr>
              <w:pStyle w:val="7"/>
              <w:keepNext w:val="0"/>
              <w:keepLines w:val="0"/>
              <w:pageBreakBefore w:val="0"/>
              <w:widowControl w:val="0"/>
              <w:kinsoku/>
              <w:wordWrap/>
              <w:overflowPunct/>
              <w:topLinePunct w:val="0"/>
              <w:autoSpaceDE/>
              <w:autoSpaceDN/>
              <w:bidi w:val="0"/>
              <w:adjustRightInd w:val="0"/>
              <w:snapToGrid w:val="0"/>
              <w:ind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38.57</w:t>
            </w:r>
          </w:p>
        </w:tc>
      </w:tr>
    </w:tbl>
    <w:p>
      <w:pPr>
        <w:spacing w:line="600" w:lineRule="exact"/>
        <w:ind w:firstLine="640" w:firstLineChars="200"/>
        <w:rPr>
          <w:rFonts w:hint="default" w:ascii="Times New Roman" w:hAnsi="Times New Roman" w:cs="Times New Roman"/>
          <w:color w:val="auto"/>
          <w:lang w:val="en-US" w:eastAsia="zh-CN"/>
        </w:rPr>
      </w:pPr>
    </w:p>
    <w:p>
      <w:pPr>
        <w:spacing w:line="600" w:lineRule="exact"/>
        <w:ind w:firstLine="640" w:firstLineChars="200"/>
        <w:rPr>
          <w:rFonts w:hint="default" w:ascii="Times New Roman" w:hAnsi="Times New Roman" w:cs="Times New Roman"/>
          <w:color w:val="auto"/>
          <w:lang w:val="en-US" w:eastAsia="zh-CN"/>
        </w:rPr>
        <w:sectPr>
          <w:pgSz w:w="23811" w:h="16838" w:orient="landscape"/>
          <w:pgMar w:top="1800" w:right="1440" w:bottom="1800" w:left="1440" w:header="851" w:footer="992" w:gutter="0"/>
          <w:pgNumType w:fmt="decimal"/>
          <w:cols w:space="425" w:num="1"/>
          <w:docGrid w:type="lines" w:linePitch="312" w:charSpace="0"/>
        </w:sectPr>
      </w:pPr>
    </w:p>
    <w:p>
      <w:pPr>
        <w:bidi w:val="0"/>
        <w:rPr>
          <w:rFonts w:hint="default" w:cs="Times New Roman"/>
          <w:b/>
          <w:bCs/>
          <w:color w:val="auto"/>
          <w:lang w:val="en-US" w:eastAsia="zh-CN"/>
        </w:rPr>
      </w:pPr>
      <w:r>
        <w:rPr>
          <w:rFonts w:hint="eastAsia" w:cs="Times New Roman"/>
          <w:b/>
          <w:bCs/>
          <w:color w:val="auto"/>
          <w:lang w:val="en-US" w:eastAsia="zh-CN"/>
        </w:rPr>
        <w:t>3.</w:t>
      </w:r>
      <w:r>
        <w:rPr>
          <w:rFonts w:hint="default" w:cs="Times New Roman"/>
          <w:b/>
          <w:bCs/>
          <w:color w:val="auto"/>
          <w:lang w:val="en-US" w:eastAsia="zh-CN"/>
        </w:rPr>
        <w:t>近期建设项目用地需求</w:t>
      </w:r>
    </w:p>
    <w:p>
      <w:pPr>
        <w:rPr>
          <w:rFonts w:hint="eastAsia" w:ascii="Times New Roman" w:hAnsi="Times New Roman" w:cs="Times New Roman"/>
          <w:b w:val="0"/>
          <w:bCs w:val="0"/>
          <w:color w:val="auto"/>
          <w:lang w:val="en-US" w:eastAsia="zh-CN"/>
        </w:rPr>
      </w:pPr>
      <w:r>
        <w:rPr>
          <w:rFonts w:hint="eastAsia" w:ascii="Times New Roman" w:hAnsi="Times New Roman" w:cs="Times New Roman"/>
          <w:b w:val="0"/>
          <w:bCs w:val="0"/>
          <w:color w:val="auto"/>
          <w:lang w:val="en-US" w:eastAsia="zh-CN"/>
        </w:rPr>
        <w:t>近期建设项目累计占地面积1916亩，其中大件码头一期用地</w:t>
      </w:r>
      <w:r>
        <w:rPr>
          <w:rFonts w:hint="eastAsia" w:cs="Times New Roman"/>
          <w:b w:val="0"/>
          <w:bCs w:val="0"/>
          <w:color w:val="auto"/>
          <w:lang w:val="en-US" w:eastAsia="zh-CN"/>
        </w:rPr>
        <w:t>279亩</w:t>
      </w:r>
      <w:r>
        <w:rPr>
          <w:rFonts w:hint="eastAsia" w:ascii="Times New Roman" w:hAnsi="Times New Roman" w:cs="Times New Roman"/>
          <w:b w:val="0"/>
          <w:bCs w:val="0"/>
          <w:color w:val="auto"/>
          <w:lang w:val="en-US" w:eastAsia="zh-CN"/>
        </w:rPr>
        <w:t>已通过重大交通项目独立选址落实，其他项目已纳入城镇开发边界累计76亩，仍需调整新增纳入城镇开发边界1561亩。</w:t>
      </w:r>
    </w:p>
    <w:p>
      <w:pPr>
        <w:pStyle w:val="7"/>
        <w:rPr>
          <w:rFonts w:hint="eastAsia" w:eastAsia="宋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2</w:t>
      </w:r>
      <w:r>
        <w:rPr>
          <w:color w:val="auto"/>
        </w:rPr>
        <w:fldChar w:fldCharType="end"/>
      </w:r>
      <w:r>
        <w:rPr>
          <w:rFonts w:hint="eastAsia"/>
          <w:color w:val="auto"/>
          <w:lang w:val="en-US" w:eastAsia="zh-CN"/>
        </w:rPr>
        <w:t xml:space="preserve"> 近期建设项目用地需求表</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3817"/>
        <w:gridCol w:w="1726"/>
        <w:gridCol w:w="2077"/>
        <w:gridCol w:w="2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64"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黑体" w:hAnsi="黑体" w:eastAsia="黑体" w:cs="黑体"/>
                <w:color w:val="auto"/>
                <w:szCs w:val="24"/>
              </w:rPr>
            </w:pPr>
            <w:r>
              <w:rPr>
                <w:rFonts w:hint="eastAsia" w:ascii="黑体" w:hAnsi="黑体" w:eastAsia="黑体" w:cs="黑体"/>
                <w:b w:val="0"/>
                <w:bCs w:val="0"/>
                <w:color w:val="auto"/>
                <w:sz w:val="24"/>
                <w:szCs w:val="24"/>
              </w:rPr>
              <w:t>近期建设项目</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黑体" w:hAnsi="黑体" w:eastAsia="黑体" w:cs="黑体"/>
                <w:color w:val="auto"/>
                <w:szCs w:val="24"/>
              </w:rPr>
            </w:pPr>
            <w:r>
              <w:rPr>
                <w:rFonts w:hint="eastAsia" w:ascii="黑体" w:hAnsi="黑体" w:eastAsia="黑体" w:cs="黑体"/>
                <w:b w:val="0"/>
                <w:bCs w:val="0"/>
                <w:color w:val="auto"/>
                <w:sz w:val="24"/>
                <w:szCs w:val="24"/>
              </w:rPr>
              <w:t>占地面积（亩）</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黑体" w:hAnsi="黑体" w:eastAsia="黑体" w:cs="黑体"/>
                <w:color w:val="auto"/>
                <w:szCs w:val="24"/>
              </w:rPr>
            </w:pPr>
            <w:r>
              <w:rPr>
                <w:rFonts w:hint="eastAsia" w:ascii="黑体" w:hAnsi="黑体" w:eastAsia="黑体" w:cs="黑体"/>
                <w:b w:val="0"/>
                <w:bCs w:val="0"/>
                <w:color w:val="auto"/>
                <w:sz w:val="24"/>
                <w:szCs w:val="24"/>
              </w:rPr>
              <w:t>已纳入城镇开发边界（亩）</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黑体" w:hAnsi="黑体" w:eastAsia="黑体" w:cs="黑体"/>
                <w:color w:val="auto"/>
                <w:szCs w:val="24"/>
              </w:rPr>
            </w:pPr>
            <w:r>
              <w:rPr>
                <w:rFonts w:hint="eastAsia" w:ascii="黑体" w:hAnsi="黑体" w:eastAsia="黑体" w:cs="黑体"/>
                <w:b w:val="0"/>
                <w:bCs w:val="0"/>
                <w:color w:val="auto"/>
                <w:sz w:val="24"/>
                <w:szCs w:val="24"/>
              </w:rPr>
              <w:t>需调整纳入城镇开发边界（亩）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color w:val="auto"/>
                <w:sz w:val="24"/>
                <w:szCs w:val="24"/>
              </w:rPr>
              <w:t>大件码头一期（含进港公路）</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279</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0</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color w:val="auto"/>
                <w:sz w:val="24"/>
                <w:szCs w:val="24"/>
              </w:rPr>
              <w:t>国际物流功能区一期</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170</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0</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color w:val="auto"/>
                <w:sz w:val="24"/>
                <w:szCs w:val="24"/>
              </w:rPr>
              <w:t>大宗商品物贸一体功能区一期</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300</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0</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color w:val="auto"/>
                <w:sz w:val="24"/>
                <w:szCs w:val="24"/>
              </w:rPr>
              <w:t>智慧公路物流功能区一期</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300</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0</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color w:val="auto"/>
                <w:sz w:val="24"/>
                <w:szCs w:val="24"/>
              </w:rPr>
              <w:t>供应链集成服务功能区一期</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117</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0</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color w:val="auto"/>
                <w:sz w:val="24"/>
                <w:szCs w:val="24"/>
              </w:rPr>
              <w:t>医药及应急物流功能区一期</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150</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0</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color w:val="auto"/>
                <w:sz w:val="24"/>
                <w:szCs w:val="24"/>
              </w:rPr>
              <w:t>冷链物流功能区一期</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220</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24</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6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color w:val="auto"/>
                <w:sz w:val="24"/>
                <w:szCs w:val="24"/>
              </w:rPr>
              <w:t>电商快递物流功能区一期</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270</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52</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color w:val="auto"/>
                <w:sz w:val="24"/>
                <w:szCs w:val="24"/>
              </w:rPr>
              <w:t>城市道路等配套设施（3个项目）</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110</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0</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color w:val="auto"/>
                <w:sz w:val="24"/>
                <w:szCs w:val="24"/>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trPr>
        <w:tc>
          <w:tcPr>
            <w:tcW w:w="1900"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eastAsia" w:ascii="仿宋_GB2312" w:hAnsi="仿宋_GB2312" w:cs="仿宋_GB2312"/>
                <w:color w:val="auto"/>
                <w:szCs w:val="24"/>
              </w:rPr>
            </w:pPr>
            <w:r>
              <w:rPr>
                <w:rFonts w:hint="eastAsia" w:ascii="仿宋_GB2312" w:hAnsi="仿宋_GB2312" w:cs="仿宋_GB2312"/>
                <w:b/>
                <w:bCs/>
                <w:color w:val="auto"/>
                <w:sz w:val="24"/>
                <w:szCs w:val="24"/>
              </w:rPr>
              <w:t>合计</w:t>
            </w:r>
          </w:p>
        </w:tc>
        <w:tc>
          <w:tcPr>
            <w:tcW w:w="859"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b/>
                <w:bCs/>
                <w:color w:val="auto"/>
                <w:sz w:val="24"/>
                <w:szCs w:val="24"/>
              </w:rPr>
              <w:t>1916</w:t>
            </w:r>
          </w:p>
        </w:tc>
        <w:tc>
          <w:tcPr>
            <w:tcW w:w="103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b/>
                <w:bCs/>
                <w:color w:val="auto"/>
                <w:sz w:val="24"/>
                <w:szCs w:val="24"/>
              </w:rPr>
              <w:t>76</w:t>
            </w:r>
          </w:p>
        </w:tc>
        <w:tc>
          <w:tcPr>
            <w:tcW w:w="1204" w:type="pct"/>
            <w:shd w:val="clear" w:color="auto" w:fill="auto"/>
            <w:tcMar>
              <w:left w:w="108" w:type="dxa"/>
              <w:right w:w="108" w:type="dxa"/>
            </w:tcMar>
            <w:vAlign w:val="center"/>
          </w:tcPr>
          <w:p>
            <w:pPr>
              <w:pStyle w:val="18"/>
              <w:keepNext w:val="0"/>
              <w:keepLines w:val="0"/>
              <w:widowControl/>
              <w:suppressLineNumbers w:val="0"/>
              <w:kinsoku/>
              <w:wordWrap/>
              <w:overflowPunct/>
              <w:adjustRightInd w:val="0"/>
              <w:snapToGrid w:val="0"/>
              <w:spacing w:line="240" w:lineRule="auto"/>
              <w:ind w:firstLine="0" w:firstLineChars="0"/>
              <w:jc w:val="center"/>
              <w:rPr>
                <w:rFonts w:hint="default" w:cs="Times New Roman"/>
                <w:color w:val="auto"/>
                <w:szCs w:val="24"/>
              </w:rPr>
            </w:pPr>
            <w:r>
              <w:rPr>
                <w:rFonts w:hint="default" w:cs="Times New Roman"/>
                <w:b/>
                <w:bCs/>
                <w:color w:val="auto"/>
                <w:sz w:val="24"/>
                <w:szCs w:val="24"/>
              </w:rPr>
              <w:t>1561</w:t>
            </w:r>
          </w:p>
        </w:tc>
      </w:tr>
    </w:tbl>
    <w:p>
      <w:pPr>
        <w:pStyle w:val="19"/>
        <w:bidi w:val="0"/>
        <w:rPr>
          <w:rFonts w:hint="eastAsia"/>
          <w:color w:val="auto"/>
          <w:lang w:val="en-US" w:eastAsia="zh-CN"/>
        </w:rPr>
      </w:pPr>
    </w:p>
    <w:p>
      <w:pPr>
        <w:pStyle w:val="27"/>
        <w:bidi w:val="0"/>
        <w:rPr>
          <w:color w:val="auto"/>
        </w:rPr>
      </w:pPr>
      <w:r>
        <w:rPr>
          <w:color w:val="auto"/>
        </w:rPr>
        <w:drawing>
          <wp:inline distT="0" distB="0" distL="114300" distR="114300">
            <wp:extent cx="5534660" cy="6587490"/>
            <wp:effectExtent l="0" t="0" r="889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5"/>
                    <a:stretch>
                      <a:fillRect/>
                    </a:stretch>
                  </pic:blipFill>
                  <pic:spPr>
                    <a:xfrm>
                      <a:off x="0" y="0"/>
                      <a:ext cx="5534660" cy="6587490"/>
                    </a:xfrm>
                    <a:prstGeom prst="rect">
                      <a:avLst/>
                    </a:prstGeom>
                    <a:noFill/>
                    <a:ln>
                      <a:noFill/>
                    </a:ln>
                  </pic:spPr>
                </pic:pic>
              </a:graphicData>
            </a:graphic>
          </wp:inline>
        </w:drawing>
      </w:r>
    </w:p>
    <w:p>
      <w:pPr>
        <w:pStyle w:val="7"/>
        <w:bidi w:val="0"/>
        <w:rPr>
          <w:rFonts w:hint="default" w:eastAsia="楷体"/>
          <w:color w:val="auto"/>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w:t>
      </w:r>
      <w:r>
        <w:rPr>
          <w:color w:val="auto"/>
        </w:rPr>
        <w:fldChar w:fldCharType="end"/>
      </w:r>
      <w:r>
        <w:rPr>
          <w:rFonts w:hint="eastAsia"/>
          <w:color w:val="auto"/>
          <w:lang w:val="en-US" w:eastAsia="zh-CN"/>
        </w:rPr>
        <w:t xml:space="preserve"> 建设用地需求分析</w:t>
      </w:r>
    </w:p>
    <w:p>
      <w:pPr>
        <w:bidi w:val="0"/>
        <w:rPr>
          <w:rFonts w:hint="default" w:cs="Times New Roman"/>
          <w:b/>
          <w:bCs/>
          <w:color w:val="auto"/>
          <w:lang w:val="en-US" w:eastAsia="zh-CN"/>
        </w:rPr>
      </w:pPr>
      <w:r>
        <w:rPr>
          <w:rFonts w:hint="eastAsia" w:cs="Times New Roman"/>
          <w:b/>
          <w:bCs/>
          <w:color w:val="auto"/>
          <w:lang w:val="en-US" w:eastAsia="zh-CN"/>
        </w:rPr>
        <w:t>4.用地管控及用地保障</w:t>
      </w:r>
    </w:p>
    <w:p>
      <w:pPr>
        <w:bidi w:val="0"/>
        <w:rPr>
          <w:rFonts w:hint="eastAsia"/>
          <w:color w:val="auto"/>
          <w:lang w:val="en-US" w:eastAsia="zh-CN"/>
        </w:rPr>
      </w:pPr>
      <w:r>
        <w:rPr>
          <w:rFonts w:hint="eastAsia"/>
          <w:color w:val="auto"/>
          <w:lang w:val="en-US" w:eastAsia="zh-CN"/>
        </w:rPr>
        <w:t>依据《乐山市三江岸线保护条例》，岷江河道管理范围边界向陆域水平延伸不少于80米区域为严格保护区，禁止从事其他任何开发性、生产性建设活动，本规划中沿岷江一侧布局的功能区中除港口物流功能区外均严格按照用地边界距河道管理范围边界80米控制。</w:t>
      </w:r>
    </w:p>
    <w:p>
      <w:pPr>
        <w:keepNext w:val="0"/>
        <w:keepLines w:val="0"/>
        <w:widowControl/>
        <w:suppressLineNumbers w:val="0"/>
        <w:jc w:val="left"/>
        <w:rPr>
          <w:rFonts w:hint="default"/>
          <w:color w:val="auto"/>
          <w:lang w:val="en-US" w:eastAsia="zh-CN"/>
        </w:rPr>
      </w:pPr>
      <w:r>
        <w:rPr>
          <w:rFonts w:hint="eastAsia" w:cs="Times New Roman"/>
          <w:color w:val="auto"/>
          <w:sz w:val="32"/>
          <w:szCs w:val="32"/>
          <w:highlight w:val="none"/>
          <w:lang w:val="en-US" w:eastAsia="zh-CN"/>
        </w:rPr>
        <w:t>在项目（含近远期项目）推进过程中，优先启动城镇开发边界调整工作。建议抓好即将开展的全市国土空间规划五年评估工作契机，将项目首先纳入市级重点项目清单。同时，争取项目提档升级，纳入省级相关部门的“十五五”重点项目。依据城镇开发边界调整机制，对城镇开发边界进行优化调整，将示范基地规划项目特别是近期建设项目用地范围纳入城镇开发边界，保障项目用地的合法性。统筹解决用地指标，做好用地规模控制和预留，确保物流用地规模、土地性质和空间位置长期稳定，保障园区及集疏运体系项目及时落地</w:t>
      </w:r>
      <w:r>
        <w:rPr>
          <w:rFonts w:hint="default" w:cs="Times New Roman"/>
          <w:color w:val="auto"/>
          <w:sz w:val="32"/>
          <w:szCs w:val="32"/>
          <w:highlight w:val="none"/>
          <w:lang w:val="en-US" w:eastAsia="zh-CN"/>
        </w:rPr>
        <w:t>。</w:t>
      </w:r>
    </w:p>
    <w:p>
      <w:pPr>
        <w:pStyle w:val="4"/>
        <w:bidi w:val="0"/>
        <w:rPr>
          <w:rFonts w:hint="default" w:ascii="Times New Roman" w:hAnsi="Times New Roman" w:cs="Times New Roman"/>
          <w:color w:val="auto"/>
          <w:lang w:val="en-US" w:eastAsia="zh-CN"/>
        </w:rPr>
      </w:pPr>
      <w:bookmarkStart w:id="158" w:name="_Toc280"/>
      <w:r>
        <w:rPr>
          <w:rFonts w:hint="default" w:ascii="Times New Roman" w:hAnsi="Times New Roman" w:cs="Times New Roman"/>
          <w:color w:val="auto"/>
          <w:lang w:val="en-US" w:eastAsia="zh-CN"/>
        </w:rPr>
        <w:t>远期建设计划</w:t>
      </w:r>
      <w:bookmarkEnd w:id="158"/>
    </w:p>
    <w:p>
      <w:pPr>
        <w:spacing w:line="600" w:lineRule="exact"/>
        <w:ind w:firstLine="640" w:firstLineChars="200"/>
        <w:rPr>
          <w:rFonts w:hint="default" w:ascii="Times New Roman" w:hAnsi="Times New Roman" w:eastAsia="仿宋_GB2312" w:cs="Times New Roman"/>
          <w:color w:val="auto"/>
          <w:sz w:val="32"/>
          <w:szCs w:val="32"/>
          <w:highlight w:val="yellow"/>
          <w:lang w:val="en-US" w:eastAsia="zh-CN"/>
        </w:rPr>
      </w:pPr>
      <w:r>
        <w:rPr>
          <w:rFonts w:hint="default" w:ascii="Times New Roman" w:hAnsi="Times New Roman" w:cs="Times New Roman"/>
          <w:color w:val="auto"/>
          <w:sz w:val="32"/>
          <w:szCs w:val="32"/>
          <w:lang w:val="en-US" w:eastAsia="zh-CN"/>
        </w:rPr>
        <w:t>远期重点发展铁路物流、</w:t>
      </w:r>
      <w:r>
        <w:rPr>
          <w:rFonts w:hint="eastAsia" w:cs="Times New Roman"/>
          <w:color w:val="auto"/>
          <w:sz w:val="32"/>
          <w:szCs w:val="32"/>
          <w:lang w:val="en-US" w:eastAsia="zh-CN"/>
        </w:rPr>
        <w:t>粮食物流功能区、</w:t>
      </w:r>
      <w:r>
        <w:rPr>
          <w:rFonts w:hint="default" w:ascii="Times New Roman" w:hAnsi="Times New Roman" w:cs="Times New Roman"/>
          <w:color w:val="auto"/>
          <w:sz w:val="32"/>
          <w:szCs w:val="32"/>
          <w:lang w:val="en-US" w:eastAsia="zh-CN"/>
        </w:rPr>
        <w:t>战略</w:t>
      </w:r>
      <w:r>
        <w:rPr>
          <w:rFonts w:hint="eastAsia" w:cs="Times New Roman"/>
          <w:color w:val="auto"/>
          <w:sz w:val="32"/>
          <w:szCs w:val="32"/>
          <w:lang w:val="en-US" w:eastAsia="zh-CN"/>
        </w:rPr>
        <w:t>应急</w:t>
      </w:r>
      <w:r>
        <w:rPr>
          <w:rFonts w:hint="default" w:ascii="Times New Roman" w:hAnsi="Times New Roman" w:cs="Times New Roman"/>
          <w:color w:val="auto"/>
          <w:sz w:val="32"/>
          <w:szCs w:val="32"/>
          <w:lang w:val="en-US" w:eastAsia="zh-CN"/>
        </w:rPr>
        <w:t>物资储备等物流业态，</w:t>
      </w:r>
      <w:r>
        <w:rPr>
          <w:rFonts w:hint="eastAsia" w:cs="Times New Roman"/>
          <w:color w:val="auto"/>
          <w:sz w:val="32"/>
          <w:szCs w:val="32"/>
          <w:lang w:val="en-US" w:eastAsia="zh-CN"/>
        </w:rPr>
        <w:t>持续完善港口物流功能区、国际物流功能区等各功能区二期服务功能，</w:t>
      </w:r>
      <w:r>
        <w:rPr>
          <w:rFonts w:hint="default" w:ascii="Times New Roman" w:hAnsi="Times New Roman" w:cs="Times New Roman"/>
          <w:color w:val="auto"/>
          <w:sz w:val="32"/>
          <w:szCs w:val="32"/>
          <w:lang w:val="en-US" w:eastAsia="zh-CN"/>
        </w:rPr>
        <w:t>壮大乐山支柱性产业优势，拟实施重点项目如下。</w:t>
      </w:r>
    </w:p>
    <w:p>
      <w:pPr>
        <w:keepNext/>
        <w:keepLines w:val="0"/>
        <w:pageBreakBefore w:val="0"/>
        <w:widowControl w:val="0"/>
        <w:kinsoku/>
        <w:wordWrap/>
        <w:overflowPunct/>
        <w:topLinePunct w:val="0"/>
        <w:autoSpaceDE/>
        <w:autoSpaceDN/>
        <w:bidi w:val="0"/>
        <w:adjustRightInd/>
        <w:snapToGrid/>
        <w:spacing w:line="600" w:lineRule="exact"/>
        <w:ind w:firstLine="640"/>
        <w:textAlignment w:val="auto"/>
        <w:rPr>
          <w:rFonts w:hint="default" w:ascii="Times New Roman" w:hAnsi="Times New Roman" w:cs="Times New Roman"/>
          <w:b/>
          <w:bCs/>
          <w:color w:val="auto"/>
          <w:szCs w:val="32"/>
          <w:lang w:val="en-US" w:eastAsia="zh-CN"/>
        </w:rPr>
      </w:pPr>
      <w:r>
        <w:rPr>
          <w:rFonts w:hint="default" w:ascii="Times New Roman" w:hAnsi="Times New Roman" w:cs="Times New Roman"/>
          <w:b/>
          <w:bCs/>
          <w:color w:val="auto"/>
          <w:szCs w:val="32"/>
          <w:lang w:val="en-US" w:eastAsia="zh-CN"/>
        </w:rPr>
        <w:t>1.市政道路设施建设</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远期重点围绕冷链物流、快递物流</w:t>
      </w:r>
      <w:r>
        <w:rPr>
          <w:rFonts w:hint="eastAsia" w:cs="Times New Roman"/>
          <w:color w:val="auto"/>
          <w:highlight w:val="none"/>
          <w:lang w:val="en-US" w:eastAsia="zh-CN"/>
        </w:rPr>
        <w:t>、医药应急物流</w:t>
      </w:r>
      <w:r>
        <w:rPr>
          <w:rFonts w:hint="default" w:ascii="Times New Roman" w:hAnsi="Times New Roman" w:cs="Times New Roman"/>
          <w:color w:val="auto"/>
          <w:highlight w:val="none"/>
          <w:lang w:val="en-US" w:eastAsia="zh-CN"/>
        </w:rPr>
        <w:t>等功能区开发，建设</w:t>
      </w:r>
      <w:r>
        <w:rPr>
          <w:rFonts w:hint="default" w:cs="Times New Roman"/>
          <w:color w:val="auto"/>
          <w:sz w:val="32"/>
          <w:szCs w:val="22"/>
          <w:highlight w:val="none"/>
          <w:vertAlign w:val="baseline"/>
          <w:lang w:val="en-US" w:eastAsia="zh-CN"/>
        </w:rPr>
        <w:t>建业大道南段</w:t>
      </w:r>
      <w:r>
        <w:rPr>
          <w:rFonts w:hint="default" w:ascii="Times New Roman" w:hAnsi="Times New Roman" w:cs="Times New Roman"/>
          <w:color w:val="auto"/>
          <w:sz w:val="32"/>
          <w:szCs w:val="22"/>
          <w:highlight w:val="none"/>
          <w:vertAlign w:val="baseline"/>
          <w:lang w:val="en-US" w:eastAsia="zh-CN"/>
        </w:rPr>
        <w:t>、横二路一期、支路2、支路4</w:t>
      </w:r>
      <w:r>
        <w:rPr>
          <w:rFonts w:hint="default" w:ascii="Times New Roman" w:hAnsi="Times New Roman" w:cs="Times New Roman"/>
          <w:color w:val="auto"/>
          <w:highlight w:val="none"/>
          <w:lang w:val="en-US" w:eastAsia="zh-CN"/>
        </w:rPr>
        <w:t>等城市道路建设项目</w:t>
      </w:r>
      <w:r>
        <w:rPr>
          <w:rFonts w:hint="eastAsia" w:cs="Times New Roman"/>
          <w:color w:val="auto"/>
          <w:highlight w:val="none"/>
          <w:lang w:val="en-US" w:eastAsia="zh-CN"/>
        </w:rPr>
        <w:t>，总里程3.3公里</w:t>
      </w:r>
      <w:r>
        <w:rPr>
          <w:rFonts w:hint="default" w:ascii="Times New Roman" w:hAnsi="Times New Roman" w:cs="Times New Roman"/>
          <w:color w:val="auto"/>
          <w:highlight w:val="none"/>
          <w:lang w:val="en-US" w:eastAsia="zh-CN"/>
        </w:rPr>
        <w:t>，实现功能区与进港大道、S215快速连通集散，项目投资约</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亿元，全面建成多式联运示范基地</w:t>
      </w:r>
      <w:r>
        <w:rPr>
          <w:rFonts w:hint="eastAsia" w:cs="Times New Roman"/>
          <w:color w:val="auto"/>
          <w:highlight w:val="none"/>
          <w:lang w:val="en-US" w:eastAsia="zh-CN"/>
        </w:rPr>
        <w:t>各功能区</w:t>
      </w:r>
      <w:r>
        <w:rPr>
          <w:rFonts w:hint="default" w:ascii="Times New Roman" w:hAnsi="Times New Roman" w:cs="Times New Roman"/>
          <w:color w:val="auto"/>
          <w:highlight w:val="none"/>
          <w:lang w:val="en-US" w:eastAsia="zh-CN"/>
        </w:rPr>
        <w:t>道路网体系，</w:t>
      </w:r>
      <w:r>
        <w:rPr>
          <w:rFonts w:hint="eastAsia" w:cs="Times New Roman"/>
          <w:color w:val="auto"/>
          <w:highlight w:val="none"/>
          <w:lang w:val="en-US" w:eastAsia="zh-CN"/>
        </w:rPr>
        <w:t>实现</w:t>
      </w:r>
      <w:r>
        <w:rPr>
          <w:rFonts w:hint="default" w:ascii="Times New Roman" w:hAnsi="Times New Roman" w:cs="Times New Roman"/>
          <w:color w:val="auto"/>
          <w:highlight w:val="none"/>
          <w:lang w:val="en-US" w:eastAsia="zh-CN"/>
        </w:rPr>
        <w:t>区</w:t>
      </w:r>
      <w:r>
        <w:rPr>
          <w:rFonts w:hint="eastAsia" w:cs="Times New Roman"/>
          <w:color w:val="auto"/>
          <w:highlight w:val="none"/>
          <w:lang w:val="en-US" w:eastAsia="zh-CN"/>
        </w:rPr>
        <w:t>域</w:t>
      </w:r>
      <w:r>
        <w:rPr>
          <w:rFonts w:hint="default" w:ascii="Times New Roman" w:hAnsi="Times New Roman" w:cs="Times New Roman"/>
          <w:color w:val="auto"/>
          <w:highlight w:val="none"/>
          <w:lang w:val="en-US" w:eastAsia="zh-CN"/>
        </w:rPr>
        <w:t>高效衔接、运转。</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2.拟实施物流项目</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b w:val="0"/>
          <w:bCs w:val="0"/>
          <w:color w:val="auto"/>
          <w:lang w:val="en-US" w:eastAsia="zh-CN"/>
        </w:rPr>
        <w:t>港口物流功能区二期，</w:t>
      </w:r>
      <w:r>
        <w:rPr>
          <w:rFonts w:hint="eastAsia" w:ascii="仿宋_GB2312" w:hAnsi="仿宋_GB2312" w:eastAsia="仿宋_GB2312" w:cs="仿宋_GB2312"/>
          <w:color w:val="auto"/>
          <w:lang w:val="en-US" w:eastAsia="zh-CN"/>
        </w:rPr>
        <w:t>实施乐山港老江坝作业区二期工程建设，拟建设3个1000吨级泊位（2个多用途、1个通用，兼靠2500吨级船舶）以及配套设施建设，拓展港口集装箱、散杂货等运输功能，提高港口吞吐作业能力，项目投资约3亿元，建设年限为2031—2032年。</w:t>
      </w:r>
    </w:p>
    <w:p>
      <w:pPr>
        <w:spacing w:line="600" w:lineRule="exact"/>
        <w:ind w:firstLine="640" w:firstLineChars="200"/>
        <w:rPr>
          <w:rFonts w:hint="eastAsia" w:ascii="仿宋_GB2312" w:hAnsi="仿宋_GB2312" w:eastAsia="仿宋_GB2312" w:cs="仿宋_GB2312"/>
          <w:color w:val="auto"/>
          <w:lang w:val="en-US" w:eastAsia="zh-CN"/>
        </w:rPr>
      </w:pPr>
      <w:r>
        <w:rPr>
          <w:rFonts w:hint="eastAsia" w:ascii="仿宋_GB2312" w:hAnsi="仿宋_GB2312" w:eastAsia="仿宋_GB2312" w:cs="仿宋_GB2312"/>
          <w:b w:val="0"/>
          <w:bCs w:val="0"/>
          <w:color w:val="auto"/>
          <w:lang w:val="en-US" w:eastAsia="zh-CN"/>
        </w:rPr>
        <w:t>铁路物流功能区，</w:t>
      </w:r>
      <w:r>
        <w:rPr>
          <w:rFonts w:hint="eastAsia" w:ascii="仿宋_GB2312" w:hAnsi="仿宋_GB2312" w:eastAsia="仿宋_GB2312" w:cs="仿宋_GB2312"/>
          <w:color w:val="auto"/>
          <w:lang w:val="en-US" w:eastAsia="zh-CN"/>
        </w:rPr>
        <w:t>着力提升多式联运基地铁水联运、公铁联运效率，减少转运环节、降低物流成本，实施乐山港老江坝作业区铁路专用线建设项目，由连燕铁路太平接轨站引出，止于铁路物流功能区，重点服务老江坝作业区货物集疏运以及临港工业区的物资调运，项目投资约11.8亿元。同步实施老江坝作业区多式联运中心建设项目，建设铁路集装箱堆场、装卸作业区，重点发展铁水、公铁联运业务，实现铁路专用线进港口、铁水联运无缝衔接，项目投资约5亿元。考虑到铁路物流功能区的配套铁路专用线涉及占用大量基本农田，项目整体开发暂时放在远期实施，在相关用地政策突破以及前期工作推进顺利时，可适时调整纳入近期建设计划。</w:t>
      </w:r>
    </w:p>
    <w:p>
      <w:pPr>
        <w:pStyle w:val="19"/>
        <w:rPr>
          <w:rFonts w:hint="eastAsia" w:ascii="仿宋_GB2312" w:hAnsi="仿宋_GB2312" w:eastAsia="仿宋_GB2312" w:cs="仿宋_GB2312"/>
          <w:b w:val="0"/>
          <w:bCs w:val="0"/>
          <w:color w:val="auto"/>
          <w:kern w:val="2"/>
          <w:sz w:val="32"/>
          <w:szCs w:val="22"/>
          <w:lang w:val="en-US" w:eastAsia="zh-CN" w:bidi="ar-SA"/>
        </w:rPr>
      </w:pPr>
      <w:r>
        <w:rPr>
          <w:rFonts w:hint="eastAsia" w:ascii="仿宋_GB2312" w:hAnsi="仿宋_GB2312" w:eastAsia="仿宋_GB2312" w:cs="仿宋_GB2312"/>
          <w:b w:val="0"/>
          <w:bCs w:val="0"/>
          <w:color w:val="auto"/>
          <w:kern w:val="2"/>
          <w:sz w:val="32"/>
          <w:szCs w:val="22"/>
          <w:lang w:val="en-US" w:eastAsia="zh-CN" w:bidi="ar-SA"/>
        </w:rPr>
        <w:t>国际物流功能区二期，</w:t>
      </w:r>
      <w:r>
        <w:rPr>
          <w:rFonts w:hint="eastAsia" w:ascii="仿宋_GB2312" w:hAnsi="仿宋_GB2312" w:eastAsia="仿宋_GB2312" w:cs="仿宋_GB2312"/>
          <w:b w:val="0"/>
          <w:bCs w:val="0"/>
          <w:color w:val="auto"/>
          <w:sz w:val="32"/>
          <w:lang w:val="en-US" w:eastAsia="zh-CN"/>
        </w:rPr>
        <w:t>实施乐山市国际班列集结中心项目</w:t>
      </w:r>
      <w:r>
        <w:rPr>
          <w:rFonts w:hint="eastAsia" w:ascii="仿宋_GB2312" w:hAnsi="仿宋_GB2312" w:eastAsia="仿宋_GB2312" w:cs="仿宋_GB2312"/>
          <w:b w:val="0"/>
          <w:bCs w:val="0"/>
          <w:color w:val="auto"/>
          <w:kern w:val="2"/>
          <w:sz w:val="32"/>
          <w:szCs w:val="22"/>
          <w:lang w:val="en-US" w:eastAsia="zh-CN" w:bidi="ar-SA"/>
        </w:rPr>
        <w:t>，建设国际多式联运中心、换装场地、海关监管区、集装箱堆场等设施，提升乐山中欧班列、西部陆海新通道班列等运营组织能力，项目投资约4.8亿元。</w:t>
      </w:r>
    </w:p>
    <w:p>
      <w:pPr>
        <w:pStyle w:val="19"/>
        <w:rPr>
          <w:rFonts w:hint="eastAsia" w:ascii="仿宋_GB2312" w:hAnsi="仿宋_GB2312" w:eastAsia="仿宋_GB2312" w:cs="仿宋_GB2312"/>
          <w:b w:val="0"/>
          <w:bCs w:val="0"/>
          <w:color w:val="auto"/>
          <w:kern w:val="2"/>
          <w:sz w:val="32"/>
          <w:szCs w:val="22"/>
          <w:lang w:val="en-US" w:eastAsia="zh-CN" w:bidi="ar-SA"/>
        </w:rPr>
      </w:pPr>
      <w:r>
        <w:rPr>
          <w:rFonts w:hint="eastAsia" w:ascii="仿宋_GB2312" w:hAnsi="仿宋_GB2312" w:eastAsia="仿宋_GB2312" w:cs="仿宋_GB2312"/>
          <w:b w:val="0"/>
          <w:bCs w:val="0"/>
          <w:color w:val="auto"/>
          <w:kern w:val="2"/>
          <w:sz w:val="32"/>
          <w:szCs w:val="22"/>
          <w:lang w:val="en-US" w:eastAsia="zh-CN" w:bidi="ar-SA"/>
        </w:rPr>
        <w:t>智慧公路物流功能区二期，实施智慧公路物流枢纽项目，建设自动化立体仓库、单层分拣车间、多式联运集装箱堆场、公铁联运装卸平台、共享分拨中心、智能云仓等物流设施，完善多式联运公路快速高效集散功能，项目投资约6亿元。实施跨境公路班车集结中心项目，建设跨境公路班车基地、跨境物流仓储设施、露天堆场等，以及司机之家、综合服务大楼等配套设施，进一步完善乐山跨境物流方式，提高国际多式联运效率，项目投资约4.8亿元。</w:t>
      </w:r>
    </w:p>
    <w:p>
      <w:pPr>
        <w:spacing w:line="600" w:lineRule="exact"/>
        <w:ind w:left="0" w:leftChars="0" w:firstLine="640" w:firstLineChars="200"/>
        <w:rPr>
          <w:rFonts w:hint="eastAsia" w:ascii="仿宋_GB2312" w:hAnsi="仿宋_GB2312" w:eastAsia="仿宋_GB2312" w:cs="仿宋_GB2312"/>
          <w:color w:val="auto"/>
          <w:lang w:val="en-US" w:eastAsia="zh-CN"/>
        </w:rPr>
      </w:pPr>
      <w:r>
        <w:rPr>
          <w:rFonts w:hint="eastAsia" w:ascii="仿宋_GB2312" w:hAnsi="仿宋_GB2312" w:eastAsia="仿宋_GB2312" w:cs="仿宋_GB2312"/>
          <w:b w:val="0"/>
          <w:bCs w:val="0"/>
          <w:color w:val="auto"/>
          <w:lang w:val="en-US" w:eastAsia="zh-CN"/>
        </w:rPr>
        <w:t>大宗商品物贸一体功能区二期，</w:t>
      </w:r>
      <w:r>
        <w:rPr>
          <w:rFonts w:hint="eastAsia" w:ascii="仿宋_GB2312" w:hAnsi="仿宋_GB2312" w:eastAsia="仿宋_GB2312" w:cs="仿宋_GB2312"/>
          <w:color w:val="auto"/>
          <w:lang w:val="en-US" w:eastAsia="zh-CN"/>
        </w:rPr>
        <w:t>实施生产物资仓储分拨中心项目，建设高标准、恒温防潮仓库设施，服务其他生产制造仓储物流需求，项目投资约8.4亿元，同时积极申建铜、铝合金等产品期货交割库的功能区。</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b w:val="0"/>
          <w:bCs w:val="0"/>
          <w:color w:val="auto"/>
          <w:lang w:val="en-US" w:eastAsia="zh-CN"/>
        </w:rPr>
        <w:t>冷链物流功能区二期，</w:t>
      </w:r>
      <w:r>
        <w:rPr>
          <w:rFonts w:hint="eastAsia" w:ascii="仿宋_GB2312" w:hAnsi="仿宋_GB2312" w:eastAsia="仿宋_GB2312" w:cs="仿宋_GB2312"/>
          <w:color w:val="auto"/>
          <w:lang w:val="en-US" w:eastAsia="zh-CN"/>
        </w:rPr>
        <w:t>实施冷链物流分拨配送中心项目，建设冷链分拨中心、城市配送中心、农特产品交易批发市场等设施，项目投资约11.63亿元。</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b w:val="0"/>
          <w:bCs w:val="0"/>
          <w:color w:val="auto"/>
          <w:lang w:val="en-US" w:eastAsia="zh-CN"/>
        </w:rPr>
        <w:t>电商快递物流功能区二期，</w:t>
      </w:r>
      <w:r>
        <w:rPr>
          <w:rFonts w:hint="eastAsia" w:ascii="仿宋_GB2312" w:hAnsi="仿宋_GB2312" w:eastAsia="仿宋_GB2312" w:cs="仿宋_GB2312"/>
          <w:color w:val="auto"/>
          <w:lang w:val="en-US" w:eastAsia="zh-CN"/>
        </w:rPr>
        <w:t>实施电商快递物流产业园项目，建设跨境电商基地、直播电商与供应链中心、智能云仓、配送中心等设施，项目投资约9.58亿元。</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b w:val="0"/>
          <w:bCs w:val="0"/>
          <w:color w:val="auto"/>
          <w:lang w:val="en-US" w:eastAsia="zh-CN"/>
        </w:rPr>
        <w:t>粮食物流功能区，</w:t>
      </w:r>
      <w:r>
        <w:rPr>
          <w:rFonts w:hint="eastAsia" w:ascii="仿宋_GB2312" w:hAnsi="仿宋_GB2312" w:eastAsia="仿宋_GB2312" w:cs="仿宋_GB2312"/>
          <w:color w:val="auto"/>
          <w:lang w:val="en-US" w:eastAsia="zh-CN"/>
        </w:rPr>
        <w:t>实施</w:t>
      </w:r>
      <w:r>
        <w:rPr>
          <w:rFonts w:hint="eastAsia" w:ascii="仿宋_GB2312" w:hAnsi="仿宋_GB2312" w:eastAsia="仿宋_GB2312" w:cs="仿宋_GB2312"/>
          <w:color w:val="auto"/>
        </w:rPr>
        <w:t>粮食物流产业园</w:t>
      </w:r>
      <w:r>
        <w:rPr>
          <w:rFonts w:hint="eastAsia" w:ascii="仿宋_GB2312" w:hAnsi="仿宋_GB2312" w:eastAsia="仿宋_GB2312" w:cs="仿宋_GB2312"/>
          <w:color w:val="auto"/>
          <w:lang w:val="en-US" w:eastAsia="zh-CN"/>
        </w:rPr>
        <w:t>建设项目，建设高标准粮食仓、筒仓、粮食加工区等，项目投资</w:t>
      </w:r>
      <w:r>
        <w:rPr>
          <w:rFonts w:hint="eastAsia" w:ascii="仿宋_GB2312" w:hAnsi="仿宋_GB2312" w:cs="仿宋_GB2312"/>
          <w:color w:val="auto"/>
          <w:lang w:val="en-US" w:eastAsia="zh-CN"/>
        </w:rPr>
        <w:t>约</w:t>
      </w:r>
      <w:r>
        <w:rPr>
          <w:rFonts w:hint="eastAsia" w:ascii="仿宋_GB2312" w:hAnsi="仿宋_GB2312" w:eastAsia="仿宋_GB2312" w:cs="仿宋_GB2312"/>
          <w:color w:val="auto"/>
          <w:lang w:val="en-US" w:eastAsia="zh-CN"/>
        </w:rPr>
        <w:t>3.5亿元。</w:t>
      </w:r>
    </w:p>
    <w:p>
      <w:pPr>
        <w:rPr>
          <w:rFonts w:hint="eastAsia" w:ascii="仿宋_GB2312" w:hAnsi="仿宋_GB2312" w:eastAsia="仿宋_GB2312" w:cs="仿宋_GB2312"/>
          <w:color w:val="auto"/>
          <w:lang w:val="en-US" w:eastAsia="zh-CN"/>
        </w:rPr>
      </w:pPr>
      <w:r>
        <w:rPr>
          <w:rFonts w:hint="eastAsia" w:ascii="仿宋_GB2312" w:hAnsi="仿宋_GB2312" w:eastAsia="仿宋_GB2312" w:cs="仿宋_GB2312"/>
          <w:b w:val="0"/>
          <w:bCs w:val="0"/>
          <w:color w:val="auto"/>
          <w:lang w:val="en-US" w:eastAsia="zh-CN"/>
        </w:rPr>
        <w:t>医药及应急物流功能区二期，</w:t>
      </w:r>
      <w:r>
        <w:rPr>
          <w:rFonts w:hint="eastAsia" w:ascii="仿宋_GB2312" w:hAnsi="仿宋_GB2312" w:eastAsia="仿宋_GB2312" w:cs="仿宋_GB2312"/>
          <w:color w:val="auto"/>
          <w:lang w:val="en-US" w:eastAsia="zh-CN"/>
        </w:rPr>
        <w:t>实施现代智慧医药物流中心</w:t>
      </w:r>
      <w:r>
        <w:rPr>
          <w:rFonts w:hint="eastAsia" w:ascii="仿宋_GB2312" w:hAnsi="仿宋_GB2312" w:eastAsia="仿宋_GB2312" w:cs="仿宋_GB2312"/>
          <w:b w:val="0"/>
          <w:bCs w:val="0"/>
          <w:color w:val="auto"/>
          <w:sz w:val="32"/>
          <w:szCs w:val="32"/>
          <w:lang w:val="en-US" w:eastAsia="zh-CN"/>
        </w:rPr>
        <w:t>项目，建设冷冻库、冷藏库、</w:t>
      </w:r>
      <w:r>
        <w:rPr>
          <w:rFonts w:hint="eastAsia" w:ascii="仿宋_GB2312" w:hAnsi="仿宋_GB2312" w:eastAsia="仿宋_GB2312" w:cs="仿宋_GB2312"/>
          <w:color w:val="auto"/>
          <w:szCs w:val="32"/>
        </w:rPr>
        <w:t>常温库</w:t>
      </w:r>
      <w:r>
        <w:rPr>
          <w:rFonts w:hint="eastAsia" w:ascii="仿宋_GB2312" w:hAnsi="仿宋_GB2312" w:eastAsia="仿宋_GB2312" w:cs="仿宋_GB2312"/>
          <w:color w:val="auto"/>
          <w:szCs w:val="32"/>
          <w:lang w:eastAsia="zh-CN"/>
        </w:rPr>
        <w:t>、</w:t>
      </w:r>
      <w:r>
        <w:rPr>
          <w:rFonts w:hint="eastAsia" w:ascii="仿宋_GB2312" w:hAnsi="仿宋_GB2312" w:eastAsia="仿宋_GB2312" w:cs="仿宋_GB2312"/>
          <w:color w:val="auto"/>
          <w:szCs w:val="32"/>
        </w:rPr>
        <w:t>阴凉库</w:t>
      </w:r>
      <w:r>
        <w:rPr>
          <w:rFonts w:hint="eastAsia" w:ascii="仿宋_GB2312" w:hAnsi="仿宋_GB2312" w:eastAsia="仿宋_GB2312" w:cs="仿宋_GB2312"/>
          <w:color w:val="auto"/>
          <w:szCs w:val="32"/>
          <w:lang w:val="en-US" w:eastAsia="zh-CN"/>
        </w:rPr>
        <w:t>等多温区仓储中心、分拣作业区、医药配送中心等设施，为乐山市医药产品的</w:t>
      </w:r>
      <w:r>
        <w:rPr>
          <w:rFonts w:hint="eastAsia" w:ascii="仿宋_GB2312" w:hAnsi="仿宋_GB2312" w:eastAsia="仿宋_GB2312" w:cs="仿宋_GB2312"/>
          <w:color w:val="auto"/>
          <w:szCs w:val="32"/>
        </w:rPr>
        <w:t>智能仓储、高效运输</w:t>
      </w:r>
      <w:r>
        <w:rPr>
          <w:rFonts w:hint="eastAsia" w:ascii="仿宋_GB2312" w:hAnsi="仿宋_GB2312" w:eastAsia="仿宋_GB2312" w:cs="仿宋_GB2312"/>
          <w:color w:val="auto"/>
          <w:szCs w:val="32"/>
          <w:lang w:val="en-US" w:eastAsia="zh-CN"/>
        </w:rPr>
        <w:t>提供保障，项目投资</w:t>
      </w:r>
      <w:r>
        <w:rPr>
          <w:rFonts w:hint="eastAsia" w:ascii="仿宋_GB2312" w:hAnsi="仿宋_GB2312" w:cs="仿宋_GB2312"/>
          <w:color w:val="auto"/>
          <w:szCs w:val="32"/>
          <w:lang w:val="en-US" w:eastAsia="zh-CN"/>
        </w:rPr>
        <w:t>约</w:t>
      </w:r>
      <w:r>
        <w:rPr>
          <w:rFonts w:hint="eastAsia" w:ascii="仿宋_GB2312" w:hAnsi="仿宋_GB2312" w:eastAsia="仿宋_GB2312" w:cs="仿宋_GB2312"/>
          <w:color w:val="auto"/>
          <w:szCs w:val="32"/>
          <w:lang w:val="en-US" w:eastAsia="zh-CN"/>
        </w:rPr>
        <w:t>8.1亿元。</w:t>
      </w:r>
    </w:p>
    <w:p>
      <w:pPr>
        <w:spacing w:line="600" w:lineRule="exact"/>
        <w:ind w:firstLine="640" w:firstLineChars="200"/>
        <w:rPr>
          <w:rFonts w:hint="eastAsia" w:ascii="仿宋_GB2312" w:hAnsi="仿宋_GB2312" w:eastAsia="仿宋_GB2312" w:cs="仿宋_GB2312"/>
          <w:color w:val="auto"/>
          <w:lang w:val="en-US" w:eastAsia="zh-CN"/>
        </w:rPr>
      </w:pPr>
      <w:r>
        <w:rPr>
          <w:rFonts w:hint="eastAsia" w:ascii="仿宋_GB2312" w:hAnsi="仿宋_GB2312" w:eastAsia="仿宋_GB2312" w:cs="仿宋_GB2312"/>
          <w:b w:val="0"/>
          <w:bCs w:val="0"/>
          <w:color w:val="auto"/>
          <w:lang w:val="en-US" w:eastAsia="zh-CN"/>
        </w:rPr>
        <w:t>供应链集成服务功能区二期，</w:t>
      </w:r>
      <w:r>
        <w:rPr>
          <w:rFonts w:hint="eastAsia" w:ascii="仿宋_GB2312" w:hAnsi="仿宋_GB2312" w:eastAsia="仿宋_GB2312" w:cs="仿宋_GB2312"/>
          <w:b w:val="0"/>
          <w:bCs w:val="0"/>
          <w:color w:val="auto"/>
          <w:szCs w:val="32"/>
          <w:lang w:val="en-US" w:eastAsia="zh-CN"/>
        </w:rPr>
        <w:t>实施</w:t>
      </w:r>
      <w:r>
        <w:rPr>
          <w:rFonts w:hint="eastAsia" w:ascii="仿宋_GB2312" w:hAnsi="仿宋_GB2312" w:eastAsia="仿宋_GB2312" w:cs="仿宋_GB2312"/>
          <w:b w:val="0"/>
          <w:bCs w:val="0"/>
          <w:color w:val="auto"/>
          <w:lang w:val="en-US" w:eastAsia="zh-CN"/>
        </w:rPr>
        <w:t>供应链集成服务中心二期项目，</w:t>
      </w:r>
      <w:r>
        <w:rPr>
          <w:rFonts w:hint="eastAsia" w:ascii="仿宋_GB2312" w:hAnsi="仿宋_GB2312" w:eastAsia="仿宋_GB2312" w:cs="仿宋_GB2312"/>
          <w:color w:val="auto"/>
          <w:lang w:val="en-US" w:eastAsia="zh-CN"/>
        </w:rPr>
        <w:t>建设</w:t>
      </w:r>
      <w:r>
        <w:rPr>
          <w:rFonts w:hint="eastAsia" w:ascii="仿宋_GB2312" w:hAnsi="仿宋_GB2312" w:eastAsia="仿宋_GB2312" w:cs="仿宋_GB2312"/>
          <w:color w:val="auto"/>
          <w:sz w:val="32"/>
          <w:szCs w:val="32"/>
          <w:lang w:val="en-US" w:eastAsia="zh-CN"/>
        </w:rPr>
        <w:t>供应链物流运营中心</w:t>
      </w:r>
      <w:r>
        <w:rPr>
          <w:rFonts w:hint="eastAsia" w:ascii="仿宋_GB2312" w:hAnsi="仿宋_GB2312" w:eastAsia="仿宋_GB2312" w:cs="仿宋_GB2312"/>
          <w:color w:val="auto"/>
          <w:lang w:val="en-US" w:eastAsia="zh-CN"/>
        </w:rPr>
        <w:t>、</w:t>
      </w:r>
      <w:r>
        <w:rPr>
          <w:rFonts w:hint="eastAsia" w:ascii="仿宋_GB2312" w:hAnsi="仿宋_GB2312" w:eastAsia="仿宋_GB2312" w:cs="仿宋_GB2312"/>
          <w:color w:val="auto"/>
          <w:sz w:val="32"/>
          <w:szCs w:val="32"/>
          <w:lang w:val="en-US" w:eastAsia="zh-CN"/>
        </w:rPr>
        <w:t>综合物流配套服务中心，完善基地内部金融、交易、结算等综合管理服务，</w:t>
      </w:r>
      <w:r>
        <w:rPr>
          <w:rFonts w:hint="eastAsia" w:ascii="仿宋_GB2312" w:hAnsi="仿宋_GB2312" w:eastAsia="仿宋_GB2312" w:cs="仿宋_GB2312"/>
          <w:b w:val="0"/>
          <w:bCs w:val="0"/>
          <w:color w:val="auto"/>
          <w:kern w:val="2"/>
          <w:sz w:val="32"/>
          <w:szCs w:val="22"/>
          <w:lang w:val="en-US" w:eastAsia="zh-CN" w:bidi="ar-SA"/>
        </w:rPr>
        <w:t>项目投资约2.84亿元。</w:t>
      </w:r>
    </w:p>
    <w:p>
      <w:pPr>
        <w:rPr>
          <w:rFonts w:hint="default" w:cs="Times New Roman"/>
          <w:color w:val="auto"/>
          <w:szCs w:val="32"/>
          <w:lang w:val="en-US" w:eastAsia="zh-CN"/>
        </w:rPr>
      </w:pPr>
    </w:p>
    <w:p>
      <w:pPr>
        <w:spacing w:line="600" w:lineRule="exact"/>
        <w:ind w:firstLine="640" w:firstLineChars="200"/>
        <w:rPr>
          <w:rFonts w:hint="default" w:ascii="Times New Roman" w:hAnsi="Times New Roman" w:cs="Times New Roman"/>
          <w:color w:val="auto"/>
          <w:highlight w:val="none"/>
          <w:lang w:val="en-US" w:eastAsia="zh-CN"/>
        </w:rPr>
        <w:sectPr>
          <w:pgSz w:w="23811" w:h="16838" w:orient="landscape"/>
          <w:pgMar w:top="1800" w:right="1440" w:bottom="1800" w:left="1440" w:header="851" w:footer="992" w:gutter="0"/>
          <w:pgNumType w:fmt="decimal"/>
          <w:cols w:space="1280" w:num="2"/>
          <w:docGrid w:type="lines" w:linePitch="312" w:charSpace="0"/>
        </w:sectPr>
      </w:pPr>
    </w:p>
    <w:p>
      <w:pPr>
        <w:pStyle w:val="7"/>
        <w:rPr>
          <w:rFonts w:hint="default" w:ascii="Times New Roman" w:hAnsi="Times New Roman" w:cs="Times New Roman"/>
          <w:color w:val="auto"/>
          <w:lang w:val="en-US" w:eastAsia="zh-CN"/>
        </w:rPr>
      </w:pPr>
      <w:r>
        <w:rPr>
          <w:rFonts w:hint="default" w:ascii="Times New Roman" w:hAnsi="Times New Roman" w:cs="Times New Roman"/>
          <w:color w:val="auto"/>
        </w:rPr>
        <w:t xml:space="preserve">表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1 \s </w:instrText>
      </w:r>
      <w:r>
        <w:rPr>
          <w:rFonts w:hint="default" w:ascii="Times New Roman" w:hAnsi="Times New Roman" w:cs="Times New Roman"/>
          <w:color w:val="auto"/>
        </w:rPr>
        <w:fldChar w:fldCharType="separate"/>
      </w:r>
      <w:r>
        <w:rPr>
          <w:rFonts w:hint="default" w:ascii="Times New Roman" w:hAnsi="Times New Roman" w:cs="Times New Roman"/>
          <w:color w:val="auto"/>
        </w:rPr>
        <w:t>9</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1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 xml:space="preserve"> 远期规划实施重点项目</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7"/>
        <w:gridCol w:w="2195"/>
        <w:gridCol w:w="4750"/>
        <w:gridCol w:w="9842"/>
        <w:gridCol w:w="2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blHeader/>
          <w:jc w:val="center"/>
        </w:trPr>
        <w:tc>
          <w:tcPr>
            <w:tcW w:w="37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序号</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eastAsia" w:eastAsia="黑体" w:cs="Times New Roman"/>
                <w:color w:val="auto"/>
                <w:sz w:val="24"/>
                <w:szCs w:val="24"/>
                <w:vertAlign w:val="baseline"/>
                <w:lang w:val="en-US" w:eastAsia="zh-CN"/>
              </w:rPr>
              <w:t>分类</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项目名称</w:t>
            </w:r>
          </w:p>
        </w:tc>
        <w:tc>
          <w:tcPr>
            <w:tcW w:w="2326"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建设内容</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项目投资（亿元）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市政道路及公共服务</w:t>
            </w:r>
            <w:r>
              <w:rPr>
                <w:rFonts w:hint="default" w:ascii="Times New Roman" w:hAnsi="Times New Roman" w:cs="Times New Roman"/>
                <w:color w:val="auto"/>
                <w:sz w:val="24"/>
                <w:szCs w:val="24"/>
                <w:vertAlign w:val="baseline"/>
                <w:lang w:val="en-US" w:eastAsia="zh-CN"/>
              </w:rPr>
              <w:t>设施</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lang w:val="en-US" w:eastAsia="zh-CN"/>
              </w:rPr>
              <w:t>多式联运基地集疏运道路体系建设二期工程</w:t>
            </w:r>
            <w:r>
              <w:rPr>
                <w:rFonts w:hint="eastAsia" w:cs="Times New Roman"/>
                <w:color w:val="auto"/>
                <w:sz w:val="24"/>
                <w:szCs w:val="24"/>
                <w:lang w:val="en-US" w:eastAsia="zh-CN"/>
              </w:rPr>
              <w:t>（项目4个）</w:t>
            </w:r>
          </w:p>
        </w:tc>
        <w:tc>
          <w:tcPr>
            <w:tcW w:w="232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w:t>
            </w:r>
            <w:r>
              <w:rPr>
                <w:rFonts w:hint="eastAsia" w:cs="Times New Roman"/>
                <w:color w:val="auto"/>
                <w:sz w:val="24"/>
                <w:szCs w:val="24"/>
                <w:vertAlign w:val="baseline"/>
                <w:lang w:val="en-US" w:eastAsia="zh-CN"/>
              </w:rPr>
              <w:t>建业大道南段</w:t>
            </w:r>
            <w:r>
              <w:rPr>
                <w:rFonts w:hint="default" w:ascii="Times New Roman" w:hAnsi="Times New Roman" w:cs="Times New Roman"/>
                <w:color w:val="auto"/>
                <w:sz w:val="24"/>
                <w:szCs w:val="24"/>
                <w:vertAlign w:val="baseline"/>
                <w:lang w:val="en-US" w:eastAsia="zh-CN"/>
              </w:rPr>
              <w:t>、横二路一期、支路2、支路4等城市道路建设项目，总里程</w:t>
            </w:r>
            <w:r>
              <w:rPr>
                <w:rFonts w:hint="eastAsia" w:cs="Times New Roman"/>
                <w:color w:val="auto"/>
                <w:sz w:val="24"/>
                <w:szCs w:val="24"/>
                <w:vertAlign w:val="baseline"/>
                <w:lang w:val="en-US" w:eastAsia="zh-CN"/>
              </w:rPr>
              <w:t>3.3</w:t>
            </w:r>
            <w:r>
              <w:rPr>
                <w:rFonts w:hint="default" w:ascii="Times New Roman" w:hAnsi="Times New Roman" w:cs="Times New Roman"/>
                <w:color w:val="auto"/>
                <w:sz w:val="24"/>
                <w:szCs w:val="24"/>
                <w:vertAlign w:val="baseline"/>
                <w:lang w:val="en-US" w:eastAsia="zh-CN"/>
              </w:rPr>
              <w:t>公里</w:t>
            </w:r>
          </w:p>
        </w:tc>
        <w:tc>
          <w:tcPr>
            <w:tcW w:w="65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2</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港口物流功能区</w:t>
            </w:r>
            <w:r>
              <w:rPr>
                <w:rFonts w:hint="eastAsia" w:cs="Times New Roman"/>
                <w:color w:val="auto"/>
                <w:sz w:val="24"/>
                <w:szCs w:val="24"/>
                <w:vertAlign w:val="baseline"/>
                <w:lang w:val="en-US" w:eastAsia="zh-CN"/>
              </w:rPr>
              <w:t>二期</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乐山港老江坝作业区二期工程</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建设3个1000</w:t>
            </w:r>
            <w:r>
              <w:rPr>
                <w:rFonts w:hint="eastAsia" w:cs="Times New Roman"/>
                <w:color w:val="auto"/>
                <w:sz w:val="24"/>
                <w:szCs w:val="24"/>
                <w:vertAlign w:val="baseline"/>
                <w:lang w:val="en-US" w:eastAsia="zh-CN"/>
              </w:rPr>
              <w:t>吨</w:t>
            </w:r>
            <w:r>
              <w:rPr>
                <w:rFonts w:hint="default" w:ascii="Times New Roman" w:hAnsi="Times New Roman" w:cs="Times New Roman"/>
                <w:color w:val="auto"/>
                <w:sz w:val="24"/>
                <w:szCs w:val="24"/>
                <w:vertAlign w:val="baseline"/>
                <w:lang w:val="en-US" w:eastAsia="zh-CN"/>
              </w:rPr>
              <w:t>级泊位（2个多用途、1个通用，兼靠2500</w:t>
            </w:r>
            <w:r>
              <w:rPr>
                <w:rFonts w:hint="eastAsia" w:cs="Times New Roman"/>
                <w:color w:val="auto"/>
                <w:sz w:val="24"/>
                <w:szCs w:val="24"/>
                <w:vertAlign w:val="baseline"/>
                <w:lang w:val="en-US" w:eastAsia="zh-CN"/>
              </w:rPr>
              <w:t>吨</w:t>
            </w:r>
            <w:r>
              <w:rPr>
                <w:rFonts w:hint="default" w:ascii="Times New Roman" w:hAnsi="Times New Roman" w:cs="Times New Roman"/>
                <w:color w:val="auto"/>
                <w:sz w:val="24"/>
                <w:szCs w:val="24"/>
                <w:vertAlign w:val="baseline"/>
                <w:lang w:val="en-US" w:eastAsia="zh-CN"/>
              </w:rPr>
              <w:t>级船舶）以及配套设施建设</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3</w:t>
            </w:r>
          </w:p>
        </w:tc>
        <w:tc>
          <w:tcPr>
            <w:tcW w:w="519"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铁路物流功能区</w:t>
            </w:r>
          </w:p>
        </w:tc>
        <w:tc>
          <w:tcPr>
            <w:tcW w:w="112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乐山港老江坝作业区铁路专用线建设项目</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cs="Times New Roman"/>
                <w:color w:val="auto"/>
                <w:sz w:val="24"/>
                <w:szCs w:val="24"/>
              </w:rPr>
              <w:t>由</w:t>
            </w:r>
            <w:r>
              <w:rPr>
                <w:rFonts w:hint="eastAsia" w:cs="Times New Roman"/>
                <w:color w:val="auto"/>
                <w:sz w:val="24"/>
                <w:szCs w:val="24"/>
                <w:lang w:eastAsia="zh-CN"/>
              </w:rPr>
              <w:t>连燕</w:t>
            </w:r>
            <w:r>
              <w:rPr>
                <w:rFonts w:hint="default" w:ascii="Times New Roman" w:hAnsi="Times New Roman" w:cs="Times New Roman"/>
                <w:color w:val="auto"/>
                <w:sz w:val="24"/>
                <w:szCs w:val="24"/>
              </w:rPr>
              <w:t>铁路太平接轨站引出，止于铁路物流功能区，</w:t>
            </w:r>
            <w:r>
              <w:rPr>
                <w:rFonts w:hint="default" w:ascii="Times New Roman" w:hAnsi="Times New Roman" w:cs="Times New Roman"/>
                <w:color w:val="auto"/>
                <w:sz w:val="24"/>
                <w:szCs w:val="24"/>
                <w:lang w:val="en-US" w:eastAsia="zh-CN"/>
              </w:rPr>
              <w:t>铁路专用线全长15.7公里</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仿宋_GB2312" w:cs="Times New Roman"/>
                <w:color w:val="auto"/>
                <w:kern w:val="2"/>
                <w:sz w:val="24"/>
                <w:szCs w:val="24"/>
                <w:lang w:val="en-US" w:eastAsia="zh-CN" w:bidi="ar-SA"/>
              </w:rPr>
            </w:pPr>
            <w:r>
              <w:rPr>
                <w:rFonts w:hint="default" w:ascii="Times New Roman" w:hAnsi="Times New Roman" w:cs="Times New Roman"/>
                <w:color w:val="auto"/>
                <w:sz w:val="24"/>
                <w:szCs w:val="24"/>
                <w:lang w:val="en-US" w:eastAsia="zh-CN"/>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4</w:t>
            </w:r>
          </w:p>
        </w:tc>
        <w:tc>
          <w:tcPr>
            <w:tcW w:w="519"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12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老江坝作业区多式联运中心建设项目</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建设铁路集装箱堆场、装卸作业区以及配套设施设备等</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5</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国际物流功能区</w:t>
            </w:r>
            <w:r>
              <w:rPr>
                <w:rFonts w:hint="eastAsia" w:cs="Times New Roman"/>
                <w:color w:val="auto"/>
                <w:sz w:val="24"/>
                <w:szCs w:val="24"/>
                <w:vertAlign w:val="baseline"/>
                <w:lang w:val="en-US" w:eastAsia="zh-CN"/>
              </w:rPr>
              <w:t>二期</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乐山市国际班列集结中心项目</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建设国际多式联运中心、换装场地、海关监管区、集装箱堆场等设施</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6</w:t>
            </w:r>
          </w:p>
        </w:tc>
        <w:tc>
          <w:tcPr>
            <w:tcW w:w="519"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智慧公路物流功能区二期</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strike w:val="0"/>
                <w:color w:val="auto"/>
                <w:sz w:val="24"/>
                <w:szCs w:val="24"/>
                <w:vertAlign w:val="baseline"/>
                <w:lang w:val="en-US" w:eastAsia="zh-CN"/>
              </w:rPr>
              <w:t>跨境公路班车集结中心项目</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strike w:val="0"/>
                <w:color w:val="auto"/>
                <w:sz w:val="24"/>
                <w:szCs w:val="24"/>
                <w:vertAlign w:val="baseline"/>
                <w:lang w:val="en-US" w:eastAsia="zh-CN"/>
              </w:rPr>
              <w:t>建设跨境公路班</w:t>
            </w:r>
            <w:r>
              <w:rPr>
                <w:rFonts w:hint="eastAsia" w:cs="Times New Roman"/>
                <w:strike w:val="0"/>
                <w:color w:val="auto"/>
                <w:sz w:val="24"/>
                <w:szCs w:val="24"/>
                <w:vertAlign w:val="baseline"/>
                <w:lang w:val="en-US" w:eastAsia="zh-CN"/>
              </w:rPr>
              <w:t>车</w:t>
            </w:r>
            <w:r>
              <w:rPr>
                <w:rFonts w:hint="default" w:ascii="Times New Roman" w:hAnsi="Times New Roman" w:cs="Times New Roman"/>
                <w:strike w:val="0"/>
                <w:color w:val="auto"/>
                <w:sz w:val="24"/>
                <w:szCs w:val="24"/>
                <w:vertAlign w:val="baseline"/>
                <w:lang w:val="en-US" w:eastAsia="zh-CN"/>
              </w:rPr>
              <w:t>基地</w:t>
            </w:r>
            <w:r>
              <w:rPr>
                <w:rFonts w:hint="eastAsia" w:cs="Times New Roman"/>
                <w:strike w:val="0"/>
                <w:color w:val="auto"/>
                <w:sz w:val="24"/>
                <w:szCs w:val="24"/>
                <w:vertAlign w:val="baseline"/>
                <w:lang w:val="en-US" w:eastAsia="zh-CN"/>
              </w:rPr>
              <w:t>、跨境物流仓储设施、</w:t>
            </w:r>
            <w:r>
              <w:rPr>
                <w:rFonts w:hint="default" w:ascii="Times New Roman" w:hAnsi="Times New Roman" w:cs="Times New Roman"/>
                <w:strike w:val="0"/>
                <w:color w:val="auto"/>
                <w:sz w:val="24"/>
                <w:szCs w:val="24"/>
                <w:vertAlign w:val="baseline"/>
                <w:lang w:val="en-US" w:eastAsia="zh-CN"/>
              </w:rPr>
              <w:t>露天堆场等</w:t>
            </w:r>
            <w:r>
              <w:rPr>
                <w:rFonts w:hint="eastAsia" w:cs="Times New Roman"/>
                <w:strike w:val="0"/>
                <w:color w:val="auto"/>
                <w:sz w:val="24"/>
                <w:szCs w:val="24"/>
                <w:vertAlign w:val="baseline"/>
                <w:lang w:val="en-US" w:eastAsia="zh-CN"/>
              </w:rPr>
              <w:t>，以及司机之家、综合服务大楼等配套设施</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strike w:val="0"/>
                <w:color w:val="auto"/>
                <w:sz w:val="24"/>
                <w:szCs w:val="24"/>
                <w:vertAlign w:val="baseli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7</w:t>
            </w:r>
          </w:p>
        </w:tc>
        <w:tc>
          <w:tcPr>
            <w:tcW w:w="519"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strike w:val="0"/>
                <w:color w:val="auto"/>
                <w:sz w:val="24"/>
                <w:szCs w:val="24"/>
                <w:vertAlign w:val="baseline"/>
                <w:lang w:val="en-US" w:eastAsia="zh-CN"/>
              </w:rPr>
              <w:t>智慧公路物流枢纽项目</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strike w:val="0"/>
                <w:color w:val="auto"/>
                <w:sz w:val="24"/>
                <w:szCs w:val="24"/>
                <w:vertAlign w:val="baseline"/>
                <w:lang w:val="en-US" w:eastAsia="zh-CN"/>
              </w:rPr>
              <w:t>建设自动化立体仓库、单层分拣车间、多式联运集装箱堆场、公铁</w:t>
            </w:r>
            <w:r>
              <w:rPr>
                <w:rFonts w:hint="eastAsia" w:cs="Times New Roman"/>
                <w:strike w:val="0"/>
                <w:color w:val="auto"/>
                <w:sz w:val="24"/>
                <w:szCs w:val="24"/>
                <w:vertAlign w:val="baseline"/>
                <w:lang w:val="en-US" w:eastAsia="zh-CN"/>
              </w:rPr>
              <w:t>水</w:t>
            </w:r>
            <w:r>
              <w:rPr>
                <w:rFonts w:hint="default" w:ascii="Times New Roman" w:hAnsi="Times New Roman" w:cs="Times New Roman"/>
                <w:strike w:val="0"/>
                <w:color w:val="auto"/>
                <w:sz w:val="24"/>
                <w:szCs w:val="24"/>
                <w:vertAlign w:val="baseline"/>
                <w:lang w:val="en-US" w:eastAsia="zh-CN"/>
              </w:rPr>
              <w:t>联运装卸平台、共享分拨中心、智能云仓等物流设施</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strike w:val="0"/>
                <w:color w:val="auto"/>
                <w:sz w:val="24"/>
                <w:szCs w:val="24"/>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8</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eastAsia="仿宋_GB2312" w:cs="Times New Roman"/>
                <w:color w:val="auto"/>
                <w:sz w:val="24"/>
                <w:szCs w:val="24"/>
                <w:lang w:val="en-US" w:eastAsia="zh-CN"/>
              </w:rPr>
              <w:t>大宗商品物贸一体功能区二期</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trike w:val="0"/>
                <w:color w:val="auto"/>
                <w:sz w:val="24"/>
                <w:szCs w:val="24"/>
                <w:vertAlign w:val="baseline"/>
                <w:lang w:val="en-US" w:eastAsia="zh-CN"/>
              </w:rPr>
            </w:pPr>
            <w:r>
              <w:rPr>
                <w:rFonts w:hint="default" w:ascii="Times New Roman" w:hAnsi="Times New Roman" w:cs="Times New Roman"/>
                <w:strike w:val="0"/>
                <w:color w:val="auto"/>
                <w:sz w:val="24"/>
                <w:szCs w:val="24"/>
                <w:vertAlign w:val="baseline"/>
                <w:lang w:val="en-US" w:eastAsia="zh-CN"/>
              </w:rPr>
              <w:t>生产物资仓储分拨中心项目</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strike w:val="0"/>
                <w:color w:val="auto"/>
                <w:sz w:val="24"/>
                <w:szCs w:val="24"/>
                <w:vertAlign w:val="baseline"/>
                <w:lang w:val="en-US" w:eastAsia="zh-CN"/>
              </w:rPr>
            </w:pPr>
            <w:r>
              <w:rPr>
                <w:rFonts w:hint="default" w:ascii="Times New Roman" w:hAnsi="Times New Roman" w:cs="Times New Roman"/>
                <w:strike w:val="0"/>
                <w:color w:val="auto"/>
                <w:sz w:val="24"/>
                <w:szCs w:val="24"/>
                <w:vertAlign w:val="baseline"/>
                <w:lang w:val="en-US" w:eastAsia="zh-CN"/>
              </w:rPr>
              <w:t>建设高标准、恒温防潮仓库设施</w:t>
            </w:r>
            <w:r>
              <w:rPr>
                <w:rFonts w:hint="eastAsia" w:cs="Times New Roman"/>
                <w:strike w:val="0"/>
                <w:color w:val="auto"/>
                <w:sz w:val="24"/>
                <w:szCs w:val="24"/>
                <w:vertAlign w:val="baseline"/>
                <w:lang w:val="en-US" w:eastAsia="zh-CN"/>
              </w:rPr>
              <w:t>，积极申建铜、铝合金等产品期货交割库的功能区</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trike w:val="0"/>
                <w:color w:val="auto"/>
                <w:sz w:val="24"/>
                <w:szCs w:val="24"/>
                <w:vertAlign w:val="baseline"/>
                <w:lang w:val="en-US" w:eastAsia="zh-CN"/>
              </w:rPr>
            </w:pPr>
            <w:r>
              <w:rPr>
                <w:rFonts w:hint="eastAsia" w:cs="Times New Roman"/>
                <w:strike w:val="0"/>
                <w:color w:val="auto"/>
                <w:sz w:val="24"/>
                <w:szCs w:val="24"/>
                <w:vertAlign w:val="baseline"/>
                <w:lang w:val="en-US" w:eastAsia="zh-CN"/>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9</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冷链物流功能区</w:t>
            </w:r>
            <w:r>
              <w:rPr>
                <w:rFonts w:hint="eastAsia" w:cs="Times New Roman"/>
                <w:color w:val="auto"/>
                <w:sz w:val="24"/>
                <w:szCs w:val="24"/>
                <w:vertAlign w:val="baseline"/>
                <w:lang w:val="en-US" w:eastAsia="zh-CN"/>
              </w:rPr>
              <w:t>二期</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冷链物流</w:t>
            </w:r>
            <w:r>
              <w:rPr>
                <w:rFonts w:hint="eastAsia" w:cs="Times New Roman"/>
                <w:color w:val="auto"/>
                <w:sz w:val="24"/>
                <w:szCs w:val="24"/>
                <w:vertAlign w:val="baseline"/>
                <w:lang w:val="en-US" w:eastAsia="zh-CN"/>
              </w:rPr>
              <w:t>集散配送</w:t>
            </w:r>
            <w:r>
              <w:rPr>
                <w:rFonts w:hint="default" w:ascii="Times New Roman" w:hAnsi="Times New Roman" w:cs="Times New Roman"/>
                <w:color w:val="auto"/>
                <w:sz w:val="24"/>
                <w:szCs w:val="24"/>
                <w:vertAlign w:val="baseline"/>
                <w:lang w:val="en-US" w:eastAsia="zh-CN"/>
              </w:rPr>
              <w:t>中心项目</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建设冷链</w:t>
            </w:r>
            <w:r>
              <w:rPr>
                <w:rFonts w:hint="eastAsia" w:cs="Times New Roman"/>
                <w:color w:val="auto"/>
                <w:sz w:val="24"/>
                <w:szCs w:val="24"/>
                <w:vertAlign w:val="baseline"/>
                <w:lang w:val="en-US" w:eastAsia="zh-CN"/>
              </w:rPr>
              <w:t>分拨中心、城市</w:t>
            </w:r>
            <w:r>
              <w:rPr>
                <w:rFonts w:hint="default" w:ascii="Times New Roman" w:hAnsi="Times New Roman" w:cs="Times New Roman"/>
                <w:color w:val="auto"/>
                <w:sz w:val="24"/>
                <w:szCs w:val="24"/>
                <w:vertAlign w:val="baseline"/>
                <w:lang w:val="en-US" w:eastAsia="zh-CN"/>
              </w:rPr>
              <w:t>配送中心、</w:t>
            </w:r>
            <w:r>
              <w:rPr>
                <w:rFonts w:hint="eastAsia" w:cs="Times New Roman"/>
                <w:color w:val="auto"/>
                <w:sz w:val="24"/>
                <w:szCs w:val="24"/>
                <w:vertAlign w:val="baseline"/>
                <w:lang w:val="en-US" w:eastAsia="zh-CN"/>
              </w:rPr>
              <w:t>农特产品交易批发市场</w:t>
            </w:r>
            <w:r>
              <w:rPr>
                <w:rFonts w:hint="default" w:ascii="Times New Roman" w:hAnsi="Times New Roman" w:cs="Times New Roman"/>
                <w:color w:val="auto"/>
                <w:sz w:val="24"/>
                <w:szCs w:val="24"/>
                <w:vertAlign w:val="baseline"/>
                <w:lang w:val="en-US" w:eastAsia="zh-CN"/>
              </w:rPr>
              <w:t>等设施</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11.63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10</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电商</w:t>
            </w:r>
            <w:r>
              <w:rPr>
                <w:rFonts w:hint="default" w:ascii="Times New Roman" w:hAnsi="Times New Roman" w:cs="Times New Roman"/>
                <w:color w:val="auto"/>
                <w:sz w:val="24"/>
                <w:szCs w:val="24"/>
                <w:vertAlign w:val="baseline"/>
                <w:lang w:val="en-US" w:eastAsia="zh-CN"/>
              </w:rPr>
              <w:t>快递物流功能区</w:t>
            </w:r>
            <w:r>
              <w:rPr>
                <w:rFonts w:hint="eastAsia" w:cs="Times New Roman"/>
                <w:color w:val="auto"/>
                <w:sz w:val="24"/>
                <w:szCs w:val="24"/>
                <w:vertAlign w:val="baseline"/>
                <w:lang w:val="en-US" w:eastAsia="zh-CN"/>
              </w:rPr>
              <w:t>二期</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电商快递物流产业园</w:t>
            </w:r>
            <w:r>
              <w:rPr>
                <w:rFonts w:hint="eastAsia" w:cs="Times New Roman"/>
                <w:color w:val="auto"/>
                <w:sz w:val="24"/>
                <w:szCs w:val="24"/>
                <w:vertAlign w:val="baseline"/>
                <w:lang w:val="en-US" w:eastAsia="zh-CN"/>
              </w:rPr>
              <w:t>二期工程</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w:t>
            </w:r>
            <w:r>
              <w:rPr>
                <w:rFonts w:hint="eastAsia" w:cs="Times New Roman"/>
                <w:color w:val="auto"/>
                <w:sz w:val="24"/>
                <w:szCs w:val="24"/>
                <w:vertAlign w:val="baseline"/>
                <w:lang w:val="en-US" w:eastAsia="zh-CN"/>
              </w:rPr>
              <w:t>跨境</w:t>
            </w:r>
            <w:r>
              <w:rPr>
                <w:rFonts w:hint="default" w:ascii="Times New Roman" w:hAnsi="Times New Roman" w:cs="Times New Roman"/>
                <w:color w:val="auto"/>
                <w:sz w:val="24"/>
                <w:szCs w:val="24"/>
                <w:vertAlign w:val="baseline"/>
                <w:lang w:val="en-US" w:eastAsia="zh-CN"/>
              </w:rPr>
              <w:t>电商基地、</w:t>
            </w:r>
            <w:r>
              <w:rPr>
                <w:rFonts w:hint="eastAsia" w:cs="Times New Roman"/>
                <w:color w:val="auto"/>
                <w:sz w:val="24"/>
                <w:szCs w:val="24"/>
                <w:vertAlign w:val="baseline"/>
                <w:lang w:val="en-US" w:eastAsia="zh-CN"/>
              </w:rPr>
              <w:t>直播电商与供应链中心、智能云仓</w:t>
            </w:r>
            <w:r>
              <w:rPr>
                <w:rFonts w:hint="default" w:ascii="Times New Roman" w:hAnsi="Times New Roman" w:cs="Times New Roman"/>
                <w:color w:val="auto"/>
                <w:sz w:val="24"/>
                <w:szCs w:val="24"/>
                <w:vertAlign w:val="baseline"/>
                <w:lang w:val="en-US" w:eastAsia="zh-CN"/>
              </w:rPr>
              <w:t>等</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9.58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3" w:type="pct"/>
            <w:shd w:val="clear" w:color="auto" w:fill="auto"/>
            <w:vAlign w:val="center"/>
          </w:tcPr>
          <w:p>
            <w:pPr>
              <w:adjustRightInd w:val="0"/>
              <w:snapToGrid w:val="0"/>
              <w:spacing w:line="240" w:lineRule="auto"/>
              <w:ind w:firstLine="0" w:firstLineChars="0"/>
              <w:jc w:val="center"/>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11</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粮食物流功能区</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粮食物流产业园</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建设高标准粮食仓、</w:t>
            </w:r>
            <w:r>
              <w:rPr>
                <w:rFonts w:hint="eastAsia" w:cs="Times New Roman"/>
                <w:color w:val="auto"/>
                <w:sz w:val="24"/>
                <w:szCs w:val="24"/>
                <w:vertAlign w:val="baseline"/>
                <w:lang w:val="en-US" w:eastAsia="zh-CN"/>
              </w:rPr>
              <w:t>粮食加工区等</w:t>
            </w:r>
            <w:r>
              <w:rPr>
                <w:rFonts w:hint="default" w:ascii="Times New Roman" w:hAnsi="Times New Roman" w:cs="Times New Roman"/>
                <w:color w:val="auto"/>
                <w:sz w:val="24"/>
                <w:szCs w:val="24"/>
                <w:vertAlign w:val="baseline"/>
                <w:lang w:val="en-US" w:eastAsia="zh-CN"/>
              </w:rPr>
              <w:t>设施</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37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12</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医药及应急物资功能区二期</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现代智慧</w:t>
            </w:r>
            <w:r>
              <w:rPr>
                <w:rFonts w:hint="default" w:ascii="Times New Roman" w:hAnsi="Times New Roman" w:cs="Times New Roman"/>
                <w:color w:val="auto"/>
                <w:sz w:val="24"/>
                <w:szCs w:val="24"/>
                <w:vertAlign w:val="baseline"/>
                <w:lang w:val="en-US" w:eastAsia="zh-CN"/>
              </w:rPr>
              <w:t>医药物流</w:t>
            </w:r>
            <w:r>
              <w:rPr>
                <w:rFonts w:hint="eastAsia" w:cs="Times New Roman"/>
                <w:color w:val="auto"/>
                <w:sz w:val="24"/>
                <w:szCs w:val="24"/>
                <w:vertAlign w:val="baseline"/>
                <w:lang w:val="en-US" w:eastAsia="zh-CN"/>
              </w:rPr>
              <w:t>中心</w:t>
            </w:r>
            <w:r>
              <w:rPr>
                <w:rFonts w:hint="default" w:ascii="Times New Roman" w:hAnsi="Times New Roman" w:cs="Times New Roman"/>
                <w:color w:val="auto"/>
                <w:sz w:val="24"/>
                <w:szCs w:val="24"/>
                <w:vertAlign w:val="baseline"/>
                <w:lang w:val="en-US" w:eastAsia="zh-CN"/>
              </w:rPr>
              <w:t>项目</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建设</w:t>
            </w:r>
            <w:r>
              <w:rPr>
                <w:rFonts w:hint="default" w:ascii="Times New Roman" w:hAnsi="Times New Roman" w:cs="Times New Roman"/>
                <w:color w:val="auto"/>
                <w:sz w:val="24"/>
                <w:szCs w:val="24"/>
                <w:vertAlign w:val="baseline"/>
                <w:lang w:val="en-US" w:eastAsia="zh-CN"/>
              </w:rPr>
              <w:t>冷冻库、冷藏库、常温库、阴凉库等</w:t>
            </w:r>
            <w:r>
              <w:rPr>
                <w:rFonts w:hint="eastAsia" w:cs="Times New Roman"/>
                <w:color w:val="auto"/>
                <w:sz w:val="24"/>
                <w:szCs w:val="24"/>
                <w:vertAlign w:val="baseline"/>
                <w:lang w:val="en-US" w:eastAsia="zh-CN"/>
              </w:rPr>
              <w:t>智能</w:t>
            </w:r>
            <w:r>
              <w:rPr>
                <w:rFonts w:hint="default" w:ascii="Times New Roman" w:hAnsi="Times New Roman" w:cs="Times New Roman"/>
                <w:color w:val="auto"/>
                <w:sz w:val="24"/>
                <w:szCs w:val="24"/>
                <w:vertAlign w:val="baseline"/>
                <w:lang w:val="en-US" w:eastAsia="zh-CN"/>
              </w:rPr>
              <w:t>多温区仓储中心、分拣作业区、医药配送中心</w:t>
            </w:r>
            <w:r>
              <w:rPr>
                <w:rFonts w:hint="eastAsia" w:cs="Times New Roman"/>
                <w:color w:val="auto"/>
                <w:sz w:val="24"/>
                <w:szCs w:val="24"/>
                <w:vertAlign w:val="baseline"/>
                <w:lang w:val="en-US" w:eastAsia="zh-CN"/>
              </w:rPr>
              <w:t>等设施</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373" w:type="pct"/>
            <w:shd w:val="clear" w:color="auto" w:fill="auto"/>
            <w:vAlign w:val="center"/>
          </w:tcPr>
          <w:p>
            <w:pPr>
              <w:adjustRightInd w:val="0"/>
              <w:snapToGrid w:val="0"/>
              <w:spacing w:line="240" w:lineRule="auto"/>
              <w:ind w:firstLine="0" w:firstLineChars="0"/>
              <w:jc w:val="center"/>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13</w:t>
            </w:r>
          </w:p>
        </w:tc>
        <w:tc>
          <w:tcPr>
            <w:tcW w:w="5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trike w:val="0"/>
                <w:color w:val="auto"/>
                <w:sz w:val="24"/>
                <w:szCs w:val="24"/>
                <w:vertAlign w:val="baseline"/>
                <w:lang w:val="en-US" w:eastAsia="zh-CN"/>
              </w:rPr>
            </w:pPr>
            <w:r>
              <w:rPr>
                <w:rFonts w:hint="eastAsia" w:cs="Times New Roman"/>
                <w:strike w:val="0"/>
                <w:color w:val="auto"/>
                <w:sz w:val="24"/>
                <w:szCs w:val="24"/>
                <w:vertAlign w:val="baseline"/>
                <w:lang w:val="en-US" w:eastAsia="zh-CN"/>
              </w:rPr>
              <w:t>供应链集成服务功能区二期</w:t>
            </w:r>
          </w:p>
        </w:tc>
        <w:tc>
          <w:tcPr>
            <w:tcW w:w="11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trike w:val="0"/>
                <w:color w:val="auto"/>
                <w:sz w:val="24"/>
                <w:szCs w:val="24"/>
                <w:vertAlign w:val="baseline"/>
                <w:lang w:val="en-US" w:eastAsia="zh-CN"/>
              </w:rPr>
            </w:pPr>
            <w:r>
              <w:rPr>
                <w:rFonts w:hint="default" w:cs="Times New Roman"/>
                <w:strike w:val="0"/>
                <w:color w:val="auto"/>
                <w:sz w:val="24"/>
                <w:szCs w:val="24"/>
                <w:vertAlign w:val="baseline"/>
                <w:lang w:val="en-US" w:eastAsia="zh-CN"/>
              </w:rPr>
              <w:t>供应链集成服务中心二期项目</w:t>
            </w:r>
          </w:p>
        </w:tc>
        <w:tc>
          <w:tcPr>
            <w:tcW w:w="232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s="Times New Roman"/>
                <w:strike w:val="0"/>
                <w:color w:val="auto"/>
                <w:sz w:val="24"/>
                <w:szCs w:val="24"/>
                <w:vertAlign w:val="baseline"/>
                <w:lang w:val="en-US" w:eastAsia="zh-CN"/>
              </w:rPr>
            </w:pPr>
            <w:r>
              <w:rPr>
                <w:rFonts w:hint="default" w:cs="Times New Roman"/>
                <w:strike w:val="0"/>
                <w:color w:val="auto"/>
                <w:sz w:val="24"/>
                <w:szCs w:val="24"/>
                <w:vertAlign w:val="baseline"/>
                <w:lang w:val="en-US" w:eastAsia="zh-CN"/>
              </w:rPr>
              <w:t>建设供应链物流运营中心、综合物流配套服务中心</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trike w:val="0"/>
                <w:color w:val="auto"/>
                <w:sz w:val="24"/>
                <w:szCs w:val="24"/>
                <w:vertAlign w:val="baseline"/>
                <w:lang w:val="en-US" w:eastAsia="zh-CN"/>
              </w:rPr>
            </w:pPr>
            <w:r>
              <w:rPr>
                <w:rFonts w:hint="eastAsia" w:cs="Times New Roman"/>
                <w:strike w:val="0"/>
                <w:color w:val="auto"/>
                <w:sz w:val="24"/>
                <w:szCs w:val="24"/>
                <w:vertAlign w:val="baseline"/>
                <w:lang w:val="en-US" w:eastAsia="zh-CN"/>
              </w:rP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4342"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kern w:val="2"/>
                <w:sz w:val="24"/>
                <w:szCs w:val="24"/>
                <w:vertAlign w:val="baseline"/>
                <w:lang w:val="en-US" w:eastAsia="zh-CN" w:bidi="ar-SA"/>
              </w:rPr>
            </w:pPr>
            <w:r>
              <w:rPr>
                <w:rFonts w:hint="default" w:ascii="Times New Roman" w:hAnsi="Times New Roman" w:cs="Times New Roman"/>
                <w:color w:val="auto"/>
                <w:kern w:val="2"/>
                <w:sz w:val="24"/>
                <w:szCs w:val="24"/>
                <w:vertAlign w:val="baseline"/>
                <w:lang w:val="en-US" w:eastAsia="zh-CN" w:bidi="ar-SA"/>
              </w:rPr>
              <w:t>合计</w:t>
            </w:r>
          </w:p>
        </w:tc>
        <w:tc>
          <w:tcPr>
            <w:tcW w:w="65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81.45</w:t>
            </w:r>
          </w:p>
        </w:tc>
      </w:tr>
    </w:tbl>
    <w:p>
      <w:pPr>
        <w:rPr>
          <w:rFonts w:hint="default"/>
          <w:lang w:val="en-US" w:eastAsia="zh-CN"/>
        </w:rPr>
      </w:pPr>
    </w:p>
    <w:p>
      <w:pPr>
        <w:spacing w:line="600" w:lineRule="exact"/>
        <w:ind w:firstLine="0" w:firstLineChars="0"/>
        <w:rPr>
          <w:rFonts w:hint="default" w:ascii="Times New Roman" w:hAnsi="Times New Roman" w:cs="Times New Roman"/>
          <w:color w:val="auto"/>
          <w:lang w:val="en-US" w:eastAsia="zh-CN"/>
        </w:rPr>
        <w:sectPr>
          <w:pgSz w:w="23811" w:h="16838" w:orient="landscape"/>
          <w:pgMar w:top="1800" w:right="1440" w:bottom="1800" w:left="1440" w:header="851" w:footer="992" w:gutter="0"/>
          <w:pgNumType w:fmt="decimal"/>
          <w:cols w:space="425" w:num="1"/>
          <w:docGrid w:type="lines" w:linePitch="312" w:charSpace="0"/>
        </w:sectPr>
      </w:pPr>
    </w:p>
    <w:p>
      <w:pPr>
        <w:bidi w:val="0"/>
        <w:rPr>
          <w:rFonts w:hint="default" w:cs="Times New Roman"/>
          <w:b/>
          <w:bCs/>
          <w:color w:val="auto"/>
          <w:lang w:val="en-US" w:eastAsia="zh-CN"/>
        </w:rPr>
      </w:pPr>
      <w:r>
        <w:rPr>
          <w:rFonts w:hint="eastAsia" w:cs="Times New Roman"/>
          <w:b/>
          <w:bCs/>
          <w:color w:val="auto"/>
          <w:lang w:val="en-US" w:eastAsia="zh-CN"/>
        </w:rPr>
        <w:t>3.远</w:t>
      </w:r>
      <w:r>
        <w:rPr>
          <w:rFonts w:hint="default" w:cs="Times New Roman"/>
          <w:b/>
          <w:bCs/>
          <w:color w:val="auto"/>
          <w:lang w:val="en-US" w:eastAsia="zh-CN"/>
        </w:rPr>
        <w:t>期建设项目用地需求</w:t>
      </w:r>
    </w:p>
    <w:p>
      <w:pPr>
        <w:spacing w:line="600" w:lineRule="exact"/>
        <w:ind w:firstLine="640"/>
        <w:rPr>
          <w:rFonts w:hint="eastAsia" w:cs="Times New Roman"/>
          <w:color w:val="auto"/>
          <w:sz w:val="32"/>
          <w:szCs w:val="22"/>
          <w:highlight w:val="none"/>
          <w:lang w:val="en-US" w:eastAsia="zh-CN"/>
        </w:rPr>
      </w:pPr>
      <w:r>
        <w:rPr>
          <w:rFonts w:hint="default" w:cs="Times New Roman"/>
          <w:color w:val="auto"/>
          <w:highlight w:val="none"/>
          <w:lang w:val="en-US" w:eastAsia="zh-CN"/>
        </w:rPr>
        <w:t>远期建设项目累计占地面积</w:t>
      </w:r>
      <w:r>
        <w:rPr>
          <w:rFonts w:hint="default" w:cs="Times New Roman"/>
          <w:color w:val="auto"/>
          <w:sz w:val="32"/>
          <w:szCs w:val="22"/>
          <w:highlight w:val="none"/>
          <w:lang w:val="en-US" w:eastAsia="zh-CN"/>
        </w:rPr>
        <w:t>3596亩，需调出永久基本农田269亩，已纳入城镇开发边界147亩，需调整纳入城镇开发边界3449亩</w:t>
      </w:r>
      <w:r>
        <w:rPr>
          <w:rFonts w:hint="eastAsia" w:cs="Times New Roman"/>
          <w:color w:val="auto"/>
          <w:sz w:val="32"/>
          <w:szCs w:val="22"/>
          <w:highlight w:val="none"/>
          <w:lang w:val="en-US" w:eastAsia="zh-CN"/>
        </w:rPr>
        <w:t>。</w:t>
      </w:r>
    </w:p>
    <w:p>
      <w:pPr>
        <w:pStyle w:val="7"/>
        <w:keepNext/>
        <w:rPr>
          <w:rFonts w:hint="eastAsia"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4</w:t>
      </w:r>
      <w:r>
        <w:rPr>
          <w:color w:val="auto"/>
        </w:rPr>
        <w:fldChar w:fldCharType="end"/>
      </w:r>
      <w:r>
        <w:rPr>
          <w:rFonts w:hint="eastAsia"/>
          <w:color w:val="auto"/>
          <w:lang w:val="en-US" w:eastAsia="zh-CN"/>
        </w:rPr>
        <w:t xml:space="preserve"> 远期建设项目用地需求表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2215"/>
        <w:gridCol w:w="1324"/>
        <w:gridCol w:w="2049"/>
        <w:gridCol w:w="2049"/>
        <w:gridCol w:w="23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666" w:hRule="atLeast"/>
          <w:tblHeader/>
          <w:jc w:val="center"/>
        </w:trPr>
        <w:tc>
          <w:tcPr>
            <w:tcW w:w="2216" w:type="dxa"/>
            <w:shd w:val="clear" w:color="auto" w:fill="auto"/>
            <w:tcMar>
              <w:left w:w="108" w:type="dxa"/>
              <w:right w:w="108"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rFonts w:hint="eastAsia" w:ascii="黑体" w:hAnsi="黑体" w:eastAsia="黑体" w:cs="黑体"/>
                <w:color w:val="auto"/>
                <w:sz w:val="28"/>
                <w:szCs w:val="21"/>
              </w:rPr>
            </w:pPr>
            <w:r>
              <w:rPr>
                <w:rFonts w:hint="eastAsia" w:ascii="黑体" w:hAnsi="黑体" w:eastAsia="黑体" w:cs="黑体"/>
                <w:color w:val="auto"/>
                <w:sz w:val="28"/>
                <w:szCs w:val="21"/>
                <w:lang w:val="en-US" w:eastAsia="zh-CN"/>
              </w:rPr>
              <w:t>远</w:t>
            </w:r>
            <w:r>
              <w:rPr>
                <w:rFonts w:hint="eastAsia" w:ascii="黑体" w:hAnsi="黑体" w:eastAsia="黑体" w:cs="黑体"/>
                <w:color w:val="auto"/>
                <w:sz w:val="28"/>
                <w:szCs w:val="21"/>
              </w:rPr>
              <w:t>期建设项目</w:t>
            </w:r>
          </w:p>
        </w:tc>
        <w:tc>
          <w:tcPr>
            <w:tcW w:w="1324" w:type="dxa"/>
            <w:shd w:val="clear" w:color="auto" w:fill="auto"/>
            <w:tcMar>
              <w:left w:w="108" w:type="dxa"/>
              <w:right w:w="108"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rFonts w:hint="eastAsia" w:ascii="黑体" w:hAnsi="黑体" w:eastAsia="黑体" w:cs="黑体"/>
                <w:color w:val="auto"/>
                <w:sz w:val="28"/>
                <w:szCs w:val="21"/>
              </w:rPr>
            </w:pPr>
            <w:r>
              <w:rPr>
                <w:rFonts w:hint="eastAsia" w:ascii="黑体" w:hAnsi="黑体" w:eastAsia="黑体" w:cs="黑体"/>
                <w:color w:val="auto"/>
                <w:sz w:val="28"/>
                <w:szCs w:val="21"/>
              </w:rPr>
              <w:t>占地面积（亩）</w:t>
            </w:r>
          </w:p>
        </w:tc>
        <w:tc>
          <w:tcPr>
            <w:tcW w:w="0" w:type="auto"/>
            <w:shd w:val="clear" w:color="auto" w:fill="auto"/>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rFonts w:hint="eastAsia" w:ascii="黑体" w:hAnsi="黑体" w:eastAsia="黑体" w:cs="黑体"/>
                <w:color w:val="auto"/>
                <w:sz w:val="28"/>
                <w:szCs w:val="21"/>
              </w:rPr>
            </w:pPr>
            <w:r>
              <w:rPr>
                <w:rFonts w:hint="eastAsia" w:ascii="黑体" w:hAnsi="黑体" w:eastAsia="黑体" w:cs="黑体"/>
                <w:color w:val="auto"/>
                <w:sz w:val="28"/>
                <w:szCs w:val="21"/>
              </w:rPr>
              <w:t>需调出永久基本农田（亩）</w:t>
            </w:r>
          </w:p>
        </w:tc>
        <w:tc>
          <w:tcPr>
            <w:tcW w:w="0" w:type="auto"/>
            <w:shd w:val="clear" w:color="auto" w:fill="auto"/>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rFonts w:hint="eastAsia" w:ascii="黑体" w:hAnsi="黑体" w:eastAsia="黑体" w:cs="黑体"/>
                <w:color w:val="auto"/>
                <w:sz w:val="28"/>
                <w:szCs w:val="21"/>
              </w:rPr>
            </w:pPr>
            <w:r>
              <w:rPr>
                <w:rFonts w:hint="eastAsia" w:ascii="黑体" w:hAnsi="黑体" w:eastAsia="黑体" w:cs="黑体"/>
                <w:color w:val="auto"/>
                <w:sz w:val="28"/>
                <w:szCs w:val="21"/>
              </w:rPr>
              <w:t>已纳入城镇开发边界（亩）</w:t>
            </w:r>
          </w:p>
        </w:tc>
        <w:tc>
          <w:tcPr>
            <w:tcW w:w="0" w:type="auto"/>
            <w:shd w:val="clear" w:color="auto" w:fill="auto"/>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rFonts w:hint="eastAsia" w:ascii="黑体" w:hAnsi="黑体" w:eastAsia="黑体" w:cs="黑体"/>
                <w:color w:val="auto"/>
                <w:sz w:val="28"/>
                <w:szCs w:val="21"/>
              </w:rPr>
            </w:pPr>
            <w:r>
              <w:rPr>
                <w:rFonts w:hint="eastAsia" w:ascii="黑体" w:hAnsi="黑体" w:eastAsia="黑体" w:cs="黑体"/>
                <w:color w:val="auto"/>
                <w:sz w:val="28"/>
                <w:szCs w:val="21"/>
              </w:rPr>
              <w:t>需调整纳入城镇开发边界（亩）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大件码头二期</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126</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2</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铁路物流功能区</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593</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3</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粮食物流功能区</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237</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11</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237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国际物流功能区二期</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240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5"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大宗商品物贸一体功能区二期</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420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175</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18</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智慧公路物流功能区二期</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480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70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供应链集成服务功能区二期</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142</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医药及应急物流功能区二期</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324</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73</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冷链物流功能区二期</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465</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24</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电商快递物流功能区二期</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479</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10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469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城市道路等配套设施</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90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10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20</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color w:val="auto"/>
                <w:sz w:val="28"/>
                <w:szCs w:val="21"/>
              </w:rPr>
            </w:pPr>
            <w:r>
              <w:rPr>
                <w:color w:val="auto"/>
                <w:sz w:val="28"/>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2216"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b/>
                <w:bCs/>
                <w:color w:val="auto"/>
                <w:sz w:val="28"/>
                <w:szCs w:val="21"/>
              </w:rPr>
            </w:pPr>
            <w:r>
              <w:rPr>
                <w:b/>
                <w:bCs/>
                <w:color w:val="auto"/>
                <w:sz w:val="28"/>
                <w:szCs w:val="21"/>
              </w:rPr>
              <w:t>合计</w:t>
            </w:r>
          </w:p>
        </w:tc>
        <w:tc>
          <w:tcPr>
            <w:tcW w:w="1324" w:type="dxa"/>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b/>
                <w:bCs/>
                <w:color w:val="auto"/>
                <w:sz w:val="28"/>
                <w:szCs w:val="21"/>
              </w:rPr>
            </w:pPr>
            <w:r>
              <w:rPr>
                <w:b/>
                <w:bCs/>
                <w:color w:val="auto"/>
                <w:sz w:val="28"/>
                <w:szCs w:val="21"/>
              </w:rPr>
              <w:t>3596</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b/>
                <w:bCs/>
                <w:color w:val="auto"/>
                <w:sz w:val="28"/>
                <w:szCs w:val="21"/>
              </w:rPr>
            </w:pPr>
            <w:r>
              <w:rPr>
                <w:b/>
                <w:bCs/>
                <w:color w:val="auto"/>
                <w:sz w:val="28"/>
                <w:szCs w:val="21"/>
              </w:rPr>
              <w:t>269</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b/>
                <w:bCs/>
                <w:color w:val="auto"/>
                <w:sz w:val="28"/>
                <w:szCs w:val="21"/>
              </w:rPr>
            </w:pPr>
            <w:r>
              <w:rPr>
                <w:b/>
                <w:bCs/>
                <w:color w:val="auto"/>
                <w:sz w:val="28"/>
                <w:szCs w:val="21"/>
              </w:rPr>
              <w:t>147</w:t>
            </w:r>
          </w:p>
        </w:tc>
        <w:tc>
          <w:tcPr>
            <w:tcW w:w="0" w:type="auto"/>
            <w:shd w:val="clear" w:color="auto" w:fill="FFFFFF"/>
            <w:tcMar>
              <w:top w:w="15" w:type="dxa"/>
              <w:left w:w="15" w:type="dxa"/>
              <w:right w:w="15" w:type="dxa"/>
            </w:tcMar>
            <w:vAlign w:val="center"/>
          </w:tcPr>
          <w:p>
            <w:pPr>
              <w:keepNext w:val="0"/>
              <w:keepLines w:val="0"/>
              <w:widowControl w:val="0"/>
              <w:suppressLineNumbers w:val="0"/>
              <w:kinsoku/>
              <w:wordWrap/>
              <w:overflowPunct/>
              <w:adjustRightInd w:val="0"/>
              <w:snapToGrid w:val="0"/>
              <w:spacing w:line="240" w:lineRule="auto"/>
              <w:ind w:firstLine="0" w:firstLineChars="0"/>
              <w:jc w:val="center"/>
              <w:rPr>
                <w:b/>
                <w:bCs/>
                <w:color w:val="auto"/>
                <w:sz w:val="28"/>
                <w:szCs w:val="21"/>
              </w:rPr>
            </w:pPr>
            <w:r>
              <w:rPr>
                <w:b/>
                <w:bCs/>
                <w:color w:val="auto"/>
                <w:sz w:val="28"/>
                <w:szCs w:val="21"/>
              </w:rPr>
              <w:t>3449</w:t>
            </w:r>
          </w:p>
        </w:tc>
      </w:tr>
    </w:tbl>
    <w:p>
      <w:pPr>
        <w:pStyle w:val="27"/>
        <w:bidi w:val="0"/>
        <w:rPr>
          <w:color w:val="auto"/>
        </w:rPr>
      </w:pPr>
      <w:r>
        <w:rPr>
          <w:color w:val="auto"/>
        </w:rPr>
        <w:drawing>
          <wp:inline distT="0" distB="0" distL="114300" distR="114300">
            <wp:extent cx="5499100" cy="6544310"/>
            <wp:effectExtent l="0" t="0" r="6350" b="889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85"/>
                    <a:stretch>
                      <a:fillRect/>
                    </a:stretch>
                  </pic:blipFill>
                  <pic:spPr>
                    <a:xfrm>
                      <a:off x="0" y="0"/>
                      <a:ext cx="5499100" cy="6544310"/>
                    </a:xfrm>
                    <a:prstGeom prst="rect">
                      <a:avLst/>
                    </a:prstGeom>
                    <a:noFill/>
                    <a:ln>
                      <a:noFill/>
                    </a:ln>
                  </pic:spPr>
                </pic:pic>
              </a:graphicData>
            </a:graphic>
          </wp:inline>
        </w:drawing>
      </w:r>
    </w:p>
    <w:p>
      <w:pPr>
        <w:pStyle w:val="7"/>
        <w:bidi w:val="0"/>
        <w:rPr>
          <w:rFonts w:hint="eastAsia" w:cs="Times New Roman"/>
          <w:color w:val="auto"/>
          <w:szCs w:val="32"/>
          <w:lang w:val="en-US" w:eastAsia="zh-CN"/>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2</w:t>
      </w:r>
      <w:r>
        <w:rPr>
          <w:color w:val="auto"/>
        </w:rPr>
        <w:fldChar w:fldCharType="end"/>
      </w:r>
      <w:r>
        <w:rPr>
          <w:rFonts w:hint="eastAsia"/>
          <w:color w:val="auto"/>
          <w:lang w:val="en-US" w:eastAsia="zh-CN"/>
        </w:rPr>
        <w:t xml:space="preserve"> 建设项目用地需求</w:t>
      </w:r>
    </w:p>
    <w:p>
      <w:pPr>
        <w:pStyle w:val="19"/>
        <w:rPr>
          <w:rFonts w:hint="eastAsia" w:ascii="Times New Roman" w:hAnsi="Times New Roman" w:eastAsia="仿宋_GB2312" w:cs="Times New Roman"/>
          <w:b w:val="0"/>
          <w:bCs w:val="0"/>
          <w:color w:val="auto"/>
          <w:kern w:val="2"/>
          <w:sz w:val="32"/>
          <w:szCs w:val="22"/>
          <w:lang w:val="en-US" w:eastAsia="zh-CN" w:bidi="ar-SA"/>
        </w:rPr>
      </w:pPr>
      <w:r>
        <w:rPr>
          <w:rFonts w:hint="eastAsia" w:ascii="Times New Roman" w:hAnsi="Times New Roman" w:eastAsia="仿宋_GB2312" w:cs="Times New Roman"/>
          <w:b w:val="0"/>
          <w:bCs w:val="0"/>
          <w:color w:val="auto"/>
          <w:kern w:val="2"/>
          <w:sz w:val="32"/>
          <w:szCs w:val="22"/>
          <w:lang w:val="en-US" w:eastAsia="zh-CN" w:bidi="ar-SA"/>
        </w:rPr>
        <w:t>整体来看，</w:t>
      </w:r>
      <w:r>
        <w:rPr>
          <w:rFonts w:hint="default" w:ascii="Times New Roman" w:hAnsi="Times New Roman" w:eastAsia="仿宋_GB2312" w:cs="Times New Roman"/>
          <w:b w:val="0"/>
          <w:bCs w:val="0"/>
          <w:color w:val="auto"/>
          <w:kern w:val="2"/>
          <w:sz w:val="32"/>
          <w:szCs w:val="22"/>
          <w:lang w:val="en-US" w:eastAsia="zh-CN" w:bidi="ar-SA"/>
        </w:rPr>
        <w:t>近</w:t>
      </w:r>
      <w:r>
        <w:rPr>
          <w:rFonts w:hint="eastAsia" w:ascii="Times New Roman" w:hAnsi="Times New Roman" w:eastAsia="仿宋_GB2312" w:cs="Times New Roman"/>
          <w:b w:val="0"/>
          <w:bCs w:val="0"/>
          <w:color w:val="auto"/>
          <w:kern w:val="2"/>
          <w:sz w:val="32"/>
          <w:szCs w:val="22"/>
          <w:lang w:val="en-US" w:eastAsia="zh-CN" w:bidi="ar-SA"/>
        </w:rPr>
        <w:t>、</w:t>
      </w:r>
      <w:r>
        <w:rPr>
          <w:rFonts w:hint="default" w:ascii="Times New Roman" w:hAnsi="Times New Roman" w:eastAsia="仿宋_GB2312" w:cs="Times New Roman"/>
          <w:b w:val="0"/>
          <w:bCs w:val="0"/>
          <w:color w:val="auto"/>
          <w:kern w:val="2"/>
          <w:sz w:val="32"/>
          <w:szCs w:val="22"/>
          <w:lang w:val="en-US" w:eastAsia="zh-CN" w:bidi="ar-SA"/>
        </w:rPr>
        <w:t>远期项目累计占地面积5512亩，其中需调出基本农田269亩，已纳入城镇开发边界223亩，需调整纳入城镇开发边界5010亩，通过重大交通项目独立选址落实279亩</w:t>
      </w:r>
      <w:r>
        <w:rPr>
          <w:rFonts w:hint="eastAsia" w:ascii="Times New Roman" w:hAnsi="Times New Roman" w:eastAsia="仿宋_GB2312" w:cs="Times New Roman"/>
          <w:b w:val="0"/>
          <w:bCs w:val="0"/>
          <w:color w:val="auto"/>
          <w:kern w:val="2"/>
          <w:sz w:val="32"/>
          <w:szCs w:val="22"/>
          <w:lang w:val="en-US" w:eastAsia="zh-CN" w:bidi="ar-SA"/>
        </w:rPr>
        <w:t>。</w:t>
      </w:r>
    </w:p>
    <w:p>
      <w:pPr>
        <w:bidi w:val="0"/>
        <w:rPr>
          <w:rFonts w:hint="default" w:cs="Times New Roman"/>
          <w:b/>
          <w:bCs/>
          <w:color w:val="auto"/>
          <w:szCs w:val="32"/>
          <w:lang w:val="en-US" w:eastAsia="zh-CN"/>
        </w:rPr>
      </w:pPr>
      <w:r>
        <w:rPr>
          <w:rFonts w:hint="eastAsia" w:cs="Times New Roman"/>
          <w:b/>
          <w:bCs/>
          <w:color w:val="auto"/>
          <w:szCs w:val="32"/>
          <w:lang w:val="en-US" w:eastAsia="zh-CN"/>
        </w:rPr>
        <w:t>4.远期开发及远景用地指引</w:t>
      </w:r>
    </w:p>
    <w:p>
      <w:pPr>
        <w:pStyle w:val="19"/>
        <w:rPr>
          <w:rFonts w:hint="eastAsia" w:ascii="Times New Roman" w:hAnsi="Times New Roman" w:eastAsia="仿宋_GB2312" w:cs="Times New Roman"/>
          <w:b w:val="0"/>
          <w:bCs w:val="0"/>
          <w:color w:val="auto"/>
          <w:kern w:val="2"/>
          <w:sz w:val="32"/>
          <w:szCs w:val="22"/>
          <w:lang w:val="en-US" w:eastAsia="zh-CN" w:bidi="ar-SA"/>
        </w:rPr>
      </w:pPr>
      <w:r>
        <w:rPr>
          <w:rFonts w:hint="eastAsia" w:ascii="Times New Roman" w:hAnsi="Times New Roman" w:eastAsia="仿宋_GB2312" w:cs="Times New Roman"/>
          <w:b w:val="0"/>
          <w:bCs w:val="0"/>
          <w:color w:val="auto"/>
          <w:kern w:val="2"/>
          <w:sz w:val="32"/>
          <w:szCs w:val="22"/>
          <w:lang w:val="en-US" w:eastAsia="zh-CN" w:bidi="ar-SA"/>
        </w:rPr>
        <w:t>远期建设项目根据项目成熟度、招商情况以及产业发展需求，适时调整建设内容、建设时序等，远景展望用地中临港产业发展预留区视整体发展情况，</w:t>
      </w:r>
      <w:r>
        <w:rPr>
          <w:rFonts w:hint="default" w:ascii="Times New Roman" w:hAnsi="Times New Roman" w:eastAsia="仿宋_GB2312" w:cs="Times New Roman"/>
          <w:b w:val="0"/>
          <w:bCs w:val="0"/>
          <w:color w:val="auto"/>
          <w:kern w:val="2"/>
          <w:sz w:val="32"/>
          <w:szCs w:val="22"/>
          <w:lang w:val="en-US" w:eastAsia="zh-CN" w:bidi="ar-SA"/>
        </w:rPr>
        <w:t>围绕</w:t>
      </w:r>
      <w:r>
        <w:rPr>
          <w:rFonts w:hint="eastAsia" w:ascii="Times New Roman" w:hAnsi="Times New Roman" w:eastAsia="仿宋_GB2312" w:cs="Times New Roman"/>
          <w:b w:val="0"/>
          <w:bCs w:val="0"/>
          <w:color w:val="auto"/>
          <w:kern w:val="2"/>
          <w:sz w:val="32"/>
          <w:szCs w:val="22"/>
          <w:lang w:val="en-US" w:eastAsia="zh-CN" w:bidi="ar-SA"/>
        </w:rPr>
        <w:t>航空运输、铁路运输</w:t>
      </w:r>
      <w:r>
        <w:rPr>
          <w:rFonts w:hint="default" w:ascii="Times New Roman" w:hAnsi="Times New Roman" w:eastAsia="仿宋_GB2312" w:cs="Times New Roman"/>
          <w:b w:val="0"/>
          <w:bCs w:val="0"/>
          <w:color w:val="auto"/>
          <w:kern w:val="2"/>
          <w:sz w:val="32"/>
          <w:szCs w:val="22"/>
          <w:lang w:val="en-US" w:eastAsia="zh-CN" w:bidi="ar-SA"/>
        </w:rPr>
        <w:t>、</w:t>
      </w:r>
      <w:r>
        <w:rPr>
          <w:rFonts w:hint="eastAsia" w:ascii="Times New Roman" w:hAnsi="Times New Roman" w:eastAsia="仿宋_GB2312" w:cs="Times New Roman"/>
          <w:b w:val="0"/>
          <w:bCs w:val="0"/>
          <w:color w:val="auto"/>
          <w:kern w:val="2"/>
          <w:sz w:val="32"/>
          <w:szCs w:val="22"/>
          <w:lang w:val="en-US" w:eastAsia="zh-CN" w:bidi="ar-SA"/>
        </w:rPr>
        <w:t>水路</w:t>
      </w:r>
      <w:r>
        <w:rPr>
          <w:rFonts w:hint="default" w:ascii="Times New Roman" w:hAnsi="Times New Roman" w:eastAsia="仿宋_GB2312" w:cs="Times New Roman"/>
          <w:b w:val="0"/>
          <w:bCs w:val="0"/>
          <w:color w:val="auto"/>
          <w:kern w:val="2"/>
          <w:sz w:val="32"/>
          <w:szCs w:val="22"/>
          <w:lang w:val="en-US" w:eastAsia="zh-CN" w:bidi="ar-SA"/>
        </w:rPr>
        <w:t>大件运输优势，</w:t>
      </w:r>
      <w:r>
        <w:rPr>
          <w:rFonts w:hint="eastAsia" w:ascii="Times New Roman" w:hAnsi="Times New Roman" w:eastAsia="仿宋_GB2312" w:cs="Times New Roman"/>
          <w:b w:val="0"/>
          <w:bCs w:val="0"/>
          <w:color w:val="auto"/>
          <w:kern w:val="2"/>
          <w:sz w:val="32"/>
          <w:szCs w:val="22"/>
          <w:lang w:val="en-US" w:eastAsia="zh-CN" w:bidi="ar-SA"/>
        </w:rPr>
        <w:t>因地制宜</w:t>
      </w:r>
      <w:r>
        <w:rPr>
          <w:rFonts w:hint="default" w:ascii="Times New Roman" w:hAnsi="Times New Roman" w:eastAsia="仿宋_GB2312" w:cs="Times New Roman"/>
          <w:b w:val="0"/>
          <w:bCs w:val="0"/>
          <w:color w:val="auto"/>
          <w:kern w:val="2"/>
          <w:sz w:val="32"/>
          <w:szCs w:val="22"/>
          <w:lang w:val="en-US" w:eastAsia="zh-CN" w:bidi="ar-SA"/>
        </w:rPr>
        <w:t>布局临港装备制造、</w:t>
      </w:r>
      <w:r>
        <w:rPr>
          <w:rFonts w:hint="eastAsia" w:ascii="Times New Roman" w:hAnsi="Times New Roman" w:eastAsia="仿宋_GB2312" w:cs="Times New Roman"/>
          <w:b w:val="0"/>
          <w:bCs w:val="0"/>
          <w:color w:val="auto"/>
          <w:kern w:val="2"/>
          <w:sz w:val="32"/>
          <w:szCs w:val="22"/>
          <w:lang w:val="en-US" w:eastAsia="zh-CN" w:bidi="ar-SA"/>
        </w:rPr>
        <w:t>低空装备及系统研发制造</w:t>
      </w:r>
      <w:r>
        <w:rPr>
          <w:rFonts w:hint="default" w:ascii="Times New Roman" w:hAnsi="Times New Roman" w:eastAsia="仿宋_GB2312" w:cs="Times New Roman"/>
          <w:b w:val="0"/>
          <w:bCs w:val="0"/>
          <w:color w:val="auto"/>
          <w:kern w:val="2"/>
          <w:sz w:val="32"/>
          <w:szCs w:val="22"/>
          <w:lang w:val="en-US" w:eastAsia="zh-CN" w:bidi="ar-SA"/>
        </w:rPr>
        <w:t>等</w:t>
      </w:r>
      <w:r>
        <w:rPr>
          <w:rFonts w:hint="eastAsia" w:ascii="Times New Roman" w:hAnsi="Times New Roman" w:eastAsia="仿宋_GB2312" w:cs="Times New Roman"/>
          <w:b w:val="0"/>
          <w:bCs w:val="0"/>
          <w:color w:val="auto"/>
          <w:kern w:val="2"/>
          <w:sz w:val="32"/>
          <w:szCs w:val="22"/>
          <w:lang w:val="en-US" w:eastAsia="zh-CN" w:bidi="ar-SA"/>
        </w:rPr>
        <w:t>临港</w:t>
      </w:r>
      <w:r>
        <w:rPr>
          <w:rFonts w:hint="default" w:ascii="Times New Roman" w:hAnsi="Times New Roman" w:eastAsia="仿宋_GB2312" w:cs="Times New Roman"/>
          <w:b w:val="0"/>
          <w:bCs w:val="0"/>
          <w:color w:val="auto"/>
          <w:kern w:val="2"/>
          <w:sz w:val="32"/>
          <w:szCs w:val="22"/>
          <w:lang w:val="en-US" w:eastAsia="zh-CN" w:bidi="ar-SA"/>
        </w:rPr>
        <w:t>产业项目，</w:t>
      </w:r>
      <w:r>
        <w:rPr>
          <w:rFonts w:hint="eastAsia" w:ascii="Times New Roman" w:hAnsi="Times New Roman" w:eastAsia="仿宋_GB2312" w:cs="Times New Roman"/>
          <w:b w:val="0"/>
          <w:bCs w:val="0"/>
          <w:color w:val="auto"/>
          <w:kern w:val="2"/>
          <w:sz w:val="32"/>
          <w:szCs w:val="22"/>
          <w:lang w:val="en-US" w:eastAsia="zh-CN" w:bidi="ar-SA"/>
        </w:rPr>
        <w:t>做大做强枢纽经济；同时，深化研究建设化工物流园的可行性。</w:t>
      </w:r>
    </w:p>
    <w:p>
      <w:pPr>
        <w:pStyle w:val="4"/>
        <w:bidi w:val="0"/>
        <w:rPr>
          <w:rFonts w:hint="eastAsia"/>
          <w:color w:val="auto"/>
          <w:lang w:val="en-US" w:eastAsia="zh-CN"/>
        </w:rPr>
      </w:pPr>
      <w:bookmarkStart w:id="159" w:name="_Toc27812"/>
      <w:r>
        <w:rPr>
          <w:rFonts w:hint="eastAsia"/>
          <w:color w:val="auto"/>
          <w:lang w:val="en-US" w:eastAsia="zh-CN"/>
        </w:rPr>
        <w:t>周边配套建设</w:t>
      </w:r>
      <w:bookmarkEnd w:id="159"/>
    </w:p>
    <w:p>
      <w:pPr>
        <w:rPr>
          <w:rFonts w:hint="eastAsia" w:cs="Times New Roman"/>
          <w:b w:val="0"/>
          <w:bCs w:val="0"/>
          <w:color w:val="auto"/>
          <w:lang w:val="en-US" w:eastAsia="zh-CN"/>
        </w:rPr>
      </w:pPr>
      <w:r>
        <w:rPr>
          <w:rFonts w:hint="eastAsia" w:cs="Times New Roman"/>
          <w:b w:val="0"/>
          <w:bCs w:val="0"/>
          <w:color w:val="auto"/>
          <w:lang w:val="en-US" w:eastAsia="zh-CN"/>
        </w:rPr>
        <w:t>根据近期、远期示范基地功能区开发建设计划，配套完善示范基地外部连接市政道路和公路集疏运路网体系，共实施7个重点项目，总投资60.71亿元，其中近期投资57.36亿元，远期投资3.35亿元。</w:t>
      </w:r>
    </w:p>
    <w:p>
      <w:pPr>
        <w:pStyle w:val="19"/>
        <w:rPr>
          <w:rFonts w:hint="eastAsia" w:ascii="仿宋_GB2312" w:hAnsi="仿宋_GB2312" w:eastAsia="仿宋_GB2312" w:cs="仿宋_GB2312"/>
          <w:b w:val="0"/>
          <w:bCs w:val="0"/>
          <w:color w:val="auto"/>
          <w:kern w:val="2"/>
          <w:sz w:val="32"/>
          <w:szCs w:val="22"/>
          <w:lang w:val="en-US" w:eastAsia="zh-CN" w:bidi="ar-SA"/>
        </w:rPr>
      </w:pPr>
      <w:r>
        <w:rPr>
          <w:rFonts w:hint="default" w:cs="Times New Roman"/>
          <w:color w:val="auto"/>
          <w:sz w:val="32"/>
          <w:lang w:val="en-US" w:eastAsia="zh-CN"/>
        </w:rPr>
        <w:t>近期（2026</w:t>
      </w:r>
      <w:r>
        <w:rPr>
          <w:rFonts w:hint="eastAsia" w:cs="Times New Roman"/>
          <w:color w:val="auto"/>
          <w:sz w:val="32"/>
          <w:lang w:val="en-US" w:eastAsia="zh-CN"/>
        </w:rPr>
        <w:t>—</w:t>
      </w:r>
      <w:r>
        <w:rPr>
          <w:rFonts w:hint="default" w:cs="Times New Roman"/>
          <w:color w:val="auto"/>
          <w:sz w:val="32"/>
          <w:lang w:val="en-US" w:eastAsia="zh-CN"/>
        </w:rPr>
        <w:t>2030年）</w:t>
      </w:r>
      <w:r>
        <w:rPr>
          <w:rFonts w:hint="eastAsia" w:cs="Times New Roman"/>
          <w:color w:val="auto"/>
          <w:sz w:val="32"/>
          <w:lang w:val="en-US" w:eastAsia="zh-CN"/>
        </w:rPr>
        <w:t>，</w:t>
      </w:r>
      <w:r>
        <w:rPr>
          <w:rFonts w:hint="eastAsia" w:ascii="仿宋_GB2312" w:hAnsi="仿宋_GB2312" w:eastAsia="仿宋_GB2312" w:cs="仿宋_GB2312"/>
          <w:color w:val="auto"/>
          <w:sz w:val="32"/>
          <w:lang w:val="en-US" w:eastAsia="zh-CN"/>
        </w:rPr>
        <w:t>外部连接市政道路方面，</w:t>
      </w:r>
      <w:r>
        <w:rPr>
          <w:rFonts w:hint="eastAsia" w:ascii="仿宋_GB2312" w:hAnsi="仿宋_GB2312" w:eastAsia="仿宋_GB2312" w:cs="仿宋_GB2312"/>
          <w:b w:val="0"/>
          <w:bCs w:val="0"/>
          <w:color w:val="auto"/>
          <w:kern w:val="2"/>
          <w:sz w:val="32"/>
          <w:szCs w:val="22"/>
          <w:lang w:val="en-US" w:eastAsia="zh-CN" w:bidi="ar-SA"/>
        </w:rPr>
        <w:t>实施建业大道北延线一期，项目起于建业大道、连接乐山港站广场，路线全长1.6公里，项目贯通多式联运基地与乐山港站连接通道，满足近期港口与乐山港站联动开展公铁水联运需求，项目总投资约1.6亿元。</w:t>
      </w:r>
      <w:r>
        <w:rPr>
          <w:rFonts w:hint="eastAsia" w:ascii="仿宋_GB2312" w:hAnsi="仿宋_GB2312" w:eastAsia="仿宋_GB2312" w:cs="仿宋_GB2312"/>
          <w:color w:val="auto"/>
          <w:sz w:val="32"/>
          <w:lang w:val="en-US" w:eastAsia="zh-CN"/>
        </w:rPr>
        <w:t>公路基础设施方面，</w:t>
      </w:r>
      <w:r>
        <w:rPr>
          <w:rFonts w:hint="eastAsia" w:ascii="仿宋_GB2312" w:hAnsi="仿宋_GB2312" w:eastAsia="仿宋_GB2312" w:cs="仿宋_GB2312"/>
          <w:b w:val="0"/>
          <w:bCs w:val="0"/>
          <w:color w:val="auto"/>
          <w:kern w:val="2"/>
          <w:sz w:val="32"/>
          <w:szCs w:val="22"/>
          <w:lang w:val="en-US" w:eastAsia="zh-CN" w:bidi="ar-SA"/>
        </w:rPr>
        <w:t>实施S215线大件过境公路工程，路线起于乐山高新区安谷镇，途经五通桥区蔡金镇、冠英镇，与进港大道平交，止点对接乐山港老江坝作业区大件码头进港公路，全长9.45公里，项目投资约7.93亿元。实施S428夹江县吴场（东坡界）至漹城段改建工程，路线起于夹江县吴场镇光荣村（东坡界），止于漹城街道城东社区，全长14.7公里，项目投资约9.69亿元，项目重点完善大件物流运输通道，实现北接眉山、成都，南联多式联运基地，形成贯通川西南的工业物流动脉。实施S429线东风岷江特大桥新建工程，项目起于省道S215线冠英至西坝段的止点（西坝水电站附近），止于龙翔路，主线路线全长4962米，其中大桥长1800米，项目投资约13.74亿元。实施G348市中区过境公路项目，起于在建S103线与现状G348线平交处，止于G348线乐沙大道相交处，全长22.6公里，项目投资约24.4亿元。</w:t>
      </w:r>
    </w:p>
    <w:p>
      <w:pPr>
        <w:rPr>
          <w:rFonts w:hint="eastAsia" w:ascii="Times New Roman" w:hAnsi="Times New Roman" w:eastAsia="仿宋_GB2312" w:cs="Times New Roman"/>
          <w:b w:val="0"/>
          <w:bCs w:val="0"/>
          <w:color w:val="auto"/>
          <w:kern w:val="2"/>
          <w:sz w:val="32"/>
          <w:szCs w:val="22"/>
          <w:lang w:val="en-US" w:eastAsia="zh-CN" w:bidi="ar-SA"/>
        </w:rPr>
      </w:pPr>
      <w:r>
        <w:rPr>
          <w:rFonts w:hint="eastAsia" w:ascii="仿宋_GB2312" w:hAnsi="仿宋_GB2312" w:eastAsia="仿宋_GB2312" w:cs="仿宋_GB2312"/>
          <w:color w:val="auto"/>
          <w:lang w:val="en-US" w:eastAsia="zh-CN"/>
        </w:rPr>
        <w:t>远期（2031—2035年），</w:t>
      </w:r>
      <w:r>
        <w:rPr>
          <w:rFonts w:hint="eastAsia" w:ascii="仿宋_GB2312" w:hAnsi="仿宋_GB2312" w:eastAsia="仿宋_GB2312" w:cs="仿宋_GB2312"/>
          <w:b w:val="0"/>
          <w:bCs w:val="0"/>
          <w:color w:val="auto"/>
          <w:lang w:val="en-US" w:eastAsia="zh-CN"/>
        </w:rPr>
        <w:t>外部连接市政道路方面，</w:t>
      </w:r>
      <w:r>
        <w:rPr>
          <w:rFonts w:hint="eastAsia" w:ascii="仿宋_GB2312" w:hAnsi="仿宋_GB2312" w:eastAsia="仿宋_GB2312" w:cs="仿宋_GB2312"/>
          <w:color w:val="auto"/>
          <w:highlight w:val="none"/>
          <w:lang w:val="en-US" w:eastAsia="zh-CN"/>
        </w:rPr>
        <w:t>实施</w:t>
      </w:r>
      <w:r>
        <w:rPr>
          <w:rFonts w:hint="eastAsia" w:ascii="仿宋_GB2312" w:hAnsi="仿宋_GB2312" w:eastAsia="仿宋_GB2312" w:cs="仿宋_GB2312"/>
          <w:color w:val="auto"/>
          <w:lang w:val="en-US" w:eastAsia="zh-CN"/>
        </w:rPr>
        <w:t>建业大道北延线二期</w:t>
      </w:r>
      <w:r>
        <w:rPr>
          <w:rFonts w:hint="eastAsia" w:ascii="仿宋_GB2312" w:hAnsi="仿宋_GB2312" w:eastAsia="仿宋_GB2312" w:cs="仿宋_GB2312"/>
          <w:color w:val="auto"/>
          <w:highlight w:val="none"/>
          <w:lang w:val="en-US" w:eastAsia="zh-CN"/>
        </w:rPr>
        <w:t>，拟起于乐山港站广场，向北延伸进站道路，连接高港大道，与既有线路共同形成多式联运基地、乐山港站连接乐山高新区的重要通道，项目投资约1.9亿元。</w:t>
      </w:r>
      <w:r>
        <w:rPr>
          <w:rFonts w:hint="eastAsia" w:ascii="仿宋_GB2312" w:hAnsi="仿宋_GB2312" w:eastAsia="仿宋_GB2312" w:cs="仿宋_GB2312"/>
          <w:color w:val="auto"/>
          <w:sz w:val="32"/>
          <w:lang w:val="en-US" w:eastAsia="zh-CN"/>
        </w:rPr>
        <w:t>公路基础设施方面，</w:t>
      </w:r>
      <w:r>
        <w:rPr>
          <w:rFonts w:hint="eastAsia" w:ascii="仿宋_GB2312" w:hAnsi="仿宋_GB2312" w:eastAsia="仿宋_GB2312" w:cs="仿宋_GB2312"/>
          <w:color w:val="auto"/>
          <w:highlight w:val="none"/>
          <w:lang w:val="en-US" w:eastAsia="zh-CN"/>
        </w:rPr>
        <w:t>实</w:t>
      </w:r>
      <w:r>
        <w:rPr>
          <w:rFonts w:hint="eastAsia" w:ascii="仿宋_GB2312" w:hAnsi="仿宋_GB2312" w:eastAsia="仿宋_GB2312" w:cs="仿宋_GB2312"/>
          <w:b w:val="0"/>
          <w:bCs w:val="0"/>
          <w:color w:val="auto"/>
          <w:kern w:val="2"/>
          <w:sz w:val="32"/>
          <w:szCs w:val="22"/>
          <w:lang w:val="en-US" w:eastAsia="zh-CN" w:bidi="ar-SA"/>
        </w:rPr>
        <w:t>施G93乐宜高速乐山机场互通项目，实现高速公路、机场快速衔接转换，项目</w:t>
      </w:r>
      <w:r>
        <w:rPr>
          <w:rFonts w:hint="eastAsia" w:ascii="Times New Roman" w:hAnsi="Times New Roman" w:eastAsia="仿宋_GB2312" w:cs="Times New Roman"/>
          <w:b w:val="0"/>
          <w:bCs w:val="0"/>
          <w:color w:val="auto"/>
          <w:kern w:val="2"/>
          <w:sz w:val="32"/>
          <w:szCs w:val="22"/>
          <w:lang w:val="en-US" w:eastAsia="zh-CN" w:bidi="ar-SA"/>
        </w:rPr>
        <w:t>投资约1.45亿元。</w:t>
      </w:r>
    </w:p>
    <w:p>
      <w:pPr>
        <w:pStyle w:val="2"/>
        <w:rPr>
          <w:rFonts w:hint="default"/>
          <w:lang w:val="en-US" w:eastAsia="zh-CN"/>
        </w:rPr>
      </w:pPr>
      <w:bookmarkStart w:id="160" w:name="_Toc91611437"/>
    </w:p>
    <w:p>
      <w:pPr>
        <w:pStyle w:val="2"/>
        <w:rPr>
          <w:rFonts w:hint="default"/>
          <w:lang w:val="en-US" w:eastAsia="zh-CN"/>
        </w:rPr>
        <w:sectPr>
          <w:pgSz w:w="23811" w:h="16838" w:orient="landscape"/>
          <w:pgMar w:top="1800" w:right="1440" w:bottom="1800" w:left="1440" w:header="851" w:footer="992" w:gutter="0"/>
          <w:pgNumType w:fmt="decimal"/>
          <w:cols w:space="1280" w:num="2"/>
          <w:docGrid w:type="lines" w:linePitch="312" w:charSpace="0"/>
        </w:sectPr>
      </w:pPr>
    </w:p>
    <w:p>
      <w:pPr>
        <w:pStyle w:val="7"/>
        <w:rPr>
          <w:rFonts w:hint="default" w:ascii="Times New Roman" w:hAnsi="Times New Roman" w:cs="Times New Roman"/>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5</w:t>
      </w:r>
      <w:r>
        <w:rPr>
          <w:color w:val="auto"/>
        </w:rPr>
        <w:fldChar w:fldCharType="end"/>
      </w:r>
      <w:r>
        <w:rPr>
          <w:rFonts w:hint="eastAsia"/>
          <w:color w:val="auto"/>
          <w:lang w:val="en-US" w:eastAsia="zh-CN"/>
        </w:rPr>
        <w:t xml:space="preserve"> </w:t>
      </w:r>
      <w:r>
        <w:rPr>
          <w:rFonts w:hint="eastAsia" w:cs="Times New Roman"/>
          <w:color w:val="auto"/>
          <w:lang w:val="en-US" w:eastAsia="zh-CN"/>
        </w:rPr>
        <w:t>周边配套设施建设</w:t>
      </w:r>
      <w:r>
        <w:rPr>
          <w:rFonts w:hint="default" w:ascii="Times New Roman" w:hAnsi="Times New Roman" w:cs="Times New Roman"/>
          <w:color w:val="auto"/>
          <w:lang w:val="en-US" w:eastAsia="zh-CN"/>
        </w:rPr>
        <w:t>项目</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2512"/>
        <w:gridCol w:w="3883"/>
        <w:gridCol w:w="8662"/>
        <w:gridCol w:w="2758"/>
        <w:gridCol w:w="2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267" w:type="pct"/>
            <w:vAlign w:val="center"/>
          </w:tcPr>
          <w:p>
            <w:pPr>
              <w:adjustRightInd w:val="0"/>
              <w:snapToGrid w:val="0"/>
              <w:spacing w:line="400" w:lineRule="exact"/>
              <w:ind w:firstLine="0" w:firstLineChars="0"/>
              <w:jc w:val="center"/>
              <w:rPr>
                <w:rFonts w:hint="default"/>
                <w:color w:val="auto"/>
                <w:vertAlign w:val="baseline"/>
                <w:lang w:val="en-US" w:eastAsia="zh-CN"/>
              </w:rPr>
            </w:pPr>
            <w:r>
              <w:rPr>
                <w:rFonts w:hint="default" w:ascii="Times New Roman" w:hAnsi="Times New Roman" w:eastAsia="黑体" w:cs="Times New Roman"/>
                <w:color w:val="auto"/>
                <w:sz w:val="24"/>
                <w:szCs w:val="24"/>
                <w:vertAlign w:val="baseline"/>
                <w:lang w:val="en-US" w:eastAsia="zh-CN"/>
              </w:rPr>
              <w:t>序号</w:t>
            </w:r>
          </w:p>
        </w:tc>
        <w:tc>
          <w:tcPr>
            <w:tcW w:w="594" w:type="pct"/>
            <w:vAlign w:val="center"/>
          </w:tcPr>
          <w:p>
            <w:pPr>
              <w:adjustRightInd w:val="0"/>
              <w:snapToGrid w:val="0"/>
              <w:spacing w:line="400" w:lineRule="exact"/>
              <w:ind w:firstLine="0" w:firstLineChars="0"/>
              <w:jc w:val="center"/>
              <w:rPr>
                <w:rFonts w:hint="eastAsia"/>
                <w:color w:val="auto"/>
                <w:vertAlign w:val="baseline"/>
                <w:lang w:val="en-US" w:eastAsia="zh-CN"/>
              </w:rPr>
            </w:pPr>
            <w:r>
              <w:rPr>
                <w:rFonts w:hint="eastAsia" w:eastAsia="黑体" w:cs="Times New Roman"/>
                <w:color w:val="auto"/>
                <w:sz w:val="24"/>
                <w:szCs w:val="24"/>
                <w:vertAlign w:val="baseline"/>
                <w:lang w:val="en-US" w:eastAsia="zh-CN"/>
              </w:rPr>
              <w:t>分类</w:t>
            </w:r>
          </w:p>
        </w:tc>
        <w:tc>
          <w:tcPr>
            <w:tcW w:w="918" w:type="pct"/>
            <w:vAlign w:val="center"/>
          </w:tcPr>
          <w:p>
            <w:pPr>
              <w:adjustRightInd w:val="0"/>
              <w:snapToGrid w:val="0"/>
              <w:spacing w:line="400" w:lineRule="exact"/>
              <w:ind w:firstLine="0" w:firstLineChars="0"/>
              <w:jc w:val="center"/>
              <w:rPr>
                <w:rFonts w:hint="eastAsia"/>
                <w:color w:val="auto"/>
                <w:vertAlign w:val="baseline"/>
                <w:lang w:val="en-US" w:eastAsia="zh-CN"/>
              </w:rPr>
            </w:pPr>
            <w:r>
              <w:rPr>
                <w:rFonts w:hint="default" w:ascii="Times New Roman" w:hAnsi="Times New Roman" w:eastAsia="黑体" w:cs="Times New Roman"/>
                <w:color w:val="auto"/>
                <w:sz w:val="24"/>
                <w:szCs w:val="24"/>
                <w:vertAlign w:val="baseline"/>
                <w:lang w:val="en-US" w:eastAsia="zh-CN"/>
              </w:rPr>
              <w:t>项目名称</w:t>
            </w:r>
          </w:p>
        </w:tc>
        <w:tc>
          <w:tcPr>
            <w:tcW w:w="2047" w:type="pct"/>
            <w:vAlign w:val="center"/>
          </w:tcPr>
          <w:p>
            <w:pPr>
              <w:adjustRightInd w:val="0"/>
              <w:snapToGrid w:val="0"/>
              <w:spacing w:line="400" w:lineRule="exact"/>
              <w:ind w:firstLine="0" w:firstLineChars="0"/>
              <w:jc w:val="center"/>
              <w:rPr>
                <w:rFonts w:hint="eastAsia"/>
                <w:color w:val="auto"/>
                <w:vertAlign w:val="baseline"/>
                <w:lang w:val="en-US" w:eastAsia="zh-CN"/>
              </w:rPr>
            </w:pPr>
            <w:r>
              <w:rPr>
                <w:rFonts w:hint="default" w:ascii="Times New Roman" w:hAnsi="Times New Roman" w:eastAsia="黑体" w:cs="Times New Roman"/>
                <w:color w:val="auto"/>
                <w:sz w:val="24"/>
                <w:szCs w:val="24"/>
                <w:vertAlign w:val="baseline"/>
                <w:lang w:val="en-US" w:eastAsia="zh-CN"/>
              </w:rPr>
              <w:t>建设内容</w:t>
            </w:r>
          </w:p>
        </w:tc>
        <w:tc>
          <w:tcPr>
            <w:tcW w:w="652" w:type="pct"/>
            <w:vAlign w:val="center"/>
          </w:tcPr>
          <w:p>
            <w:pPr>
              <w:adjustRightInd w:val="0"/>
              <w:snapToGrid w:val="0"/>
              <w:spacing w:line="400" w:lineRule="exact"/>
              <w:ind w:firstLine="0" w:firstLineChars="0"/>
              <w:jc w:val="center"/>
              <w:rPr>
                <w:rFonts w:hint="eastAsia"/>
                <w:color w:val="auto"/>
                <w:vertAlign w:val="baseline"/>
                <w:lang w:val="en-US" w:eastAsia="zh-CN"/>
              </w:rPr>
            </w:pPr>
            <w:r>
              <w:rPr>
                <w:rFonts w:hint="default" w:ascii="Times New Roman" w:hAnsi="Times New Roman" w:eastAsia="黑体" w:cs="Times New Roman"/>
                <w:color w:val="auto"/>
                <w:sz w:val="24"/>
                <w:szCs w:val="24"/>
                <w:vertAlign w:val="baseline"/>
                <w:lang w:val="en-US" w:eastAsia="zh-CN"/>
              </w:rPr>
              <w:t>项目投资（亿元）</w:t>
            </w:r>
          </w:p>
        </w:tc>
        <w:tc>
          <w:tcPr>
            <w:tcW w:w="520" w:type="pct"/>
            <w:vAlign w:val="center"/>
          </w:tcPr>
          <w:p>
            <w:pPr>
              <w:adjustRightInd w:val="0"/>
              <w:snapToGrid w:val="0"/>
              <w:spacing w:line="400" w:lineRule="exact"/>
              <w:ind w:firstLine="0" w:firstLineChars="0"/>
              <w:jc w:val="center"/>
              <w:rPr>
                <w:rFonts w:hint="default" w:ascii="Times New Roman" w:hAnsi="Times New Roman" w:eastAsia="黑体" w:cs="Times New Roman"/>
                <w:color w:val="auto"/>
                <w:sz w:val="24"/>
                <w:szCs w:val="24"/>
                <w:vertAlign w:val="baseline"/>
                <w:lang w:val="en-US" w:eastAsia="zh-CN"/>
              </w:rPr>
            </w:pPr>
            <w:r>
              <w:rPr>
                <w:rFonts w:hint="eastAsia" w:eastAsia="黑体" w:cs="Times New Roman"/>
                <w:color w:val="auto"/>
                <w:sz w:val="24"/>
                <w:szCs w:val="24"/>
                <w:vertAlign w:val="baseline"/>
                <w:lang w:val="en-US" w:eastAsia="zh-CN"/>
              </w:rPr>
              <w:t>建设时序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267" w:type="pct"/>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1</w:t>
            </w:r>
          </w:p>
        </w:tc>
        <w:tc>
          <w:tcPr>
            <w:tcW w:w="594" w:type="pct"/>
            <w:vMerge w:val="restart"/>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市政基础设施</w:t>
            </w:r>
          </w:p>
        </w:tc>
        <w:tc>
          <w:tcPr>
            <w:tcW w:w="918"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建业大道北延线</w:t>
            </w:r>
            <w:r>
              <w:rPr>
                <w:rFonts w:hint="eastAsia" w:cs="Times New Roman"/>
                <w:color w:val="auto"/>
                <w:sz w:val="24"/>
                <w:szCs w:val="24"/>
                <w:vertAlign w:val="baseline"/>
                <w:lang w:val="en-US" w:eastAsia="zh-CN"/>
              </w:rPr>
              <w:t>一</w:t>
            </w:r>
            <w:r>
              <w:rPr>
                <w:rFonts w:hint="eastAsia" w:ascii="Times New Roman" w:hAnsi="Times New Roman" w:cs="Times New Roman"/>
                <w:color w:val="auto"/>
                <w:sz w:val="24"/>
                <w:szCs w:val="24"/>
                <w:vertAlign w:val="baseline"/>
                <w:lang w:val="en-US" w:eastAsia="zh-CN"/>
              </w:rPr>
              <w:t>期</w:t>
            </w:r>
          </w:p>
        </w:tc>
        <w:tc>
          <w:tcPr>
            <w:tcW w:w="2047" w:type="pct"/>
            <w:vAlign w:val="center"/>
          </w:tcPr>
          <w:p>
            <w:pPr>
              <w:adjustRightInd w:val="0"/>
              <w:snapToGrid w:val="0"/>
              <w:spacing w:line="240" w:lineRule="auto"/>
              <w:ind w:firstLine="0" w:firstLineChars="0"/>
              <w:jc w:val="left"/>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项目起于建业大道、连接乐山港站广场，路线全长1.6公里</w:t>
            </w:r>
          </w:p>
        </w:tc>
        <w:tc>
          <w:tcPr>
            <w:tcW w:w="652"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1.6</w:t>
            </w:r>
          </w:p>
        </w:tc>
        <w:tc>
          <w:tcPr>
            <w:tcW w:w="520" w:type="pct"/>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近期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267" w:type="pct"/>
            <w:shd w:val="clear" w:color="auto" w:fill="auto"/>
            <w:vAlign w:val="center"/>
          </w:tcPr>
          <w:p>
            <w:pPr>
              <w:adjustRightInd w:val="0"/>
              <w:snapToGrid w:val="0"/>
              <w:spacing w:line="240" w:lineRule="auto"/>
              <w:ind w:firstLine="0" w:firstLineChars="0"/>
              <w:jc w:val="center"/>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2</w:t>
            </w:r>
          </w:p>
        </w:tc>
        <w:tc>
          <w:tcPr>
            <w:tcW w:w="594" w:type="pct"/>
            <w:vMerge w:val="continue"/>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p>
        </w:tc>
        <w:tc>
          <w:tcPr>
            <w:tcW w:w="918"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default" w:ascii="Times New Roman" w:hAnsi="Times New Roman" w:cs="Times New Roman"/>
                <w:strike w:val="0"/>
                <w:color w:val="auto"/>
                <w:sz w:val="24"/>
                <w:szCs w:val="24"/>
                <w:vertAlign w:val="baseline"/>
                <w:lang w:val="en-US" w:eastAsia="zh-CN"/>
              </w:rPr>
              <w:t>建业大道北延线</w:t>
            </w:r>
            <w:r>
              <w:rPr>
                <w:rFonts w:hint="eastAsia" w:cs="Times New Roman"/>
                <w:strike w:val="0"/>
                <w:color w:val="auto"/>
                <w:sz w:val="24"/>
                <w:szCs w:val="24"/>
                <w:vertAlign w:val="baseline"/>
                <w:lang w:val="en-US" w:eastAsia="zh-CN"/>
              </w:rPr>
              <w:t>二</w:t>
            </w:r>
            <w:r>
              <w:rPr>
                <w:rFonts w:hint="default" w:ascii="Times New Roman" w:hAnsi="Times New Roman" w:cs="Times New Roman"/>
                <w:strike w:val="0"/>
                <w:color w:val="auto"/>
                <w:sz w:val="24"/>
                <w:szCs w:val="24"/>
                <w:vertAlign w:val="baseline"/>
                <w:lang w:val="en-US" w:eastAsia="zh-CN"/>
              </w:rPr>
              <w:t>期</w:t>
            </w:r>
          </w:p>
        </w:tc>
        <w:tc>
          <w:tcPr>
            <w:tcW w:w="2047" w:type="pct"/>
            <w:vAlign w:val="center"/>
          </w:tcPr>
          <w:p>
            <w:pPr>
              <w:adjustRightInd w:val="0"/>
              <w:snapToGrid w:val="0"/>
              <w:spacing w:line="240" w:lineRule="auto"/>
              <w:ind w:firstLine="0" w:firstLineChars="0"/>
              <w:rPr>
                <w:rFonts w:hint="eastAsia" w:cs="Times New Roman"/>
                <w:color w:val="auto"/>
                <w:sz w:val="24"/>
                <w:szCs w:val="24"/>
                <w:vertAlign w:val="baseline"/>
                <w:lang w:val="en-US" w:eastAsia="zh-CN"/>
              </w:rPr>
            </w:pPr>
            <w:r>
              <w:rPr>
                <w:rFonts w:hint="default" w:ascii="Times New Roman" w:hAnsi="Times New Roman" w:cs="Times New Roman"/>
                <w:strike w:val="0"/>
                <w:color w:val="auto"/>
                <w:sz w:val="24"/>
                <w:szCs w:val="24"/>
                <w:vertAlign w:val="baseline"/>
                <w:lang w:val="en-US" w:eastAsia="zh-CN"/>
              </w:rPr>
              <w:t>拟起于乐山港站广场，向北延伸进站道路，连接高港大道，道路全长约1.9公里</w:t>
            </w:r>
          </w:p>
        </w:tc>
        <w:tc>
          <w:tcPr>
            <w:tcW w:w="652"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default" w:ascii="Times New Roman" w:hAnsi="Times New Roman" w:cs="Times New Roman"/>
                <w:strike w:val="0"/>
                <w:color w:val="auto"/>
                <w:sz w:val="24"/>
                <w:szCs w:val="24"/>
                <w:vertAlign w:val="baseline"/>
                <w:lang w:val="en-US" w:eastAsia="zh-CN"/>
              </w:rPr>
              <w:t>1.9</w:t>
            </w:r>
          </w:p>
        </w:tc>
        <w:tc>
          <w:tcPr>
            <w:tcW w:w="520" w:type="pct"/>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shd w:val="clear" w:color="auto" w:fill="auto"/>
            <w:vAlign w:val="center"/>
          </w:tcPr>
          <w:p>
            <w:pPr>
              <w:adjustRightInd w:val="0"/>
              <w:snapToGrid w:val="0"/>
              <w:spacing w:line="240" w:lineRule="auto"/>
              <w:ind w:firstLine="0" w:firstLineChars="0"/>
              <w:jc w:val="center"/>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3</w:t>
            </w:r>
          </w:p>
        </w:tc>
        <w:tc>
          <w:tcPr>
            <w:tcW w:w="594" w:type="pct"/>
            <w:vMerge w:val="restar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eastAsia" w:ascii="仿宋_GB2312" w:hAnsi="宋体" w:eastAsia="仿宋_GB2312" w:cs="仿宋_GB2312"/>
                <w:i w:val="0"/>
                <w:iCs w:val="0"/>
                <w:color w:val="000000"/>
                <w:kern w:val="0"/>
                <w:sz w:val="24"/>
                <w:szCs w:val="24"/>
                <w:u w:val="none"/>
                <w:lang w:val="en-US" w:eastAsia="zh-CN" w:bidi="ar"/>
              </w:rPr>
              <w:t>外部交通基础设施</w:t>
            </w:r>
          </w:p>
        </w:tc>
        <w:tc>
          <w:tcPr>
            <w:tcW w:w="918"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rPr>
              <w:t>S215线大件过境公路工程（市中区安谷至五通桥区冠英段）</w:t>
            </w:r>
          </w:p>
        </w:tc>
        <w:tc>
          <w:tcPr>
            <w:tcW w:w="2047" w:type="pct"/>
            <w:vAlign w:val="center"/>
          </w:tcPr>
          <w:p>
            <w:pPr>
              <w:adjustRightInd w:val="0"/>
              <w:snapToGrid w:val="0"/>
              <w:spacing w:line="240" w:lineRule="auto"/>
              <w:ind w:firstLine="0" w:firstLineChars="0"/>
              <w:jc w:val="left"/>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路线全长9.45公里（其中新改建7.21公里，改造2.24公里，路基宽度32米），按一级公路技术（右幅大件）标准建设，设计时速80公里/小时，双向六车道。路线起于</w:t>
            </w:r>
            <w:r>
              <w:rPr>
                <w:rFonts w:hint="eastAsia" w:cs="Times New Roman"/>
                <w:color w:val="auto"/>
                <w:sz w:val="24"/>
                <w:szCs w:val="24"/>
                <w:vertAlign w:val="baseline"/>
                <w:lang w:val="en-US" w:eastAsia="zh-CN"/>
              </w:rPr>
              <w:t>乐山</w:t>
            </w:r>
            <w:r>
              <w:rPr>
                <w:rFonts w:hint="default" w:ascii="Times New Roman" w:hAnsi="Times New Roman" w:cs="Times New Roman"/>
                <w:color w:val="auto"/>
                <w:sz w:val="24"/>
                <w:szCs w:val="24"/>
                <w:vertAlign w:val="baseline"/>
                <w:lang w:val="en-US" w:eastAsia="zh-CN"/>
              </w:rPr>
              <w:t>高新区安谷镇，止点对接乐山港老江坝作业区大件码头进港公路</w:t>
            </w:r>
          </w:p>
        </w:tc>
        <w:tc>
          <w:tcPr>
            <w:tcW w:w="652"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7.93</w:t>
            </w:r>
          </w:p>
        </w:tc>
        <w:tc>
          <w:tcPr>
            <w:tcW w:w="520" w:type="pct"/>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近期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shd w:val="clear" w:color="auto" w:fill="auto"/>
            <w:vAlign w:val="center"/>
          </w:tcPr>
          <w:p>
            <w:pPr>
              <w:adjustRightInd w:val="0"/>
              <w:snapToGrid w:val="0"/>
              <w:spacing w:line="240" w:lineRule="auto"/>
              <w:ind w:firstLine="0" w:firstLineChars="0"/>
              <w:jc w:val="center"/>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4</w:t>
            </w:r>
          </w:p>
        </w:tc>
        <w:tc>
          <w:tcPr>
            <w:tcW w:w="594" w:type="pct"/>
            <w:vMerge w:val="continue"/>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p>
        </w:tc>
        <w:tc>
          <w:tcPr>
            <w:tcW w:w="918"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rPr>
              <w:t>S428夹江县吴场（东坡界）至漹城段改建工程</w:t>
            </w:r>
          </w:p>
        </w:tc>
        <w:tc>
          <w:tcPr>
            <w:tcW w:w="2047" w:type="pct"/>
            <w:vAlign w:val="center"/>
          </w:tcPr>
          <w:p>
            <w:pPr>
              <w:adjustRightInd w:val="0"/>
              <w:snapToGrid w:val="0"/>
              <w:spacing w:line="240" w:lineRule="auto"/>
              <w:ind w:firstLine="0" w:firstLineChars="0"/>
              <w:jc w:val="left"/>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路线全长14.7公里（其中新建一级公路12.4公里，路面改造2.3公里），一级公路技术标准，右幅按大件荷载标准。路线起于夹江县吴场镇光荣村（东坡界），止于漹城街道城东社区</w:t>
            </w:r>
          </w:p>
        </w:tc>
        <w:tc>
          <w:tcPr>
            <w:tcW w:w="652"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9.69</w:t>
            </w:r>
          </w:p>
        </w:tc>
        <w:tc>
          <w:tcPr>
            <w:tcW w:w="520" w:type="pct"/>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近期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shd w:val="clear" w:color="auto" w:fill="auto"/>
            <w:vAlign w:val="center"/>
          </w:tcPr>
          <w:p>
            <w:pPr>
              <w:adjustRightInd w:val="0"/>
              <w:snapToGrid w:val="0"/>
              <w:spacing w:line="240" w:lineRule="auto"/>
              <w:ind w:firstLine="0" w:firstLineChars="0"/>
              <w:jc w:val="center"/>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5</w:t>
            </w:r>
          </w:p>
        </w:tc>
        <w:tc>
          <w:tcPr>
            <w:tcW w:w="594" w:type="pct"/>
            <w:vMerge w:val="continue"/>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p>
        </w:tc>
        <w:tc>
          <w:tcPr>
            <w:tcW w:w="918"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eastAsia" w:cs="Times New Roman"/>
                <w:color w:val="auto"/>
                <w:sz w:val="24"/>
                <w:szCs w:val="24"/>
                <w:lang w:val="en-US" w:eastAsia="zh-CN"/>
              </w:rPr>
              <w:t>S</w:t>
            </w:r>
            <w:r>
              <w:rPr>
                <w:rFonts w:hint="default" w:ascii="Times New Roman" w:hAnsi="Times New Roman" w:cs="Times New Roman"/>
                <w:color w:val="auto"/>
                <w:sz w:val="24"/>
                <w:szCs w:val="24"/>
              </w:rPr>
              <w:t>429线东风岷江特大桥新建工程</w:t>
            </w:r>
          </w:p>
        </w:tc>
        <w:tc>
          <w:tcPr>
            <w:tcW w:w="2047" w:type="pct"/>
            <w:vAlign w:val="center"/>
          </w:tcPr>
          <w:p>
            <w:pPr>
              <w:adjustRightInd w:val="0"/>
              <w:snapToGrid w:val="0"/>
              <w:spacing w:line="240" w:lineRule="auto"/>
              <w:ind w:firstLine="0" w:firstLineChars="0"/>
              <w:jc w:val="left"/>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项目起于省道S215线冠英至西坝段的止点（西坝水电站附近），穿越西坝镇后跨越岷江和国道213线，止点接于龙翔路。项目主线路线全长4962米，其中大桥长1800米（主桥长600米），桥宽39米，项目起点侧引道全长2528米、宽24.5米，桥梁左岸桥头引道全长634米、宽24.5米。在主线跨越G213位置设置两条环形匝道接入原G213，两条环形匝道长分别为429.5米和453.88米</w:t>
            </w:r>
          </w:p>
        </w:tc>
        <w:tc>
          <w:tcPr>
            <w:tcW w:w="652" w:type="pct"/>
            <w:vAlign w:val="center"/>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r>
              <w:rPr>
                <w:rFonts w:hint="eastAsia" w:cs="Times New Roman"/>
                <w:color w:val="auto"/>
                <w:sz w:val="24"/>
                <w:szCs w:val="24"/>
                <w:vertAlign w:val="baseline"/>
                <w:lang w:val="en-US" w:eastAsia="zh-CN"/>
              </w:rPr>
              <w:t>13.74</w:t>
            </w:r>
          </w:p>
        </w:tc>
        <w:tc>
          <w:tcPr>
            <w:tcW w:w="520" w:type="pct"/>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近期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shd w:val="clear" w:color="auto" w:fill="auto"/>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6</w:t>
            </w:r>
          </w:p>
        </w:tc>
        <w:tc>
          <w:tcPr>
            <w:tcW w:w="594" w:type="pct"/>
            <w:vMerge w:val="continue"/>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p>
        </w:tc>
        <w:tc>
          <w:tcPr>
            <w:tcW w:w="918" w:type="pct"/>
            <w:vAlign w:val="center"/>
          </w:tcPr>
          <w:p>
            <w:pPr>
              <w:adjustRightInd w:val="0"/>
              <w:snapToGrid w:val="0"/>
              <w:spacing w:line="240" w:lineRule="auto"/>
              <w:ind w:firstLine="0" w:firstLineChars="0"/>
              <w:jc w:val="center"/>
              <w:rPr>
                <w:rFonts w:hint="default" w:cs="Times New Roman"/>
                <w:color w:val="auto"/>
                <w:sz w:val="24"/>
                <w:szCs w:val="24"/>
                <w:lang w:val="en-US" w:eastAsia="zh-CN"/>
              </w:rPr>
            </w:pPr>
            <w:r>
              <w:rPr>
                <w:rFonts w:hint="eastAsia" w:cs="Times New Roman"/>
                <w:color w:val="auto"/>
                <w:sz w:val="24"/>
                <w:szCs w:val="24"/>
                <w:lang w:val="en-US" w:eastAsia="zh-CN"/>
              </w:rPr>
              <w:t>G348市中区国境公路项目</w:t>
            </w:r>
          </w:p>
        </w:tc>
        <w:tc>
          <w:tcPr>
            <w:tcW w:w="2047" w:type="pct"/>
            <w:vAlign w:val="center"/>
          </w:tcPr>
          <w:p>
            <w:pPr>
              <w:adjustRightInd w:val="0"/>
              <w:snapToGrid w:val="0"/>
              <w:spacing w:line="240" w:lineRule="auto"/>
              <w:ind w:firstLine="0" w:firstLineChars="0"/>
              <w:jc w:val="left"/>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项目起于在建S103线与现状G348线平交处，利用在建S103线青五路走廊加宽1.</w:t>
            </w:r>
            <w:r>
              <w:rPr>
                <w:rFonts w:hint="eastAsia" w:cs="Times New Roman"/>
                <w:color w:val="auto"/>
                <w:sz w:val="24"/>
                <w:szCs w:val="24"/>
                <w:vertAlign w:val="baseline"/>
                <w:lang w:val="en-US" w:eastAsia="zh-CN"/>
              </w:rPr>
              <w:t>9公里</w:t>
            </w:r>
            <w:r>
              <w:rPr>
                <w:rFonts w:hint="default" w:ascii="Times New Roman" w:hAnsi="Times New Roman" w:cs="Times New Roman"/>
                <w:color w:val="auto"/>
                <w:sz w:val="24"/>
                <w:szCs w:val="24"/>
                <w:vertAlign w:val="baseline"/>
                <w:lang w:val="en-US" w:eastAsia="zh-CN"/>
              </w:rPr>
              <w:t>，向西顺沿</w:t>
            </w:r>
            <w:r>
              <w:rPr>
                <w:rFonts w:hint="eastAsia" w:cs="Times New Roman"/>
                <w:color w:val="auto"/>
                <w:sz w:val="24"/>
                <w:szCs w:val="24"/>
                <w:vertAlign w:val="baseline"/>
                <w:lang w:val="en-US" w:eastAsia="zh-CN"/>
              </w:rPr>
              <w:t>连燕</w:t>
            </w:r>
            <w:r>
              <w:rPr>
                <w:rFonts w:hint="default" w:ascii="Times New Roman" w:hAnsi="Times New Roman" w:cs="Times New Roman"/>
                <w:color w:val="auto"/>
                <w:sz w:val="24"/>
                <w:szCs w:val="24"/>
                <w:vertAlign w:val="baseline"/>
                <w:lang w:val="en-US" w:eastAsia="zh-CN"/>
              </w:rPr>
              <w:t>铁路南侧布线，上跨原S104线乐五路</w:t>
            </w:r>
            <w:r>
              <w:rPr>
                <w:rFonts w:hint="eastAsia" w:cs="Times New Roman"/>
                <w:color w:val="auto"/>
                <w:sz w:val="24"/>
                <w:szCs w:val="24"/>
                <w:vertAlign w:val="baseline"/>
                <w:lang w:val="en-US" w:eastAsia="zh-CN"/>
              </w:rPr>
              <w:t>，</w:t>
            </w:r>
            <w:r>
              <w:rPr>
                <w:rFonts w:hint="default" w:ascii="Times New Roman" w:hAnsi="Times New Roman" w:cs="Times New Roman"/>
                <w:color w:val="auto"/>
                <w:sz w:val="24"/>
                <w:szCs w:val="24"/>
                <w:vertAlign w:val="baseline"/>
                <w:lang w:val="en-US" w:eastAsia="zh-CN"/>
              </w:rPr>
              <w:t>跨越岷江，上跨进港大道，新建长16.</w:t>
            </w:r>
            <w:r>
              <w:rPr>
                <w:rFonts w:hint="eastAsia" w:cs="Times New Roman"/>
                <w:color w:val="auto"/>
                <w:sz w:val="24"/>
                <w:szCs w:val="24"/>
                <w:vertAlign w:val="baseline"/>
                <w:lang w:val="en-US" w:eastAsia="zh-CN"/>
              </w:rPr>
              <w:t>5公里</w:t>
            </w:r>
            <w:r>
              <w:rPr>
                <w:rFonts w:hint="default" w:ascii="Times New Roman" w:hAnsi="Times New Roman" w:cs="Times New Roman"/>
                <w:color w:val="auto"/>
                <w:sz w:val="24"/>
                <w:szCs w:val="24"/>
                <w:vertAlign w:val="baseline"/>
                <w:lang w:val="en-US" w:eastAsia="zh-CN"/>
              </w:rPr>
              <w:t>，在安谷镇官帽村鸭河沟附近与S215线大件路共线4.2</w:t>
            </w:r>
            <w:r>
              <w:rPr>
                <w:rFonts w:hint="eastAsia" w:cs="Times New Roman"/>
                <w:color w:val="auto"/>
                <w:sz w:val="24"/>
                <w:szCs w:val="24"/>
                <w:vertAlign w:val="baseline"/>
                <w:lang w:val="en-US" w:eastAsia="zh-CN"/>
              </w:rPr>
              <w:t>公里</w:t>
            </w:r>
            <w:r>
              <w:rPr>
                <w:rFonts w:hint="default" w:ascii="Times New Roman" w:hAnsi="Times New Roman" w:cs="Times New Roman"/>
                <w:color w:val="auto"/>
                <w:sz w:val="24"/>
                <w:szCs w:val="24"/>
                <w:vertAlign w:val="baseline"/>
                <w:lang w:val="en-US" w:eastAsia="zh-CN"/>
              </w:rPr>
              <w:t>至安谷镇泊滩村，止于G348线乐沙大道相交处，通过已建成的S215线安谷互通与G348线乐沙大道实现交通转换，全长22.6</w:t>
            </w:r>
            <w:r>
              <w:rPr>
                <w:rFonts w:hint="eastAsia" w:cs="Times New Roman"/>
                <w:color w:val="auto"/>
                <w:sz w:val="24"/>
                <w:szCs w:val="24"/>
                <w:vertAlign w:val="baseline"/>
                <w:lang w:val="en-US" w:eastAsia="zh-CN"/>
              </w:rPr>
              <w:t>公里</w:t>
            </w:r>
            <w:r>
              <w:rPr>
                <w:rFonts w:hint="default" w:ascii="Times New Roman" w:hAnsi="Times New Roman" w:cs="Times New Roman"/>
                <w:color w:val="auto"/>
                <w:sz w:val="24"/>
                <w:szCs w:val="24"/>
                <w:vertAlign w:val="baseline"/>
                <w:lang w:val="en-US" w:eastAsia="zh-CN"/>
              </w:rPr>
              <w:t>，</w:t>
            </w:r>
            <w:r>
              <w:rPr>
                <w:rFonts w:hint="eastAsia" w:cs="Times New Roman"/>
                <w:color w:val="auto"/>
                <w:sz w:val="24"/>
                <w:szCs w:val="24"/>
                <w:vertAlign w:val="baseline"/>
                <w:lang w:val="en-US" w:eastAsia="zh-CN"/>
              </w:rPr>
              <w:t>其中</w:t>
            </w:r>
            <w:r>
              <w:rPr>
                <w:rFonts w:hint="default" w:ascii="Times New Roman" w:hAnsi="Times New Roman" w:cs="Times New Roman"/>
                <w:color w:val="auto"/>
                <w:sz w:val="24"/>
                <w:szCs w:val="24"/>
                <w:vertAlign w:val="baseline"/>
                <w:lang w:val="en-US" w:eastAsia="zh-CN"/>
              </w:rPr>
              <w:t>加宽+新建里程为18.</w:t>
            </w:r>
            <w:r>
              <w:rPr>
                <w:rFonts w:hint="eastAsia" w:cs="Times New Roman"/>
                <w:color w:val="auto"/>
                <w:sz w:val="24"/>
                <w:szCs w:val="24"/>
                <w:vertAlign w:val="baseline"/>
                <w:lang w:val="en-US" w:eastAsia="zh-CN"/>
              </w:rPr>
              <w:t>4公里</w:t>
            </w:r>
          </w:p>
        </w:tc>
        <w:tc>
          <w:tcPr>
            <w:tcW w:w="652" w:type="pct"/>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24.4</w:t>
            </w:r>
          </w:p>
        </w:tc>
        <w:tc>
          <w:tcPr>
            <w:tcW w:w="520" w:type="pct"/>
            <w:shd w:val="clear" w:color="auto" w:fill="auto"/>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kern w:val="2"/>
                <w:sz w:val="24"/>
                <w:szCs w:val="24"/>
                <w:vertAlign w:val="baseline"/>
                <w:lang w:val="en-US" w:eastAsia="zh-CN" w:bidi="ar-SA"/>
              </w:rPr>
            </w:pPr>
            <w:r>
              <w:rPr>
                <w:rFonts w:hint="eastAsia" w:cs="Times New Roman"/>
                <w:color w:val="auto"/>
                <w:sz w:val="24"/>
                <w:szCs w:val="24"/>
                <w:vertAlign w:val="baseline"/>
                <w:lang w:val="en-US" w:eastAsia="zh-CN"/>
              </w:rPr>
              <w:t>近期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shd w:val="clear" w:color="auto" w:fill="auto"/>
            <w:vAlign w:val="center"/>
          </w:tcPr>
          <w:p>
            <w:pPr>
              <w:adjustRightInd w:val="0"/>
              <w:snapToGrid w:val="0"/>
              <w:spacing w:line="240" w:lineRule="auto"/>
              <w:ind w:firstLine="0" w:firstLineChars="0"/>
              <w:jc w:val="center"/>
              <w:rPr>
                <w:rFonts w:hint="default" w:ascii="Times New Roman" w:hAnsi="Times New Roman" w:eastAsia="仿宋_GB2312" w:cs="Times New Roman"/>
                <w:color w:val="auto"/>
                <w:kern w:val="2"/>
                <w:sz w:val="24"/>
                <w:szCs w:val="24"/>
                <w:vertAlign w:val="baseline"/>
                <w:lang w:val="en-US" w:eastAsia="zh-CN" w:bidi="ar-SA"/>
              </w:rPr>
            </w:pPr>
            <w:r>
              <w:rPr>
                <w:rFonts w:hint="eastAsia" w:cs="Times New Roman"/>
                <w:color w:val="auto"/>
                <w:kern w:val="2"/>
                <w:sz w:val="24"/>
                <w:szCs w:val="24"/>
                <w:vertAlign w:val="baseline"/>
                <w:lang w:val="en-US" w:eastAsia="zh-CN" w:bidi="ar-SA"/>
              </w:rPr>
              <w:t>7</w:t>
            </w:r>
          </w:p>
        </w:tc>
        <w:tc>
          <w:tcPr>
            <w:tcW w:w="594" w:type="pct"/>
            <w:vMerge w:val="continue"/>
          </w:tcPr>
          <w:p>
            <w:pPr>
              <w:adjustRightInd w:val="0"/>
              <w:snapToGrid w:val="0"/>
              <w:spacing w:line="240" w:lineRule="auto"/>
              <w:ind w:firstLine="0" w:firstLineChars="0"/>
              <w:jc w:val="center"/>
              <w:rPr>
                <w:rFonts w:hint="eastAsia" w:cs="Times New Roman"/>
                <w:color w:val="auto"/>
                <w:sz w:val="24"/>
                <w:szCs w:val="24"/>
                <w:vertAlign w:val="baseline"/>
                <w:lang w:val="en-US" w:eastAsia="zh-CN"/>
              </w:rPr>
            </w:pPr>
          </w:p>
        </w:tc>
        <w:tc>
          <w:tcPr>
            <w:tcW w:w="91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4"/>
                <w:szCs w:val="24"/>
                <w:vertAlign w:val="baseline"/>
                <w:lang w:val="en-US" w:eastAsia="zh-CN"/>
              </w:rPr>
            </w:pPr>
            <w:r>
              <w:rPr>
                <w:rFonts w:hint="default" w:ascii="Times New Roman" w:hAnsi="Times New Roman" w:cs="Times New Roman"/>
                <w:color w:val="auto"/>
                <w:sz w:val="24"/>
                <w:szCs w:val="24"/>
              </w:rPr>
              <w:t>G93乐宜高速乐山机场互通项目</w:t>
            </w:r>
          </w:p>
        </w:tc>
        <w:tc>
          <w:tcPr>
            <w:tcW w:w="20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拟建设G93乐宜高速和机场大道单喇叭互通</w:t>
            </w:r>
          </w:p>
        </w:tc>
        <w:tc>
          <w:tcPr>
            <w:tcW w:w="65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4"/>
                <w:szCs w:val="24"/>
                <w:vertAlign w:val="baseline"/>
                <w:lang w:val="en-US" w:eastAsia="zh-CN"/>
              </w:rPr>
            </w:pPr>
            <w:r>
              <w:rPr>
                <w:rFonts w:hint="eastAsia" w:cs="Times New Roman"/>
                <w:color w:val="auto"/>
                <w:sz w:val="24"/>
                <w:szCs w:val="24"/>
                <w:vertAlign w:val="baseline"/>
                <w:lang w:val="en-US" w:eastAsia="zh-CN"/>
              </w:rPr>
              <w:t>1.45</w:t>
            </w:r>
          </w:p>
        </w:tc>
        <w:tc>
          <w:tcPr>
            <w:tcW w:w="520" w:type="pct"/>
            <w:vAlign w:val="center"/>
          </w:tcPr>
          <w:p>
            <w:pPr>
              <w:adjustRightInd w:val="0"/>
              <w:snapToGrid w:val="0"/>
              <w:spacing w:line="240" w:lineRule="auto"/>
              <w:ind w:firstLine="0" w:firstLineChars="0"/>
              <w:jc w:val="center"/>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3827" w:type="pct"/>
            <w:gridSpan w:val="4"/>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合计</w:t>
            </w:r>
          </w:p>
        </w:tc>
        <w:tc>
          <w:tcPr>
            <w:tcW w:w="65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4"/>
                <w:szCs w:val="24"/>
                <w:vertAlign w:val="baseline"/>
                <w:lang w:val="en-US" w:eastAsia="zh-CN"/>
              </w:rPr>
            </w:pPr>
            <w:r>
              <w:rPr>
                <w:rFonts w:hint="eastAsia" w:cs="Times New Roman"/>
                <w:color w:val="auto"/>
                <w:sz w:val="24"/>
                <w:szCs w:val="24"/>
                <w:vertAlign w:val="baseline"/>
                <w:lang w:val="en-US" w:eastAsia="zh-CN"/>
              </w:rPr>
              <w:t>60.71</w:t>
            </w:r>
          </w:p>
        </w:tc>
        <w:tc>
          <w:tcPr>
            <w:tcW w:w="520" w:type="pct"/>
            <w:vAlign w:val="center"/>
          </w:tcPr>
          <w:p>
            <w:pPr>
              <w:keepNext w:val="0"/>
              <w:keepLines w:val="0"/>
              <w:widowControl w:val="0"/>
              <w:suppressLineNumbers w:val="0"/>
              <w:adjustRightInd w:val="0"/>
              <w:snapToGrid w:val="0"/>
              <w:spacing w:line="240" w:lineRule="auto"/>
              <w:ind w:firstLine="0" w:firstLineChars="0"/>
              <w:jc w:val="center"/>
              <w:textAlignment w:val="auto"/>
              <w:rPr>
                <w:rFonts w:hint="eastAsia" w:cs="Times New Roman"/>
                <w:color w:val="auto"/>
                <w:sz w:val="24"/>
                <w:szCs w:val="24"/>
                <w:vertAlign w:val="baseline"/>
                <w:lang w:val="en-US" w:eastAsia="zh-CN"/>
              </w:rPr>
            </w:pPr>
          </w:p>
        </w:tc>
      </w:tr>
    </w:tbl>
    <w:p>
      <w:pPr>
        <w:ind w:firstLine="0" w:firstLineChars="0"/>
        <w:rPr>
          <w:rFonts w:hint="eastAsia"/>
          <w:color w:val="auto"/>
          <w:lang w:val="en-US" w:eastAsia="zh-CN"/>
        </w:rPr>
        <w:sectPr>
          <w:pgSz w:w="23811" w:h="16838" w:orient="landscape"/>
          <w:pgMar w:top="1800" w:right="1440" w:bottom="1800" w:left="1440" w:header="851" w:footer="992" w:gutter="0"/>
          <w:pgNumType w:fmt="decimal"/>
          <w:cols w:space="425" w:num="1"/>
          <w:docGrid w:type="lines" w:linePitch="312" w:charSpace="0"/>
        </w:sectPr>
      </w:pPr>
    </w:p>
    <w:p>
      <w:pPr>
        <w:pStyle w:val="4"/>
        <w:bidi w:val="0"/>
        <w:rPr>
          <w:rFonts w:hint="eastAsia"/>
          <w:color w:val="auto"/>
          <w:lang w:val="en-US" w:eastAsia="zh-CN"/>
        </w:rPr>
      </w:pPr>
      <w:bookmarkStart w:id="161" w:name="_Toc28615"/>
      <w:r>
        <w:rPr>
          <w:rFonts w:hint="eastAsia"/>
          <w:color w:val="auto"/>
          <w:lang w:val="en-US" w:eastAsia="zh-CN"/>
        </w:rPr>
        <w:t>经济效益分析</w:t>
      </w:r>
      <w:bookmarkEnd w:id="161"/>
    </w:p>
    <w:p>
      <w:pPr>
        <w:pStyle w:val="5"/>
        <w:bidi w:val="0"/>
        <w:rPr>
          <w:rFonts w:hint="default"/>
          <w:lang w:val="en-US" w:eastAsia="zh-CN"/>
        </w:rPr>
      </w:pPr>
      <w:r>
        <w:rPr>
          <w:rFonts w:hint="eastAsia"/>
          <w:lang w:val="en-US" w:eastAsia="zh-CN"/>
        </w:rPr>
        <w:t>总体经济效益分析</w:t>
      </w:r>
    </w:p>
    <w:p>
      <w:pPr>
        <w:bidi w:val="0"/>
        <w:ind w:left="0" w:leftChars="0" w:firstLine="640" w:firstLineChars="200"/>
        <w:rPr>
          <w:rFonts w:hint="default"/>
          <w:lang w:val="en-US" w:eastAsia="zh-CN"/>
        </w:rPr>
      </w:pPr>
      <w:r>
        <w:rPr>
          <w:rFonts w:hint="eastAsia"/>
          <w:lang w:val="en-US" w:eastAsia="zh-CN"/>
        </w:rPr>
        <w:t>示范</w:t>
      </w:r>
      <w:r>
        <w:t>基地建设通过整合公路、铁路、水路、航空等运输方式，实现结构性降本增效。</w:t>
      </w:r>
      <w:r>
        <w:rPr>
          <w:rFonts w:hint="eastAsia"/>
          <w:lang w:val="en-US" w:eastAsia="zh-CN"/>
        </w:rPr>
        <w:t>以下</w:t>
      </w:r>
      <w:r>
        <w:t>分析聚焦于</w:t>
      </w:r>
      <w:r>
        <w:rPr>
          <w:rFonts w:hint="eastAsia"/>
          <w:lang w:val="en-US" w:eastAsia="zh-CN"/>
        </w:rPr>
        <w:t>示范</w:t>
      </w:r>
      <w:r>
        <w:t>基地建成后，针对</w:t>
      </w:r>
      <w:r>
        <w:rPr>
          <w:rFonts w:hint="eastAsia"/>
          <w:lang w:val="en-US" w:eastAsia="zh-CN"/>
        </w:rPr>
        <w:t>园区承接各类</w:t>
      </w:r>
      <w:r>
        <w:t>货物的</w:t>
      </w:r>
      <w:r>
        <w:rPr>
          <w:rFonts w:hint="eastAsia"/>
          <w:lang w:val="en-US" w:eastAsia="zh-CN"/>
        </w:rPr>
        <w:t>总</w:t>
      </w:r>
      <w:r>
        <w:t>货运量，量化其</w:t>
      </w:r>
      <w:r>
        <w:rPr>
          <w:rFonts w:hint="eastAsia"/>
          <w:lang w:val="en-US" w:eastAsia="zh-CN"/>
        </w:rPr>
        <w:t>物流</w:t>
      </w:r>
      <w:r>
        <w:t>成本下降效果。</w:t>
      </w:r>
      <w:r>
        <w:rPr>
          <w:rFonts w:hint="eastAsia"/>
          <w:lang w:val="en-US" w:eastAsia="zh-CN"/>
        </w:rPr>
        <w:t>结合示范</w:t>
      </w:r>
      <w:r>
        <w:t>基地</w:t>
      </w:r>
      <w:r>
        <w:rPr>
          <w:rFonts w:hint="eastAsia"/>
          <w:lang w:val="en-US" w:eastAsia="zh-CN"/>
        </w:rPr>
        <w:t>设计承载能力与目标年全社会各运输方式货运量占比，综合预测示范</w:t>
      </w:r>
      <w:r>
        <w:t>基地</w:t>
      </w:r>
      <w:r>
        <w:rPr>
          <w:rFonts w:hint="eastAsia"/>
          <w:lang w:val="en-US" w:eastAsia="zh-CN"/>
        </w:rPr>
        <w:t>承载货物公铁水货运比例由建成前76%：16%：8%调整为建成后43%：29%：28%，乐山机场建成后设计年吞吐量仅为1.6万吨，货运占比极低，对总体物流成本影响小，故此次暂不纳入分析比较。</w:t>
      </w:r>
    </w:p>
    <w:p>
      <w:pPr>
        <w:bidi w:val="0"/>
        <w:ind w:left="0" w:leftChars="0" w:firstLine="640" w:firstLineChars="200"/>
        <w:rPr>
          <w:rFonts w:hint="eastAsia"/>
          <w:lang w:val="en-US" w:eastAsia="zh-CN"/>
        </w:rPr>
      </w:pPr>
      <w:r>
        <w:rPr>
          <w:rFonts w:hint="eastAsia"/>
          <w:lang w:val="en-US" w:eastAsia="zh-CN"/>
        </w:rPr>
        <w:t>综合各货类货运量、运输结构，考虑建成示范基地后部分原公路运输货物转为水路或铁路运输，预测建成示范基地后承接货物公铁水运输的平均运距分别为400公里、700公里、1000公里。为简化计算，物流成本计算仅考虑运输环节，忽略仓储、管理等其他环节成本，则总物流成本计算方式为</w:t>
      </w:r>
    </w:p>
    <w:p>
      <w:pPr>
        <w:pStyle w:val="33"/>
        <w:bidi w:val="0"/>
        <w:rPr>
          <w:rFonts w:hint="default"/>
          <w:lang w:val="en-US" w:eastAsia="zh-CN"/>
        </w:rPr>
      </w:pPr>
      <w:r>
        <w:drawing>
          <wp:inline distT="0" distB="0" distL="114300" distR="114300">
            <wp:extent cx="1499870" cy="461010"/>
            <wp:effectExtent l="0" t="0" r="5080" b="1524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86"/>
                    <a:stretch>
                      <a:fillRect/>
                    </a:stretch>
                  </pic:blipFill>
                  <pic:spPr>
                    <a:xfrm>
                      <a:off x="0" y="0"/>
                      <a:ext cx="1499870" cy="461010"/>
                    </a:xfrm>
                    <a:prstGeom prst="rect">
                      <a:avLst/>
                    </a:prstGeom>
                    <a:noFill/>
                    <a:ln>
                      <a:noFill/>
                    </a:ln>
                  </pic:spPr>
                </pic:pic>
              </a:graphicData>
            </a:graphic>
          </wp:inline>
        </w:drawing>
      </w:r>
    </w:p>
    <w:p>
      <w:pPr>
        <w:bidi w:val="0"/>
        <w:ind w:left="0" w:leftChars="0" w:firstLine="1280" w:firstLineChars="400"/>
        <w:rPr>
          <w:rFonts w:hint="eastAsia"/>
          <w:lang w:val="en-US" w:eastAsia="zh-CN"/>
        </w:rPr>
      </w:pPr>
      <w:r>
        <w:rPr>
          <w:rFonts w:hint="eastAsia"/>
          <w:lang w:val="en-US" w:eastAsia="zh-CN"/>
        </w:rPr>
        <w:t>Q</w:t>
      </w:r>
      <w:r>
        <w:rPr>
          <w:rFonts w:hint="eastAsia"/>
          <w:vertAlign w:val="subscript"/>
          <w:lang w:val="en-US" w:eastAsia="zh-CN"/>
        </w:rPr>
        <w:t>i</w:t>
      </w:r>
      <w:r>
        <w:rPr>
          <w:rFonts w:hint="eastAsia" w:ascii="华文宋体" w:hAnsi="华文宋体" w:eastAsia="华文宋体" w:cs="华文宋体"/>
          <w:lang w:val="en-US" w:eastAsia="zh-CN"/>
        </w:rPr>
        <w:t>——</w:t>
      </w:r>
      <w:r>
        <w:rPr>
          <w:rFonts w:hint="eastAsia"/>
          <w:lang w:val="en-US" w:eastAsia="zh-CN"/>
        </w:rPr>
        <w:t>各运输方式的货运量，吨；</w:t>
      </w:r>
    </w:p>
    <w:p>
      <w:pPr>
        <w:bidi w:val="0"/>
        <w:ind w:left="0" w:leftChars="0" w:firstLine="1280" w:firstLineChars="400"/>
        <w:rPr>
          <w:rFonts w:hint="eastAsia"/>
          <w:lang w:val="en-US" w:eastAsia="zh-CN"/>
        </w:rPr>
      </w:pPr>
      <w:r>
        <w:rPr>
          <w:rFonts w:hint="eastAsia"/>
          <w:lang w:val="en-US" w:eastAsia="zh-CN"/>
        </w:rPr>
        <w:t>D</w:t>
      </w:r>
      <w:r>
        <w:rPr>
          <w:rFonts w:hint="eastAsia"/>
          <w:vertAlign w:val="subscript"/>
          <w:lang w:val="en-US" w:eastAsia="zh-CN"/>
        </w:rPr>
        <w:t>i</w:t>
      </w:r>
      <w:r>
        <w:rPr>
          <w:rFonts w:hint="eastAsia" w:ascii="华文宋体" w:hAnsi="华文宋体" w:eastAsia="华文宋体" w:cs="华文宋体"/>
          <w:lang w:val="en-US" w:eastAsia="zh-CN"/>
        </w:rPr>
        <w:t>——</w:t>
      </w:r>
      <w:r>
        <w:rPr>
          <w:rFonts w:hint="eastAsia"/>
          <w:lang w:val="en-US" w:eastAsia="zh-CN"/>
        </w:rPr>
        <w:t>各运输方式的平均运距，公里；</w:t>
      </w:r>
    </w:p>
    <w:p>
      <w:pPr>
        <w:bidi w:val="0"/>
        <w:ind w:left="0" w:leftChars="0" w:firstLine="1280" w:firstLineChars="400"/>
        <w:rPr>
          <w:rFonts w:hint="default"/>
          <w:lang w:val="en-US" w:eastAsia="zh-CN"/>
        </w:rPr>
      </w:pPr>
      <w:r>
        <w:rPr>
          <w:rFonts w:hint="eastAsia"/>
          <w:lang w:val="en-US" w:eastAsia="zh-CN"/>
        </w:rPr>
        <w:t>P</w:t>
      </w:r>
      <w:r>
        <w:rPr>
          <w:rFonts w:hint="eastAsia"/>
          <w:vertAlign w:val="subscript"/>
          <w:lang w:val="en-US" w:eastAsia="zh-CN"/>
        </w:rPr>
        <w:t>i</w:t>
      </w:r>
      <w:r>
        <w:rPr>
          <w:rFonts w:hint="eastAsia" w:ascii="华文宋体" w:hAnsi="华文宋体" w:eastAsia="华文宋体" w:cs="华文宋体"/>
          <w:lang w:val="en-US" w:eastAsia="zh-CN"/>
        </w:rPr>
        <w:t>——</w:t>
      </w:r>
      <w:r>
        <w:rPr>
          <w:rFonts w:hint="eastAsia"/>
          <w:lang w:val="en-US" w:eastAsia="zh-CN"/>
        </w:rPr>
        <w:t>各运输方式的平均运价，元/吨公里；</w:t>
      </w:r>
    </w:p>
    <w:p>
      <w:pPr>
        <w:rPr>
          <w:rFonts w:hint="eastAsia"/>
          <w:lang w:val="en-US" w:eastAsia="zh-CN"/>
        </w:rPr>
      </w:pPr>
      <w:r>
        <w:rPr>
          <w:rFonts w:hint="eastAsia"/>
          <w:lang w:val="en-US" w:eastAsia="zh-CN"/>
        </w:rPr>
        <w:t>结合第三章各运输方式运价特征，计算得在达到稳定运营年份时（即2035年），通过示范基地可为货主企业节约货物物流成本5.85亿元，相比目前运输成本下降36%。</w:t>
      </w:r>
    </w:p>
    <w:p>
      <w:pPr>
        <w:pStyle w:val="5"/>
        <w:bidi w:val="0"/>
        <w:rPr>
          <w:rFonts w:hint="eastAsia"/>
          <w:lang w:val="en-US" w:eastAsia="zh-CN"/>
        </w:rPr>
      </w:pPr>
      <w:r>
        <w:rPr>
          <w:rFonts w:hint="eastAsia"/>
          <w:lang w:val="en-US" w:eastAsia="zh-CN"/>
        </w:rPr>
        <w:t>多式联运精品线路经济效益分析</w:t>
      </w:r>
    </w:p>
    <w:p>
      <w:pPr>
        <w:rPr>
          <w:rFonts w:hint="default" w:ascii="Times New Roman" w:hAnsi="Times New Roman"/>
          <w:lang w:val="en-US" w:eastAsia="zh-CN"/>
        </w:rPr>
      </w:pPr>
      <w:r>
        <w:rPr>
          <w:rFonts w:hint="eastAsia" w:ascii="Times New Roman" w:hAnsi="Times New Roman"/>
          <w:lang w:val="en-US" w:eastAsia="zh-CN"/>
        </w:rPr>
        <w:t>本节对7.2.2节中重点培育的多式联运精品线路进行经济效益估算。</w:t>
      </w:r>
      <w:r>
        <w:rPr>
          <w:rFonts w:hint="eastAsia" w:cs="Times New Roman"/>
          <w:color w:val="auto"/>
          <w:lang w:val="en-US" w:eastAsia="zh-CN"/>
        </w:rPr>
        <w:t>由于全省大件装备在乐山大件码头下水运输相比于泸州、宜宾等港口具有绝对领先优势，暂无其他有效替代的运输线路，且大件装备自身特性对运价影响极大，本规划不对大件运输公水联运线路物流成本进行对比测算</w:t>
      </w:r>
      <w:r>
        <w:rPr>
          <w:rFonts w:hint="eastAsia" w:ascii="Times New Roman" w:hAnsi="Times New Roman"/>
          <w:lang w:val="en-US" w:eastAsia="zh-CN"/>
        </w:rPr>
        <w:t>。</w:t>
      </w:r>
    </w:p>
    <w:p>
      <w:pPr>
        <w:bidi w:val="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1.</w:t>
      </w:r>
      <w:r>
        <w:rPr>
          <w:rFonts w:hint="default" w:ascii="Times New Roman" w:hAnsi="Times New Roman" w:cs="Times New Roman"/>
          <w:b/>
          <w:bCs/>
          <w:color w:val="auto"/>
          <w:lang w:val="en-US" w:eastAsia="zh-CN"/>
        </w:rPr>
        <w:t>五通桥工业区经示范基地至长江中下游普通化工产品公水联运线路</w:t>
      </w:r>
    </w:p>
    <w:p>
      <w:pPr>
        <w:rPr>
          <w:rFonts w:hint="default" w:ascii="Times New Roman" w:hAnsi="Times New Roman" w:cs="Times New Roman"/>
          <w:color w:val="auto"/>
          <w:kern w:val="2"/>
          <w:sz w:val="32"/>
          <w:szCs w:val="24"/>
          <w:highlight w:val="none"/>
          <w:lang w:val="en-US" w:eastAsia="zh-CN" w:bidi="ar-SA"/>
        </w:rPr>
      </w:pPr>
      <w:r>
        <w:rPr>
          <w:rFonts w:hint="default" w:ascii="Times New Roman" w:hAnsi="Times New Roman" w:cs="Times New Roman"/>
          <w:color w:val="auto"/>
          <w:kern w:val="2"/>
          <w:sz w:val="32"/>
          <w:szCs w:val="24"/>
          <w:highlight w:val="none"/>
          <w:lang w:val="en-US" w:eastAsia="zh-CN" w:bidi="ar-SA"/>
        </w:rPr>
        <w:t>2035年运量预计可达20万吨</w:t>
      </w:r>
      <w:r>
        <w:rPr>
          <w:rFonts w:hint="eastAsia" w:ascii="Times New Roman" w:hAnsi="Times New Roman" w:cs="Times New Roman"/>
          <w:color w:val="auto"/>
          <w:kern w:val="2"/>
          <w:sz w:val="32"/>
          <w:szCs w:val="24"/>
          <w:highlight w:val="none"/>
          <w:lang w:val="en-US" w:eastAsia="zh-CN" w:bidi="ar-SA"/>
        </w:rPr>
        <w:t>，则可</w:t>
      </w:r>
      <w:r>
        <w:rPr>
          <w:rFonts w:hint="eastAsia" w:cs="Times New Roman"/>
          <w:color w:val="auto"/>
          <w:kern w:val="2"/>
          <w:sz w:val="32"/>
          <w:szCs w:val="24"/>
          <w:highlight w:val="none"/>
          <w:lang w:val="en-US" w:eastAsia="zh-CN" w:bidi="ar-SA"/>
        </w:rPr>
        <w:t>实现降低化工企业运输物流成本60%以上。</w:t>
      </w:r>
    </w:p>
    <w:p>
      <w:pPr>
        <w:pStyle w:val="7"/>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6</w:t>
      </w:r>
      <w:r>
        <w:rPr>
          <w:color w:val="auto"/>
        </w:rPr>
        <w:fldChar w:fldCharType="end"/>
      </w:r>
      <w:r>
        <w:rPr>
          <w:rFonts w:hint="eastAsia"/>
          <w:color w:val="auto"/>
          <w:lang w:val="en-US" w:eastAsia="zh-CN"/>
        </w:rPr>
        <w:t xml:space="preserve"> 五通桥工业区至江苏普通化工产品公水联运成本对比分析</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1317"/>
        <w:gridCol w:w="769"/>
        <w:gridCol w:w="1715"/>
        <w:gridCol w:w="685"/>
        <w:gridCol w:w="1440"/>
        <w:gridCol w:w="750"/>
        <w:gridCol w:w="1665"/>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年运量</w:t>
            </w:r>
          </w:p>
        </w:tc>
        <w:tc>
          <w:tcPr>
            <w:tcW w:w="2234"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原线路：公路+铁路（燕岗站）</w:t>
            </w:r>
          </w:p>
        </w:tc>
        <w:tc>
          <w:tcPr>
            <w:tcW w:w="2280"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新线路：公路+水路（大件码头）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85"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20万吨</w:t>
            </w:r>
          </w:p>
        </w:tc>
        <w:tc>
          <w:tcPr>
            <w:tcW w:w="65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8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55</w:t>
            </w:r>
          </w:p>
        </w:tc>
        <w:tc>
          <w:tcPr>
            <w:tcW w:w="85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0.5</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7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14</w:t>
            </w:r>
          </w:p>
        </w:tc>
        <w:tc>
          <w:tcPr>
            <w:tcW w:w="829"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6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48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65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1900</w:t>
            </w:r>
          </w:p>
        </w:tc>
        <w:tc>
          <w:tcPr>
            <w:tcW w:w="854"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shd w:val="clear"/>
                <w:vertAlign w:val="baseline"/>
                <w:lang w:val="en-US" w:eastAsia="zh-CN"/>
              </w:rPr>
              <w:t>0.1</w:t>
            </w:r>
            <w:r>
              <w:rPr>
                <w:rFonts w:hint="eastAsia"/>
                <w:b w:val="0"/>
                <w:bCs w:val="0"/>
                <w:color w:val="auto"/>
                <w:sz w:val="24"/>
                <w:szCs w:val="24"/>
                <w:shd w:val="clear"/>
                <w:vertAlign w:val="baseline"/>
                <w:lang w:val="en-US" w:eastAsia="zh-CN"/>
              </w:rPr>
              <w:t>7</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水路里程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7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2600</w:t>
            </w:r>
          </w:p>
        </w:tc>
        <w:tc>
          <w:tcPr>
            <w:tcW w:w="829"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水路运价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6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65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78"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b w:val="0"/>
                <w:bCs w:val="0"/>
                <w:color w:val="auto"/>
                <w:sz w:val="24"/>
                <w:szCs w:val="24"/>
                <w:vertAlign w:val="baseline"/>
                <w:lang w:val="en-US" w:eastAsia="zh-CN"/>
              </w:rPr>
              <w:t>7010</w:t>
            </w:r>
            <w:r>
              <w:rPr>
                <w:rFonts w:hint="eastAsia" w:ascii="Times New Roman" w:hAnsi="Times New Roman"/>
                <w:b w:val="0"/>
                <w:bCs w:val="0"/>
                <w:color w:val="auto"/>
                <w:sz w:val="24"/>
                <w:szCs w:val="24"/>
                <w:vertAlign w:val="baseline"/>
                <w:lang w:val="en-US" w:eastAsia="zh-CN"/>
              </w:rPr>
              <w:t>万元</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63"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2740万元</w:t>
            </w:r>
          </w:p>
        </w:tc>
      </w:tr>
    </w:tbl>
    <w:p>
      <w:pPr>
        <w:bidi w:val="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2.</w:t>
      </w:r>
      <w:r>
        <w:rPr>
          <w:rFonts w:hint="default" w:ascii="Times New Roman" w:hAnsi="Times New Roman" w:cs="Times New Roman"/>
          <w:b/>
          <w:bCs/>
          <w:color w:val="auto"/>
          <w:lang w:val="en-US" w:eastAsia="zh-CN"/>
        </w:rPr>
        <w:t>陕西经示范基地至五通桥工业区煤炭公铁联运线路</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2035年运量预计可达50万吨</w:t>
      </w:r>
      <w:r>
        <w:rPr>
          <w:rFonts w:hint="eastAsia" w:ascii="Times New Roman" w:hAnsi="Times New Roman" w:cs="Times New Roman"/>
          <w:color w:val="auto"/>
          <w:lang w:val="en-US" w:eastAsia="zh-CN"/>
        </w:rPr>
        <w:t>，则可</w:t>
      </w:r>
      <w:r>
        <w:rPr>
          <w:rFonts w:hint="eastAsia" w:cs="Times New Roman"/>
          <w:color w:val="auto"/>
          <w:kern w:val="2"/>
          <w:sz w:val="32"/>
          <w:szCs w:val="24"/>
          <w:highlight w:val="none"/>
          <w:lang w:val="en-US" w:eastAsia="zh-CN" w:bidi="ar-SA"/>
        </w:rPr>
        <w:t>实现降低化工企业运输物流成本约5%</w:t>
      </w:r>
      <w:r>
        <w:rPr>
          <w:rFonts w:hint="default" w:ascii="Times New Roman" w:hAnsi="Times New Roman" w:cs="Times New Roman"/>
          <w:color w:val="auto"/>
          <w:lang w:val="en-US" w:eastAsia="zh-CN"/>
        </w:rPr>
        <w:t>。</w:t>
      </w:r>
    </w:p>
    <w:p>
      <w:pPr>
        <w:pStyle w:val="7"/>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7</w:t>
      </w:r>
      <w:r>
        <w:rPr>
          <w:color w:val="auto"/>
        </w:rPr>
        <w:fldChar w:fldCharType="end"/>
      </w:r>
      <w:r>
        <w:rPr>
          <w:rFonts w:hint="eastAsia"/>
          <w:color w:val="auto"/>
          <w:lang w:val="en-US" w:eastAsia="zh-CN"/>
        </w:rPr>
        <w:t xml:space="preserve"> 陕西至五通桥工业区煤炭产品公铁联运成本对比分析</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1317"/>
        <w:gridCol w:w="769"/>
        <w:gridCol w:w="1715"/>
        <w:gridCol w:w="685"/>
        <w:gridCol w:w="1440"/>
        <w:gridCol w:w="750"/>
        <w:gridCol w:w="1665"/>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年运量</w:t>
            </w:r>
          </w:p>
        </w:tc>
        <w:tc>
          <w:tcPr>
            <w:tcW w:w="2234"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原线路：公路+铁路（燕岗站）</w:t>
            </w:r>
          </w:p>
        </w:tc>
        <w:tc>
          <w:tcPr>
            <w:tcW w:w="2280"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新线路：公路+铁路（示范基地铁路站）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50万吨</w:t>
            </w:r>
          </w:p>
        </w:tc>
        <w:tc>
          <w:tcPr>
            <w:tcW w:w="65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8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55</w:t>
            </w:r>
          </w:p>
        </w:tc>
        <w:tc>
          <w:tcPr>
            <w:tcW w:w="85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0.5</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7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14</w:t>
            </w:r>
          </w:p>
        </w:tc>
        <w:tc>
          <w:tcPr>
            <w:tcW w:w="829"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6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48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65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1400</w:t>
            </w:r>
          </w:p>
        </w:tc>
        <w:tc>
          <w:tcPr>
            <w:tcW w:w="854"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0.1</w:t>
            </w:r>
            <w:r>
              <w:rPr>
                <w:rFonts w:hint="eastAsia"/>
                <w:b w:val="0"/>
                <w:bCs w:val="0"/>
                <w:color w:val="auto"/>
                <w:sz w:val="24"/>
                <w:szCs w:val="24"/>
                <w:vertAlign w:val="baseline"/>
                <w:lang w:val="en-US" w:eastAsia="zh-CN"/>
              </w:rPr>
              <w:t>7</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7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1435</w:t>
            </w:r>
          </w:p>
        </w:tc>
        <w:tc>
          <w:tcPr>
            <w:tcW w:w="829"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724"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0.1</w:t>
            </w:r>
            <w:r>
              <w:rPr>
                <w:rFonts w:hint="eastAsia"/>
                <w:b w:val="0"/>
                <w:bCs w:val="0"/>
                <w:color w:val="auto"/>
                <w:sz w:val="24"/>
                <w:szCs w:val="24"/>
                <w:vertAlign w:val="baseli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8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65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78"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b w:val="0"/>
                <w:bCs w:val="0"/>
                <w:color w:val="auto"/>
                <w:sz w:val="24"/>
                <w:szCs w:val="24"/>
                <w:vertAlign w:val="baseline"/>
                <w:lang w:val="en-US" w:eastAsia="zh-CN"/>
              </w:rPr>
              <w:t>13275</w:t>
            </w:r>
            <w:r>
              <w:rPr>
                <w:rFonts w:hint="eastAsia" w:ascii="Times New Roman" w:hAnsi="Times New Roman"/>
                <w:b w:val="0"/>
                <w:bCs w:val="0"/>
                <w:color w:val="auto"/>
                <w:sz w:val="24"/>
                <w:szCs w:val="24"/>
                <w:vertAlign w:val="baseline"/>
                <w:lang w:val="en-US" w:eastAsia="zh-CN"/>
              </w:rPr>
              <w:t>万元</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63"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b w:val="0"/>
                <w:bCs w:val="0"/>
                <w:color w:val="auto"/>
                <w:sz w:val="24"/>
                <w:szCs w:val="24"/>
                <w:vertAlign w:val="baseline"/>
                <w:lang w:val="en-US" w:eastAsia="zh-CN"/>
              </w:rPr>
              <w:t>12548</w:t>
            </w:r>
            <w:r>
              <w:rPr>
                <w:rFonts w:hint="eastAsia" w:ascii="Times New Roman" w:hAnsi="Times New Roman"/>
                <w:b w:val="0"/>
                <w:bCs w:val="0"/>
                <w:color w:val="auto"/>
                <w:sz w:val="24"/>
                <w:szCs w:val="24"/>
                <w:vertAlign w:val="baseline"/>
                <w:lang w:val="en-US" w:eastAsia="zh-CN"/>
              </w:rPr>
              <w:t>万元</w:t>
            </w:r>
          </w:p>
        </w:tc>
      </w:tr>
    </w:tbl>
    <w:p>
      <w:pPr>
        <w:bidi w:val="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3.</w:t>
      </w:r>
      <w:r>
        <w:rPr>
          <w:rFonts w:hint="default" w:ascii="Times New Roman" w:hAnsi="Times New Roman" w:cs="Times New Roman"/>
          <w:b/>
          <w:bCs/>
          <w:color w:val="auto"/>
          <w:lang w:val="en-US" w:eastAsia="zh-CN"/>
        </w:rPr>
        <w:t>五通桥工业区经示范基地至滇黔地区普通化工产品公铁联运线路</w:t>
      </w:r>
    </w:p>
    <w:p>
      <w:pPr>
        <w:rPr>
          <w:rFonts w:hint="default" w:ascii="Times New Roman" w:hAnsi="Times New Roman" w:cs="Times New Roman"/>
          <w:color w:val="auto"/>
          <w:kern w:val="2"/>
          <w:sz w:val="32"/>
          <w:szCs w:val="24"/>
          <w:highlight w:val="none"/>
          <w:lang w:val="en-US" w:eastAsia="zh-CN" w:bidi="ar-SA"/>
        </w:rPr>
      </w:pPr>
      <w:r>
        <w:rPr>
          <w:rFonts w:hint="default" w:ascii="Times New Roman" w:hAnsi="Times New Roman" w:cs="Times New Roman"/>
          <w:color w:val="auto"/>
          <w:kern w:val="2"/>
          <w:sz w:val="32"/>
          <w:szCs w:val="24"/>
          <w:highlight w:val="none"/>
          <w:lang w:val="en-US" w:eastAsia="zh-CN" w:bidi="ar-SA"/>
        </w:rPr>
        <w:t>2035年运量预计可达30万吨</w:t>
      </w:r>
      <w:r>
        <w:rPr>
          <w:rFonts w:hint="eastAsia" w:ascii="Times New Roman" w:hAnsi="Times New Roman" w:cs="Times New Roman"/>
          <w:color w:val="auto"/>
          <w:kern w:val="2"/>
          <w:sz w:val="32"/>
          <w:szCs w:val="24"/>
          <w:highlight w:val="none"/>
          <w:lang w:val="en-US" w:eastAsia="zh-CN" w:bidi="ar-SA"/>
        </w:rPr>
        <w:t>，则可</w:t>
      </w:r>
      <w:r>
        <w:rPr>
          <w:rFonts w:hint="eastAsia" w:cs="Times New Roman"/>
          <w:color w:val="auto"/>
          <w:kern w:val="2"/>
          <w:sz w:val="32"/>
          <w:szCs w:val="24"/>
          <w:highlight w:val="none"/>
          <w:lang w:val="en-US" w:eastAsia="zh-CN" w:bidi="ar-SA"/>
        </w:rPr>
        <w:t>实现降低化工企业运输物流成本50%以上</w:t>
      </w:r>
      <w:r>
        <w:rPr>
          <w:rFonts w:hint="default" w:ascii="Times New Roman" w:hAnsi="Times New Roman" w:cs="Times New Roman"/>
          <w:color w:val="auto"/>
          <w:kern w:val="2"/>
          <w:sz w:val="32"/>
          <w:szCs w:val="24"/>
          <w:highlight w:val="none"/>
          <w:lang w:val="en-US" w:eastAsia="zh-CN" w:bidi="ar-SA"/>
        </w:rPr>
        <w:t>。</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8</w:t>
      </w:r>
      <w:r>
        <w:rPr>
          <w:color w:val="auto"/>
        </w:rPr>
        <w:fldChar w:fldCharType="end"/>
      </w:r>
      <w:r>
        <w:rPr>
          <w:rFonts w:hint="eastAsia"/>
          <w:color w:val="auto"/>
          <w:lang w:val="en-US" w:eastAsia="zh-CN"/>
        </w:rPr>
        <w:t xml:space="preserve"> 五通桥工业区至云南</w:t>
      </w:r>
      <w:r>
        <w:rPr>
          <w:rFonts w:hint="eastAsia"/>
          <w:color w:val="auto"/>
          <w:w w:val="95"/>
          <w:sz w:val="28"/>
          <w:lang w:val="en-US" w:eastAsia="zh-CN"/>
        </w:rPr>
        <w:t>普通化工产品</w:t>
      </w:r>
      <w:r>
        <w:rPr>
          <w:rFonts w:hint="eastAsia"/>
          <w:color w:val="auto"/>
          <w:lang w:val="en-US" w:eastAsia="zh-CN"/>
        </w:rPr>
        <w:t>公铁联运成本对比分析</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1317"/>
        <w:gridCol w:w="769"/>
        <w:gridCol w:w="1715"/>
        <w:gridCol w:w="685"/>
        <w:gridCol w:w="1440"/>
        <w:gridCol w:w="750"/>
        <w:gridCol w:w="1665"/>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年运量</w:t>
            </w:r>
          </w:p>
        </w:tc>
        <w:tc>
          <w:tcPr>
            <w:tcW w:w="2234"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原线路：公路</w:t>
            </w:r>
          </w:p>
        </w:tc>
        <w:tc>
          <w:tcPr>
            <w:tcW w:w="2280"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新线路：公路+铁路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30万吨</w:t>
            </w:r>
          </w:p>
        </w:tc>
        <w:tc>
          <w:tcPr>
            <w:tcW w:w="65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8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720</w:t>
            </w:r>
          </w:p>
        </w:tc>
        <w:tc>
          <w:tcPr>
            <w:tcW w:w="85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0.35</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7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14</w:t>
            </w:r>
          </w:p>
        </w:tc>
        <w:tc>
          <w:tcPr>
            <w:tcW w:w="829"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6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48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65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3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p>
        </w:tc>
        <w:tc>
          <w:tcPr>
            <w:tcW w:w="854"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7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700</w:t>
            </w:r>
          </w:p>
        </w:tc>
        <w:tc>
          <w:tcPr>
            <w:tcW w:w="829"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724"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b w:val="0"/>
                <w:bCs w:val="0"/>
                <w:color w:val="auto"/>
                <w:sz w:val="24"/>
                <w:szCs w:val="24"/>
                <w:vertAlign w:val="baseline"/>
                <w:lang w:val="en-US" w:eastAsia="zh-CN"/>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8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65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78"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7560万元</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63"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b w:val="0"/>
                <w:bCs w:val="0"/>
                <w:color w:val="auto"/>
                <w:sz w:val="24"/>
                <w:szCs w:val="24"/>
                <w:vertAlign w:val="baseline"/>
                <w:lang w:val="en-US" w:eastAsia="zh-CN"/>
              </w:rPr>
              <w:t>3780</w:t>
            </w:r>
            <w:r>
              <w:rPr>
                <w:rFonts w:hint="eastAsia" w:ascii="Times New Roman" w:hAnsi="Times New Roman"/>
                <w:b w:val="0"/>
                <w:bCs w:val="0"/>
                <w:color w:val="auto"/>
                <w:sz w:val="24"/>
                <w:szCs w:val="24"/>
                <w:vertAlign w:val="baseline"/>
                <w:lang w:val="en-US" w:eastAsia="zh-CN"/>
              </w:rPr>
              <w:t>万元</w:t>
            </w:r>
          </w:p>
        </w:tc>
      </w:tr>
    </w:tbl>
    <w:p>
      <w:pPr>
        <w:bidi w:val="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4.</w:t>
      </w:r>
      <w:r>
        <w:rPr>
          <w:rFonts w:hint="default" w:ascii="Times New Roman" w:hAnsi="Times New Roman" w:cs="Times New Roman"/>
          <w:b/>
          <w:bCs/>
          <w:color w:val="auto"/>
          <w:lang w:val="en-US" w:eastAsia="zh-CN"/>
        </w:rPr>
        <w:t>沙湾不锈钢产业园经示范基地至长江中下游钢材铁水联运线路</w:t>
      </w:r>
    </w:p>
    <w:p>
      <w:pPr>
        <w:rPr>
          <w:rFonts w:hint="default" w:ascii="Times New Roman" w:hAnsi="Times New Roman" w:eastAsia="仿宋_GB2312" w:cs="Times New Roman"/>
          <w:color w:val="auto"/>
          <w:kern w:val="2"/>
          <w:sz w:val="32"/>
          <w:szCs w:val="24"/>
          <w:highlight w:val="none"/>
          <w:lang w:val="en-US" w:eastAsia="zh-CN" w:bidi="ar-SA"/>
        </w:rPr>
      </w:pPr>
      <w:r>
        <w:rPr>
          <w:rFonts w:hint="default" w:ascii="Times New Roman" w:hAnsi="Times New Roman" w:eastAsia="仿宋_GB2312" w:cs="Times New Roman"/>
          <w:color w:val="auto"/>
          <w:kern w:val="2"/>
          <w:sz w:val="32"/>
          <w:szCs w:val="24"/>
          <w:highlight w:val="none"/>
          <w:lang w:val="en-US" w:eastAsia="zh-CN" w:bidi="ar-SA"/>
        </w:rPr>
        <w:t>2035年运量预计可达20万吨</w:t>
      </w:r>
      <w:r>
        <w:rPr>
          <w:rFonts w:hint="eastAsia" w:ascii="Times New Roman" w:hAnsi="Times New Roman" w:cs="Times New Roman"/>
          <w:color w:val="auto"/>
          <w:kern w:val="2"/>
          <w:sz w:val="32"/>
          <w:szCs w:val="24"/>
          <w:highlight w:val="none"/>
          <w:lang w:val="en-US" w:eastAsia="zh-CN" w:bidi="ar-SA"/>
        </w:rPr>
        <w:t>，则可</w:t>
      </w:r>
      <w:r>
        <w:rPr>
          <w:rFonts w:hint="eastAsia" w:cs="Times New Roman"/>
          <w:color w:val="auto"/>
          <w:kern w:val="2"/>
          <w:sz w:val="32"/>
          <w:szCs w:val="24"/>
          <w:highlight w:val="none"/>
          <w:lang w:val="en-US" w:eastAsia="zh-CN" w:bidi="ar-SA"/>
        </w:rPr>
        <w:t>实现降低相关产品运输物流成本70%以上</w:t>
      </w:r>
      <w:r>
        <w:rPr>
          <w:rFonts w:hint="default" w:ascii="Times New Roman" w:hAnsi="Times New Roman" w:eastAsia="仿宋_GB2312" w:cs="Times New Roman"/>
          <w:color w:val="auto"/>
          <w:kern w:val="2"/>
          <w:sz w:val="32"/>
          <w:szCs w:val="24"/>
          <w:highlight w:val="none"/>
          <w:lang w:val="en-US" w:eastAsia="zh-CN" w:bidi="ar-SA"/>
        </w:rPr>
        <w:t>。</w:t>
      </w:r>
    </w:p>
    <w:p>
      <w:pPr>
        <w:pStyle w:val="7"/>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9</w:t>
      </w:r>
      <w:r>
        <w:rPr>
          <w:color w:val="auto"/>
        </w:rPr>
        <w:fldChar w:fldCharType="end"/>
      </w:r>
      <w:r>
        <w:rPr>
          <w:rFonts w:hint="eastAsia"/>
          <w:color w:val="auto"/>
          <w:lang w:val="en-US" w:eastAsia="zh-CN"/>
        </w:rPr>
        <w:t xml:space="preserve"> 沙湾不锈钢产业园至江苏钢材</w:t>
      </w:r>
      <w:r>
        <w:rPr>
          <w:rFonts w:hint="eastAsia"/>
          <w:color w:val="auto"/>
          <w:w w:val="95"/>
          <w:sz w:val="28"/>
          <w:lang w:val="en-US" w:eastAsia="zh-CN"/>
        </w:rPr>
        <w:t>产品铁</w:t>
      </w:r>
      <w:r>
        <w:rPr>
          <w:rFonts w:hint="eastAsia"/>
          <w:color w:val="auto"/>
          <w:lang w:val="en-US" w:eastAsia="zh-CN"/>
        </w:rPr>
        <w:t>水联运成本对比分析</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1317"/>
        <w:gridCol w:w="769"/>
        <w:gridCol w:w="1715"/>
        <w:gridCol w:w="685"/>
        <w:gridCol w:w="1440"/>
        <w:gridCol w:w="750"/>
        <w:gridCol w:w="1665"/>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年运量</w:t>
            </w:r>
          </w:p>
        </w:tc>
        <w:tc>
          <w:tcPr>
            <w:tcW w:w="2234"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eastAsia"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原线路：公路</w:t>
            </w:r>
          </w:p>
        </w:tc>
        <w:tc>
          <w:tcPr>
            <w:tcW w:w="2280"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新线路：铁路+水路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20万吨</w:t>
            </w:r>
          </w:p>
        </w:tc>
        <w:tc>
          <w:tcPr>
            <w:tcW w:w="65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8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1860</w:t>
            </w:r>
          </w:p>
        </w:tc>
        <w:tc>
          <w:tcPr>
            <w:tcW w:w="85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0.25</w:t>
            </w:r>
          </w:p>
        </w:tc>
        <w:tc>
          <w:tcPr>
            <w:tcW w:w="144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75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57</w:t>
            </w:r>
          </w:p>
        </w:tc>
        <w:tc>
          <w:tcPr>
            <w:tcW w:w="1665"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724"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b w:val="0"/>
                <w:bCs w:val="0"/>
                <w:color w:val="auto"/>
                <w:sz w:val="24"/>
                <w:szCs w:val="24"/>
                <w:vertAlign w:val="baseline"/>
                <w:lang w:val="en-US" w:eastAsia="zh-CN"/>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48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65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3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p>
        </w:tc>
        <w:tc>
          <w:tcPr>
            <w:tcW w:w="854"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水路里程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7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2600</w:t>
            </w:r>
          </w:p>
        </w:tc>
        <w:tc>
          <w:tcPr>
            <w:tcW w:w="829"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水路运价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724"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8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65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78"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9300万元</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63"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b w:val="0"/>
                <w:bCs w:val="0"/>
                <w:color w:val="auto"/>
                <w:sz w:val="24"/>
                <w:szCs w:val="24"/>
                <w:vertAlign w:val="baseline"/>
                <w:lang w:val="en-US" w:eastAsia="zh-CN"/>
              </w:rPr>
              <w:t>2794</w:t>
            </w:r>
            <w:r>
              <w:rPr>
                <w:rFonts w:hint="eastAsia" w:ascii="Times New Roman" w:hAnsi="Times New Roman"/>
                <w:b w:val="0"/>
                <w:bCs w:val="0"/>
                <w:color w:val="auto"/>
                <w:sz w:val="24"/>
                <w:szCs w:val="24"/>
                <w:vertAlign w:val="baseline"/>
                <w:lang w:val="en-US" w:eastAsia="zh-CN"/>
              </w:rPr>
              <w:t>万元</w:t>
            </w:r>
          </w:p>
        </w:tc>
      </w:tr>
    </w:tbl>
    <w:p>
      <w:pPr>
        <w:bidi w:val="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5.</w:t>
      </w:r>
      <w:r>
        <w:rPr>
          <w:rFonts w:hint="default" w:ascii="Times New Roman" w:hAnsi="Times New Roman" w:cs="Times New Roman"/>
          <w:b/>
          <w:bCs/>
          <w:color w:val="auto"/>
          <w:lang w:val="en-US" w:eastAsia="zh-CN"/>
        </w:rPr>
        <w:t>成都都市圈经示范基地至长江中下游集装箱铁水联运线路</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2035年运量预计可达</w:t>
      </w:r>
      <w:r>
        <w:rPr>
          <w:rFonts w:hint="eastAsia" w:cs="Times New Roman"/>
          <w:color w:val="auto"/>
          <w:lang w:val="en-US" w:eastAsia="zh-CN"/>
        </w:rPr>
        <w:t>5</w:t>
      </w:r>
      <w:r>
        <w:rPr>
          <w:rFonts w:hint="default" w:ascii="Times New Roman" w:hAnsi="Times New Roman" w:cs="Times New Roman"/>
          <w:color w:val="auto"/>
          <w:lang w:val="en-US" w:eastAsia="zh-CN"/>
        </w:rPr>
        <w:t>万</w:t>
      </w:r>
      <w:r>
        <w:rPr>
          <w:rFonts w:hint="eastAsia" w:cs="Times New Roman"/>
          <w:color w:val="auto"/>
          <w:lang w:val="en-US" w:eastAsia="zh-CN"/>
        </w:rPr>
        <w:t>标箱（</w:t>
      </w:r>
      <w:r>
        <w:rPr>
          <w:rFonts w:hint="default" w:ascii="Times New Roman" w:hAnsi="Times New Roman" w:cs="Times New Roman"/>
          <w:color w:val="auto"/>
          <w:lang w:val="en-US" w:eastAsia="zh-CN"/>
        </w:rPr>
        <w:t>TEU</w:t>
      </w:r>
      <w:r>
        <w:rPr>
          <w:rFonts w:hint="eastAsia" w:cs="Times New Roman"/>
          <w:color w:val="auto"/>
          <w:lang w:val="en-US" w:eastAsia="zh-CN"/>
        </w:rPr>
        <w:t>）</w:t>
      </w:r>
      <w:r>
        <w:rPr>
          <w:rFonts w:hint="eastAsia" w:ascii="Times New Roman" w:hAnsi="Times New Roman" w:cs="Times New Roman"/>
          <w:color w:val="auto"/>
          <w:lang w:val="en-US" w:eastAsia="zh-CN"/>
        </w:rPr>
        <w:t>，则可</w:t>
      </w:r>
      <w:r>
        <w:rPr>
          <w:rFonts w:hint="eastAsia" w:cs="Times New Roman"/>
          <w:color w:val="auto"/>
          <w:kern w:val="2"/>
          <w:sz w:val="32"/>
          <w:szCs w:val="24"/>
          <w:highlight w:val="none"/>
          <w:lang w:val="en-US" w:eastAsia="zh-CN" w:bidi="ar-SA"/>
        </w:rPr>
        <w:t>实现降低相关产品运输物流成本40%以上</w:t>
      </w:r>
      <w:r>
        <w:rPr>
          <w:rFonts w:hint="default" w:ascii="Times New Roman" w:hAnsi="Times New Roman" w:cs="Times New Roman"/>
          <w:color w:val="auto"/>
          <w:lang w:val="en-US" w:eastAsia="zh-CN"/>
        </w:rPr>
        <w:t>。</w:t>
      </w:r>
    </w:p>
    <w:p>
      <w:pPr>
        <w:pStyle w:val="7"/>
        <w:keepNext/>
        <w:keepLines w:val="0"/>
        <w:pageBreakBefore w:val="0"/>
        <w:widowControl w:val="0"/>
        <w:kinsoku/>
        <w:wordWrap/>
        <w:overflowPunct/>
        <w:topLinePunct w:val="0"/>
        <w:autoSpaceDE/>
        <w:autoSpaceDN/>
        <w:bidi w:val="0"/>
        <w:adjustRightInd w:val="0"/>
        <w:snapToGrid w:val="0"/>
        <w:textAlignment w:val="auto"/>
        <w:rPr>
          <w:rFonts w:hint="default" w:eastAsia="楷体"/>
          <w:color w:val="auto"/>
          <w:lang w:val="en-US" w:eastAsia="zh-CN"/>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10</w:t>
      </w:r>
      <w:r>
        <w:rPr>
          <w:color w:val="auto"/>
        </w:rPr>
        <w:fldChar w:fldCharType="end"/>
      </w:r>
      <w:r>
        <w:rPr>
          <w:rFonts w:hint="eastAsia"/>
          <w:color w:val="auto"/>
          <w:lang w:val="en-US" w:eastAsia="zh-CN"/>
        </w:rPr>
        <w:t xml:space="preserve"> 德阳至江苏集装箱</w:t>
      </w:r>
      <w:r>
        <w:rPr>
          <w:rFonts w:hint="eastAsia"/>
          <w:color w:val="auto"/>
          <w:w w:val="95"/>
          <w:sz w:val="28"/>
          <w:lang w:val="en-US" w:eastAsia="zh-CN"/>
        </w:rPr>
        <w:t>铁</w:t>
      </w:r>
      <w:r>
        <w:rPr>
          <w:rFonts w:hint="eastAsia"/>
          <w:color w:val="auto"/>
          <w:lang w:val="en-US" w:eastAsia="zh-CN"/>
        </w:rPr>
        <w:t>水联运成本对比分析</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1317"/>
        <w:gridCol w:w="769"/>
        <w:gridCol w:w="1715"/>
        <w:gridCol w:w="685"/>
        <w:gridCol w:w="1440"/>
        <w:gridCol w:w="750"/>
        <w:gridCol w:w="1665"/>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年运量</w:t>
            </w:r>
          </w:p>
        </w:tc>
        <w:tc>
          <w:tcPr>
            <w:tcW w:w="2234"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原线路：铁路（荆州下水）+水路</w:t>
            </w:r>
          </w:p>
        </w:tc>
        <w:tc>
          <w:tcPr>
            <w:tcW w:w="2280" w:type="pct"/>
            <w:gridSpan w:val="4"/>
            <w:vAlign w:val="center"/>
          </w:tcPr>
          <w:p>
            <w:pPr>
              <w:keepNext/>
              <w:keepLines w:val="0"/>
              <w:pageBreakBefore w:val="0"/>
              <w:widowControl w:val="0"/>
              <w:kinsoku/>
              <w:wordWrap/>
              <w:overflowPunct/>
              <w:topLinePunct w:val="0"/>
              <w:autoSpaceDE/>
              <w:autoSpaceDN/>
              <w:bidi w:val="0"/>
              <w:adjustRightInd w:val="0"/>
              <w:snapToGrid w:val="0"/>
              <w:spacing w:line="360" w:lineRule="exact"/>
              <w:ind w:left="0" w:leftChars="0" w:firstLine="0" w:firstLineChars="0"/>
              <w:jc w:val="center"/>
              <w:textAlignment w:val="auto"/>
              <w:rPr>
                <w:rFonts w:hint="default" w:ascii="黑体" w:hAnsi="黑体" w:eastAsia="黑体" w:cs="黑体"/>
                <w:b w:val="0"/>
                <w:bCs w:val="0"/>
                <w:color w:val="auto"/>
                <w:sz w:val="24"/>
                <w:szCs w:val="24"/>
                <w:vertAlign w:val="baseline"/>
                <w:lang w:val="en-US" w:eastAsia="zh-CN"/>
              </w:rPr>
            </w:pPr>
            <w:r>
              <w:rPr>
                <w:rFonts w:hint="eastAsia" w:ascii="黑体" w:hAnsi="黑体" w:eastAsia="黑体" w:cs="黑体"/>
                <w:b w:val="0"/>
                <w:bCs w:val="0"/>
                <w:color w:val="auto"/>
                <w:sz w:val="24"/>
                <w:szCs w:val="24"/>
                <w:vertAlign w:val="baseline"/>
                <w:lang w:val="en-US" w:eastAsia="zh-CN"/>
              </w:rPr>
              <w:t>新线路：铁路（乐山下水）+水路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50万吨</w:t>
            </w:r>
          </w:p>
        </w:tc>
        <w:tc>
          <w:tcPr>
            <w:tcW w:w="1317"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769"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1250</w:t>
            </w:r>
          </w:p>
        </w:tc>
        <w:tc>
          <w:tcPr>
            <w:tcW w:w="1715"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0.1</w:t>
            </w:r>
            <w:r>
              <w:rPr>
                <w:rFonts w:hint="eastAsia"/>
                <w:b w:val="0"/>
                <w:bCs w:val="0"/>
                <w:color w:val="auto"/>
                <w:sz w:val="24"/>
                <w:szCs w:val="24"/>
                <w:vertAlign w:val="baseline"/>
                <w:lang w:val="en-US" w:eastAsia="zh-CN"/>
              </w:rPr>
              <w:t>7</w:t>
            </w:r>
          </w:p>
        </w:tc>
        <w:tc>
          <w:tcPr>
            <w:tcW w:w="144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75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200</w:t>
            </w:r>
          </w:p>
        </w:tc>
        <w:tc>
          <w:tcPr>
            <w:tcW w:w="1665"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铁路运价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724"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0.1</w:t>
            </w:r>
            <w:r>
              <w:rPr>
                <w:rFonts w:hint="eastAsia"/>
                <w:b w:val="0"/>
                <w:bCs w:val="0"/>
                <w:color w:val="auto"/>
                <w:sz w:val="24"/>
                <w:szCs w:val="24"/>
                <w:vertAlign w:val="baseli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48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1317"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水路里程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769"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1248</w:t>
            </w:r>
          </w:p>
        </w:tc>
        <w:tc>
          <w:tcPr>
            <w:tcW w:w="1715"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水路运价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341"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0.05</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水路里程</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（公里）</w:t>
            </w:r>
          </w:p>
        </w:tc>
        <w:tc>
          <w:tcPr>
            <w:tcW w:w="373"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2600</w:t>
            </w:r>
          </w:p>
        </w:tc>
        <w:tc>
          <w:tcPr>
            <w:tcW w:w="829"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水路运价</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（元/吨公里）</w:t>
            </w:r>
          </w:p>
        </w:tc>
        <w:tc>
          <w:tcPr>
            <w:tcW w:w="724"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8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b w:val="0"/>
                <w:bCs w:val="0"/>
                <w:color w:val="auto"/>
                <w:sz w:val="24"/>
                <w:szCs w:val="24"/>
                <w:vertAlign w:val="baseline"/>
                <w:lang w:val="en-US" w:eastAsia="zh-CN"/>
              </w:rPr>
            </w:pPr>
          </w:p>
        </w:tc>
        <w:tc>
          <w:tcPr>
            <w:tcW w:w="655"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78"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b w:val="0"/>
                <w:bCs w:val="0"/>
                <w:color w:val="auto"/>
                <w:sz w:val="24"/>
                <w:szCs w:val="24"/>
                <w:vertAlign w:val="baseline"/>
                <w:lang w:val="en-US" w:eastAsia="zh-CN"/>
              </w:rPr>
              <w:t>13745</w:t>
            </w:r>
            <w:r>
              <w:rPr>
                <w:rFonts w:hint="eastAsia" w:ascii="Times New Roman" w:hAnsi="Times New Roman"/>
                <w:b w:val="0"/>
                <w:bCs w:val="0"/>
                <w:color w:val="auto"/>
                <w:sz w:val="24"/>
                <w:szCs w:val="24"/>
                <w:vertAlign w:val="baseline"/>
                <w:lang w:val="en-US" w:eastAsia="zh-CN"/>
              </w:rPr>
              <w:t>万元</w:t>
            </w:r>
          </w:p>
        </w:tc>
        <w:tc>
          <w:tcPr>
            <w:tcW w:w="717"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ascii="Times New Roman" w:hAnsi="Times New Roman"/>
                <w:b w:val="0"/>
                <w:bCs w:val="0"/>
                <w:color w:val="auto"/>
                <w:sz w:val="24"/>
                <w:szCs w:val="24"/>
                <w:vertAlign w:val="baseline"/>
                <w:lang w:val="en-US" w:eastAsia="zh-CN"/>
              </w:rPr>
              <w:t>成本总计</w:t>
            </w:r>
          </w:p>
        </w:tc>
        <w:tc>
          <w:tcPr>
            <w:tcW w:w="1563"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b w:val="0"/>
                <w:bCs w:val="0"/>
                <w:color w:val="auto"/>
                <w:sz w:val="24"/>
                <w:szCs w:val="24"/>
                <w:vertAlign w:val="baseline"/>
                <w:lang w:val="en-US" w:eastAsia="zh-CN"/>
              </w:rPr>
            </w:pPr>
            <w:r>
              <w:rPr>
                <w:rFonts w:hint="eastAsia"/>
                <w:b w:val="0"/>
                <w:bCs w:val="0"/>
                <w:color w:val="auto"/>
                <w:sz w:val="24"/>
                <w:szCs w:val="24"/>
                <w:vertAlign w:val="baseline"/>
                <w:lang w:val="en-US" w:eastAsia="zh-CN"/>
              </w:rPr>
              <w:t>8200</w:t>
            </w:r>
            <w:r>
              <w:rPr>
                <w:rFonts w:hint="eastAsia" w:ascii="Times New Roman" w:hAnsi="Times New Roman"/>
                <w:b w:val="0"/>
                <w:bCs w:val="0"/>
                <w:color w:val="auto"/>
                <w:sz w:val="24"/>
                <w:szCs w:val="24"/>
                <w:vertAlign w:val="baseline"/>
                <w:lang w:val="en-US" w:eastAsia="zh-CN"/>
              </w:rPr>
              <w:t>万元</w:t>
            </w:r>
          </w:p>
        </w:tc>
      </w:tr>
    </w:tbl>
    <w:p>
      <w:pPr>
        <w:rPr>
          <w:rFonts w:hint="default"/>
          <w:lang w:val="en-US" w:eastAsia="zh-CN"/>
        </w:rPr>
      </w:pPr>
      <w:r>
        <w:rPr>
          <w:rFonts w:hint="eastAsia" w:ascii="仿宋_GB2312" w:hAnsi="仿宋_GB2312" w:eastAsia="仿宋_GB2312" w:cs="仿宋_GB2312"/>
          <w:color w:val="auto"/>
          <w:sz w:val="24"/>
          <w:szCs w:val="21"/>
          <w:lang w:val="en-US" w:eastAsia="zh-CN"/>
        </w:rPr>
        <w:t>注：每</w:t>
      </w:r>
      <w:r>
        <w:rPr>
          <w:rFonts w:hint="eastAsia" w:ascii="仿宋_GB2312" w:hAnsi="仿宋_GB2312" w:cs="仿宋_GB2312"/>
          <w:color w:val="auto"/>
          <w:sz w:val="24"/>
          <w:szCs w:val="21"/>
          <w:lang w:val="en-US" w:eastAsia="zh-CN"/>
        </w:rPr>
        <w:t>标箱（</w:t>
      </w:r>
      <w:r>
        <w:rPr>
          <w:rFonts w:hint="eastAsia" w:ascii="仿宋_GB2312" w:hAnsi="仿宋_GB2312" w:eastAsia="仿宋_GB2312" w:cs="仿宋_GB2312"/>
          <w:color w:val="auto"/>
          <w:sz w:val="24"/>
          <w:szCs w:val="21"/>
          <w:lang w:val="en-US" w:eastAsia="zh-CN"/>
        </w:rPr>
        <w:t>TEU</w:t>
      </w:r>
      <w:r>
        <w:rPr>
          <w:rFonts w:hint="eastAsia" w:ascii="仿宋_GB2312" w:hAnsi="仿宋_GB2312" w:cs="仿宋_GB2312"/>
          <w:color w:val="auto"/>
          <w:sz w:val="24"/>
          <w:szCs w:val="21"/>
          <w:lang w:val="en-US" w:eastAsia="zh-CN"/>
        </w:rPr>
        <w:t>）</w:t>
      </w:r>
      <w:r>
        <w:rPr>
          <w:rFonts w:hint="eastAsia" w:ascii="仿宋_GB2312" w:hAnsi="仿宋_GB2312" w:eastAsia="仿宋_GB2312" w:cs="仿宋_GB2312"/>
          <w:color w:val="auto"/>
          <w:sz w:val="24"/>
          <w:szCs w:val="21"/>
          <w:lang w:val="en-US" w:eastAsia="zh-CN"/>
        </w:rPr>
        <w:t>按10吨折算。</w:t>
      </w:r>
    </w:p>
    <w:p>
      <w:pPr>
        <w:bidi w:val="0"/>
      </w:pPr>
    </w:p>
    <w:p>
      <w:pPr>
        <w:pStyle w:val="3"/>
        <w:spacing w:before="217" w:after="217"/>
        <w:ind w:left="0" w:firstLine="723" w:firstLineChars="200"/>
        <w:rPr>
          <w:color w:val="auto"/>
        </w:rPr>
        <w:sectPr>
          <w:pgSz w:w="23811" w:h="16838" w:orient="landscape"/>
          <w:pgMar w:top="1800" w:right="1440" w:bottom="1800" w:left="1440" w:header="851" w:footer="992" w:gutter="0"/>
          <w:pgNumType w:fmt="decimal"/>
          <w:cols w:space="1280" w:num="2"/>
          <w:docGrid w:type="lines" w:linePitch="312" w:charSpace="0"/>
        </w:sectPr>
      </w:pPr>
    </w:p>
    <w:p>
      <w:pPr>
        <w:pStyle w:val="3"/>
        <w:spacing w:before="217" w:after="217"/>
        <w:ind w:left="0" w:firstLine="723" w:firstLineChars="200"/>
        <w:rPr>
          <w:color w:val="auto"/>
        </w:rPr>
      </w:pPr>
      <w:bookmarkStart w:id="162" w:name="_Toc21990"/>
      <w:r>
        <w:rPr>
          <w:rFonts w:hint="eastAsia"/>
          <w:color w:val="auto"/>
        </w:rPr>
        <w:t>环境影响评价</w:t>
      </w:r>
      <w:bookmarkEnd w:id="160"/>
      <w:bookmarkEnd w:id="162"/>
    </w:p>
    <w:p>
      <w:pPr>
        <w:pStyle w:val="4"/>
        <w:bidi w:val="0"/>
        <w:rPr>
          <w:rFonts w:hint="eastAsia"/>
          <w:lang w:val="en-US" w:eastAsia="zh-CN"/>
        </w:rPr>
      </w:pPr>
      <w:bookmarkStart w:id="163" w:name="_Toc91611438"/>
      <w:bookmarkStart w:id="164" w:name="_Toc25631"/>
      <w:r>
        <w:rPr>
          <w:rFonts w:hint="eastAsia"/>
          <w:lang w:val="en-US" w:eastAsia="zh-CN"/>
        </w:rPr>
        <w:t>环境影响分析</w:t>
      </w:r>
      <w:bookmarkEnd w:id="163"/>
      <w:bookmarkEnd w:id="164"/>
    </w:p>
    <w:p>
      <w:pPr>
        <w:ind w:firstLine="643"/>
        <w:jc w:val="both"/>
        <w:rPr>
          <w:rFonts w:hint="eastAsia" w:ascii="仿宋_GB2312" w:hAnsi="仿宋_GB2312" w:eastAsia="仿宋_GB2312" w:cs="仿宋_GB2312"/>
          <w:b w:val="0"/>
          <w:bCs w:val="0"/>
          <w:color w:val="auto"/>
        </w:rPr>
      </w:pPr>
      <w:r>
        <w:rPr>
          <w:rFonts w:hint="eastAsia" w:ascii="仿宋_GB2312" w:hAnsi="仿宋_GB2312" w:eastAsia="仿宋_GB2312" w:cs="仿宋_GB2312"/>
          <w:b w:val="0"/>
          <w:bCs w:val="0"/>
          <w:color w:val="auto"/>
          <w:szCs w:val="32"/>
        </w:rPr>
        <w:t>1.生态影响分析。</w:t>
      </w:r>
      <w:r>
        <w:rPr>
          <w:rFonts w:hint="eastAsia" w:ascii="仿宋_GB2312" w:hAnsi="仿宋_GB2312" w:eastAsia="仿宋_GB2312" w:cs="仿宋_GB2312"/>
          <w:b w:val="0"/>
          <w:bCs w:val="0"/>
          <w:color w:val="auto"/>
        </w:rPr>
        <w:t>本次规划建设的相关铁路、公路</w:t>
      </w:r>
      <w:r>
        <w:rPr>
          <w:rFonts w:hint="eastAsia" w:ascii="仿宋_GB2312" w:hAnsi="仿宋_GB2312" w:eastAsia="仿宋_GB2312" w:cs="仿宋_GB2312"/>
          <w:b w:val="0"/>
          <w:bCs w:val="0"/>
          <w:color w:val="auto"/>
          <w:lang w:eastAsia="zh-CN"/>
        </w:rPr>
        <w:t>、</w:t>
      </w:r>
      <w:r>
        <w:rPr>
          <w:rFonts w:hint="eastAsia" w:ascii="仿宋_GB2312" w:hAnsi="仿宋_GB2312" w:eastAsia="仿宋_GB2312" w:cs="仿宋_GB2312"/>
          <w:b w:val="0"/>
          <w:bCs w:val="0"/>
          <w:color w:val="auto"/>
          <w:lang w:val="en-US" w:eastAsia="zh-CN"/>
        </w:rPr>
        <w:t>枢纽场站及内部道路</w:t>
      </w:r>
      <w:r>
        <w:rPr>
          <w:rFonts w:hint="eastAsia" w:ascii="仿宋_GB2312" w:hAnsi="仿宋_GB2312" w:eastAsia="仿宋_GB2312" w:cs="仿宋_GB2312"/>
          <w:b w:val="0"/>
          <w:bCs w:val="0"/>
          <w:color w:val="auto"/>
        </w:rPr>
        <w:t>等陆上项目</w:t>
      </w:r>
      <w:r>
        <w:rPr>
          <w:rFonts w:hint="eastAsia" w:ascii="仿宋_GB2312" w:hAnsi="仿宋_GB2312" w:eastAsia="仿宋_GB2312" w:cs="仿宋_GB2312"/>
          <w:b w:val="0"/>
          <w:bCs w:val="0"/>
          <w:color w:val="auto"/>
          <w:lang w:val="en-US" w:eastAsia="zh-CN"/>
        </w:rPr>
        <w:t>主要集中于五通桥区冠英镇</w:t>
      </w:r>
      <w:r>
        <w:rPr>
          <w:rFonts w:hint="eastAsia" w:ascii="仿宋_GB2312" w:hAnsi="仿宋_GB2312" w:eastAsia="仿宋_GB2312" w:cs="仿宋_GB2312"/>
          <w:b w:val="0"/>
          <w:bCs w:val="0"/>
          <w:color w:val="auto"/>
        </w:rPr>
        <w:t>，通过空间位置分析，</w:t>
      </w:r>
      <w:r>
        <w:rPr>
          <w:rFonts w:hint="eastAsia" w:ascii="仿宋_GB2312" w:hAnsi="仿宋_GB2312" w:eastAsia="仿宋_GB2312" w:cs="仿宋_GB2312"/>
          <w:b w:val="0"/>
          <w:bCs w:val="0"/>
          <w:color w:val="auto"/>
          <w:lang w:val="en-US" w:eastAsia="zh-CN"/>
        </w:rPr>
        <w:t>示范基地选址范围内建设项目不穿越</w:t>
      </w:r>
      <w:r>
        <w:rPr>
          <w:rFonts w:hint="eastAsia" w:ascii="仿宋_GB2312" w:hAnsi="仿宋_GB2312" w:eastAsia="仿宋_GB2312" w:cs="仿宋_GB2312"/>
          <w:b w:val="0"/>
          <w:bCs w:val="0"/>
          <w:color w:val="auto"/>
        </w:rPr>
        <w:t>风景名胜区、</w:t>
      </w:r>
      <w:r>
        <w:rPr>
          <w:rFonts w:hint="eastAsia" w:ascii="仿宋_GB2312" w:hAnsi="仿宋_GB2312" w:eastAsia="仿宋_GB2312" w:cs="仿宋_GB2312"/>
          <w:b w:val="0"/>
          <w:bCs w:val="0"/>
          <w:color w:val="auto"/>
          <w:szCs w:val="32"/>
        </w:rPr>
        <w:t>地质公园、</w:t>
      </w:r>
      <w:r>
        <w:rPr>
          <w:rFonts w:hint="eastAsia" w:ascii="仿宋_GB2312" w:hAnsi="仿宋_GB2312" w:eastAsia="仿宋_GB2312" w:cs="仿宋_GB2312"/>
          <w:b w:val="0"/>
          <w:bCs w:val="0"/>
          <w:color w:val="auto"/>
        </w:rPr>
        <w:t>森林公园、</w:t>
      </w:r>
      <w:r>
        <w:rPr>
          <w:rFonts w:hint="eastAsia" w:ascii="仿宋_GB2312" w:hAnsi="仿宋_GB2312" w:eastAsia="仿宋_GB2312" w:cs="仿宋_GB2312"/>
          <w:b w:val="0"/>
          <w:bCs w:val="0"/>
          <w:color w:val="auto"/>
          <w:szCs w:val="32"/>
        </w:rPr>
        <w:t>湿地公园</w:t>
      </w:r>
      <w:r>
        <w:rPr>
          <w:rFonts w:hint="eastAsia" w:ascii="仿宋_GB2312" w:hAnsi="仿宋_GB2312" w:eastAsia="仿宋_GB2312" w:cs="仿宋_GB2312"/>
          <w:b w:val="0"/>
          <w:bCs w:val="0"/>
          <w:color w:val="auto"/>
        </w:rPr>
        <w:t>等生态敏感目标。</w:t>
      </w:r>
    </w:p>
    <w:p>
      <w:pPr>
        <w:ind w:firstLine="643"/>
        <w:jc w:val="both"/>
        <w:rPr>
          <w:rFonts w:hint="eastAsia" w:ascii="仿宋_GB2312" w:hAnsi="仿宋_GB2312" w:eastAsia="仿宋_GB2312" w:cs="仿宋_GB2312"/>
          <w:b w:val="0"/>
          <w:bCs w:val="0"/>
          <w:color w:val="auto"/>
        </w:rPr>
      </w:pPr>
      <w:r>
        <w:rPr>
          <w:rFonts w:hint="eastAsia" w:ascii="仿宋_GB2312" w:hAnsi="仿宋_GB2312" w:eastAsia="仿宋_GB2312" w:cs="仿宋_GB2312"/>
          <w:b w:val="0"/>
          <w:bCs w:val="0"/>
          <w:color w:val="auto"/>
          <w:szCs w:val="32"/>
        </w:rPr>
        <w:t>2.水环境影响分析。</w:t>
      </w:r>
      <w:r>
        <w:rPr>
          <w:rFonts w:hint="eastAsia" w:ascii="仿宋_GB2312" w:hAnsi="仿宋_GB2312" w:eastAsia="仿宋_GB2312" w:cs="仿宋_GB2312"/>
          <w:b w:val="0"/>
          <w:bCs w:val="0"/>
          <w:color w:val="auto"/>
        </w:rPr>
        <w:t>本次规划中包含的</w:t>
      </w:r>
      <w:r>
        <w:rPr>
          <w:rFonts w:hint="eastAsia" w:ascii="仿宋_GB2312" w:hAnsi="仿宋_GB2312" w:eastAsia="仿宋_GB2312" w:cs="仿宋_GB2312"/>
          <w:b w:val="0"/>
          <w:bCs w:val="0"/>
          <w:color w:val="auto"/>
          <w:lang w:val="en-US" w:eastAsia="zh-CN"/>
        </w:rPr>
        <w:t>港口</w:t>
      </w:r>
      <w:r>
        <w:rPr>
          <w:rFonts w:hint="eastAsia" w:ascii="仿宋_GB2312" w:hAnsi="仿宋_GB2312" w:eastAsia="仿宋_GB2312" w:cs="仿宋_GB2312"/>
          <w:b w:val="0"/>
          <w:bCs w:val="0"/>
          <w:color w:val="auto"/>
        </w:rPr>
        <w:t>码头建设将对水域生态系统产生一定不良影响，主要表现在港池开挖、码头基础和主体工程</w:t>
      </w:r>
      <w:r>
        <w:rPr>
          <w:rFonts w:hint="eastAsia" w:ascii="仿宋_GB2312" w:hAnsi="仿宋_GB2312" w:eastAsia="仿宋_GB2312" w:cs="仿宋_GB2312"/>
          <w:b w:val="0"/>
          <w:bCs w:val="0"/>
          <w:color w:val="auto"/>
          <w:lang w:eastAsia="zh-CN"/>
        </w:rPr>
        <w:t>施工</w:t>
      </w:r>
      <w:r>
        <w:rPr>
          <w:rFonts w:hint="eastAsia" w:ascii="仿宋_GB2312" w:hAnsi="仿宋_GB2312" w:eastAsia="仿宋_GB2312" w:cs="仿宋_GB2312"/>
          <w:b w:val="0"/>
          <w:bCs w:val="0"/>
          <w:color w:val="auto"/>
        </w:rPr>
        <w:t>过程中可能产生大量的淤积泥沙，可能改变部分流域水环境格局。同时，规划</w:t>
      </w:r>
      <w:r>
        <w:rPr>
          <w:rFonts w:hint="eastAsia" w:ascii="仿宋_GB2312" w:hAnsi="仿宋_GB2312" w:eastAsia="仿宋_GB2312" w:cs="仿宋_GB2312"/>
          <w:b w:val="0"/>
          <w:bCs w:val="0"/>
          <w:color w:val="auto"/>
          <w:lang w:val="en-US" w:eastAsia="zh-CN"/>
        </w:rPr>
        <w:t>的物流枢纽设施</w:t>
      </w:r>
      <w:r>
        <w:rPr>
          <w:rFonts w:hint="eastAsia" w:ascii="仿宋_GB2312" w:hAnsi="仿宋_GB2312" w:eastAsia="仿宋_GB2312" w:cs="仿宋_GB2312"/>
          <w:b w:val="0"/>
          <w:bCs w:val="0"/>
          <w:color w:val="auto"/>
        </w:rPr>
        <w:t>等房建工程挖方可能对地下水环境产生影响，施工及运营期间排放的污染物可能影响地下水的水质。</w:t>
      </w:r>
    </w:p>
    <w:p>
      <w:pPr>
        <w:ind w:firstLine="643"/>
        <w:jc w:val="both"/>
        <w:rPr>
          <w:rFonts w:hint="eastAsia" w:ascii="仿宋_GB2312" w:hAnsi="仿宋_GB2312" w:eastAsia="仿宋_GB2312" w:cs="仿宋_GB2312"/>
          <w:b w:val="0"/>
          <w:bCs w:val="0"/>
          <w:color w:val="auto"/>
        </w:rPr>
      </w:pPr>
      <w:r>
        <w:rPr>
          <w:rFonts w:hint="eastAsia" w:ascii="仿宋_GB2312" w:hAnsi="仿宋_GB2312" w:eastAsia="仿宋_GB2312" w:cs="仿宋_GB2312"/>
          <w:b w:val="0"/>
          <w:bCs w:val="0"/>
          <w:color w:val="auto"/>
          <w:szCs w:val="32"/>
        </w:rPr>
        <w:t>3.空气环境影响分析。</w:t>
      </w:r>
      <w:r>
        <w:rPr>
          <w:rFonts w:hint="eastAsia" w:ascii="仿宋_GB2312" w:hAnsi="仿宋_GB2312" w:eastAsia="仿宋_GB2312" w:cs="仿宋_GB2312"/>
          <w:b w:val="0"/>
          <w:bCs w:val="0"/>
          <w:color w:val="auto"/>
        </w:rPr>
        <w:t>规划实施后全市交通运输气体污染排放量总体会有一定增长，如</w:t>
      </w:r>
      <w:r>
        <w:rPr>
          <w:rFonts w:hint="eastAsia" w:ascii="仿宋_GB2312" w:hAnsi="仿宋_GB2312" w:eastAsia="仿宋_GB2312" w:cs="仿宋_GB2312"/>
          <w:b w:val="0"/>
          <w:bCs w:val="0"/>
          <w:color w:val="auto"/>
          <w:lang w:val="en-US" w:eastAsia="zh-CN"/>
        </w:rPr>
        <w:t>货运</w:t>
      </w:r>
      <w:r>
        <w:rPr>
          <w:rFonts w:hint="eastAsia" w:ascii="仿宋_GB2312" w:hAnsi="仿宋_GB2312" w:eastAsia="仿宋_GB2312" w:cs="仿宋_GB2312"/>
          <w:b w:val="0"/>
          <w:bCs w:val="0"/>
          <w:color w:val="auto"/>
        </w:rPr>
        <w:t>车辆尾气，飞机、船舶烟气，</w:t>
      </w:r>
      <w:r>
        <w:rPr>
          <w:rFonts w:hint="eastAsia" w:ascii="仿宋_GB2312" w:hAnsi="仿宋_GB2312" w:eastAsia="仿宋_GB2312" w:cs="仿宋_GB2312"/>
          <w:b w:val="0"/>
          <w:bCs w:val="0"/>
          <w:color w:val="auto"/>
          <w:lang w:val="en-US" w:eastAsia="zh-CN"/>
        </w:rPr>
        <w:t>基地内部作业车辆</w:t>
      </w:r>
      <w:r>
        <w:rPr>
          <w:rFonts w:hint="eastAsia" w:ascii="仿宋_GB2312" w:hAnsi="仿宋_GB2312" w:eastAsia="仿宋_GB2312" w:cs="仿宋_GB2312"/>
          <w:b w:val="0"/>
          <w:bCs w:val="0"/>
          <w:color w:val="auto"/>
        </w:rPr>
        <w:t>尾气、装卸粉尘，机场油罐区油气挥发等，其中公路</w:t>
      </w:r>
      <w:r>
        <w:rPr>
          <w:rFonts w:hint="eastAsia" w:ascii="仿宋_GB2312" w:hAnsi="仿宋_GB2312" w:eastAsia="仿宋_GB2312" w:cs="仿宋_GB2312"/>
          <w:b w:val="0"/>
          <w:bCs w:val="0"/>
          <w:color w:val="auto"/>
          <w:lang w:eastAsia="zh-CN"/>
        </w:rPr>
        <w:t>运输产生的</w:t>
      </w:r>
      <w:r>
        <w:rPr>
          <w:rFonts w:hint="eastAsia" w:ascii="仿宋_GB2312" w:hAnsi="仿宋_GB2312" w:eastAsia="仿宋_GB2312" w:cs="仿宋_GB2312"/>
          <w:b w:val="0"/>
          <w:bCs w:val="0"/>
          <w:color w:val="auto"/>
        </w:rPr>
        <w:t>污染物排放总量高于其他交通运输方式。在实施调整运输结构、</w:t>
      </w:r>
      <w:r>
        <w:rPr>
          <w:rFonts w:hint="eastAsia" w:ascii="仿宋_GB2312" w:hAnsi="仿宋_GB2312" w:eastAsia="仿宋_GB2312" w:cs="仿宋_GB2312"/>
          <w:b w:val="0"/>
          <w:bCs w:val="0"/>
          <w:color w:val="auto"/>
          <w:lang w:val="en-US" w:eastAsia="zh-CN"/>
        </w:rPr>
        <w:t>货车</w:t>
      </w:r>
      <w:r>
        <w:rPr>
          <w:rFonts w:hint="eastAsia" w:ascii="仿宋_GB2312" w:hAnsi="仿宋_GB2312" w:eastAsia="仿宋_GB2312" w:cs="仿宋_GB2312"/>
          <w:b w:val="0"/>
          <w:bCs w:val="0"/>
          <w:color w:val="auto"/>
        </w:rPr>
        <w:t>能源清洁化和</w:t>
      </w:r>
      <w:r>
        <w:rPr>
          <w:rFonts w:hint="eastAsia" w:ascii="仿宋_GB2312" w:hAnsi="仿宋_GB2312" w:eastAsia="仿宋_GB2312" w:cs="仿宋_GB2312"/>
          <w:b w:val="0"/>
          <w:bCs w:val="0"/>
          <w:color w:val="auto"/>
          <w:lang w:val="en-US" w:eastAsia="zh-CN"/>
        </w:rPr>
        <w:t>港口场站设施设备</w:t>
      </w:r>
      <w:r>
        <w:rPr>
          <w:rFonts w:hint="eastAsia" w:ascii="仿宋_GB2312" w:hAnsi="仿宋_GB2312" w:eastAsia="仿宋_GB2312" w:cs="仿宋_GB2312"/>
          <w:b w:val="0"/>
          <w:bCs w:val="0"/>
          <w:color w:val="auto"/>
        </w:rPr>
        <w:t>电动化、排放控制技术进步等多种政策措施的情况下，全市清洁能源车占比越来越高，交通运输污染物排放对空气质量的影响将逐渐减少。</w:t>
      </w:r>
    </w:p>
    <w:p>
      <w:pPr>
        <w:ind w:firstLine="643"/>
        <w:jc w:val="both"/>
        <w:rPr>
          <w:rFonts w:cs="Times New Roman"/>
          <w:b/>
          <w:bCs/>
          <w:color w:val="auto"/>
          <w:szCs w:val="32"/>
        </w:rPr>
      </w:pPr>
      <w:r>
        <w:rPr>
          <w:rFonts w:hint="eastAsia" w:ascii="仿宋_GB2312" w:hAnsi="仿宋_GB2312" w:eastAsia="仿宋_GB2312" w:cs="仿宋_GB2312"/>
          <w:b w:val="0"/>
          <w:bCs w:val="0"/>
          <w:color w:val="auto"/>
          <w:szCs w:val="32"/>
        </w:rPr>
        <w:t>4.声环境影响分析。</w:t>
      </w:r>
      <w:r>
        <w:rPr>
          <w:rFonts w:hint="eastAsia" w:ascii="仿宋_GB2312" w:hAnsi="仿宋_GB2312" w:eastAsia="仿宋_GB2312" w:cs="仿宋_GB2312"/>
          <w:b w:val="0"/>
          <w:bCs w:val="0"/>
          <w:color w:val="auto"/>
        </w:rPr>
        <w:t>公路、</w:t>
      </w:r>
      <w:r>
        <w:rPr>
          <w:color w:val="auto"/>
        </w:rPr>
        <w:t>水路、铁路、航空</w:t>
      </w:r>
      <w:r>
        <w:rPr>
          <w:color w:val="auto"/>
          <w:highlight w:val="none"/>
        </w:rPr>
        <w:t>等</w:t>
      </w:r>
      <w:r>
        <w:rPr>
          <w:rFonts w:hint="eastAsia"/>
          <w:color w:val="auto"/>
          <w:sz w:val="32"/>
          <w:szCs w:val="32"/>
          <w:highlight w:val="none"/>
          <w:lang w:eastAsia="zh-CN"/>
        </w:rPr>
        <w:t>运输方式产生的噪声</w:t>
      </w:r>
      <w:r>
        <w:rPr>
          <w:rFonts w:hint="eastAsia"/>
          <w:color w:val="auto"/>
        </w:rPr>
        <w:t>将</w:t>
      </w:r>
      <w:r>
        <w:rPr>
          <w:color w:val="auto"/>
        </w:rPr>
        <w:t>对沿线居民点、村庄、学校、医院等区域声环境造成影响</w:t>
      </w:r>
      <w:r>
        <w:rPr>
          <w:rFonts w:hint="eastAsia"/>
          <w:color w:val="auto"/>
        </w:rPr>
        <w:t>。其中项目建设期的噪</w:t>
      </w:r>
      <w:r>
        <w:rPr>
          <w:rFonts w:hint="eastAsia"/>
          <w:color w:val="auto"/>
          <w:lang w:eastAsia="zh-CN"/>
        </w:rPr>
        <w:t>声</w:t>
      </w:r>
      <w:r>
        <w:rPr>
          <w:rFonts w:hint="eastAsia"/>
          <w:color w:val="auto"/>
        </w:rPr>
        <w:t>主要是施工机械工作以及建材运输车辆产生的噪</w:t>
      </w:r>
      <w:r>
        <w:rPr>
          <w:rFonts w:hint="eastAsia"/>
          <w:color w:val="auto"/>
          <w:lang w:eastAsia="zh-CN"/>
        </w:rPr>
        <w:t>声</w:t>
      </w:r>
      <w:r>
        <w:rPr>
          <w:rFonts w:hint="eastAsia"/>
          <w:color w:val="auto"/>
        </w:rPr>
        <w:t>；</w:t>
      </w:r>
      <w:r>
        <w:rPr>
          <w:color w:val="auto"/>
        </w:rPr>
        <w:t>运营期公路项目产生的噪声主要由动力噪声和轮胎噪声两部分构成，水运项目产生的噪声主要是船舶运行噪声和码头运行的生产设备噪声，铁路项目产生的噪声主要是牵引动力噪声、轮轨噪声和空气动力性噪声，机场</w:t>
      </w:r>
      <w:r>
        <w:rPr>
          <w:rFonts w:hint="eastAsia"/>
          <w:color w:val="auto"/>
        </w:rPr>
        <w:t>项目产生的噪声主要是动力噪声和机身空气动力性噪声。</w:t>
      </w:r>
    </w:p>
    <w:p>
      <w:pPr>
        <w:pStyle w:val="4"/>
        <w:bidi w:val="0"/>
        <w:rPr>
          <w:rFonts w:hint="eastAsia"/>
          <w:lang w:val="en-US" w:eastAsia="zh-CN"/>
        </w:rPr>
      </w:pPr>
      <w:bookmarkStart w:id="165" w:name="_Toc24297"/>
      <w:bookmarkStart w:id="166" w:name="_Toc91611439"/>
      <w:r>
        <w:rPr>
          <w:rFonts w:hint="eastAsia"/>
          <w:lang w:val="en-US" w:eastAsia="zh-CN"/>
        </w:rPr>
        <w:t>环境影响对策</w:t>
      </w:r>
      <w:bookmarkEnd w:id="165"/>
      <w:bookmarkEnd w:id="166"/>
    </w:p>
    <w:p>
      <w:pPr>
        <w:ind w:firstLine="643"/>
        <w:jc w:val="both"/>
        <w:rPr>
          <w:rFonts w:hint="eastAsia" w:ascii="仿宋_GB2312" w:hAnsi="仿宋_GB2312" w:eastAsia="仿宋_GB2312" w:cs="仿宋_GB2312"/>
          <w:b w:val="0"/>
          <w:bCs w:val="0"/>
          <w:color w:val="auto"/>
        </w:rPr>
      </w:pPr>
      <w:r>
        <w:rPr>
          <w:rFonts w:hint="eastAsia" w:ascii="仿宋_GB2312" w:hAnsi="仿宋_GB2312" w:eastAsia="仿宋_GB2312" w:cs="仿宋_GB2312"/>
          <w:b w:val="0"/>
          <w:bCs w:val="0"/>
          <w:color w:val="auto"/>
          <w:szCs w:val="32"/>
        </w:rPr>
        <w:t>1.生态环境方面。</w:t>
      </w:r>
      <w:r>
        <w:rPr>
          <w:rFonts w:hint="eastAsia" w:ascii="仿宋_GB2312" w:hAnsi="仿宋_GB2312" w:eastAsia="仿宋_GB2312" w:cs="仿宋_GB2312"/>
          <w:b w:val="0"/>
          <w:bCs w:val="0"/>
          <w:color w:val="auto"/>
          <w:lang w:val="en-US" w:eastAsia="zh-CN"/>
        </w:rPr>
        <w:t>示范基地外部的</w:t>
      </w:r>
      <w:r>
        <w:rPr>
          <w:rFonts w:hint="eastAsia" w:ascii="仿宋_GB2312" w:hAnsi="仿宋_GB2312" w:eastAsia="仿宋_GB2312" w:cs="仿宋_GB2312"/>
          <w:b w:val="0"/>
          <w:bCs w:val="0"/>
          <w:color w:val="auto"/>
        </w:rPr>
        <w:t>公路、铁路</w:t>
      </w:r>
      <w:r>
        <w:rPr>
          <w:rFonts w:hint="eastAsia" w:ascii="仿宋_GB2312" w:hAnsi="仿宋_GB2312" w:eastAsia="仿宋_GB2312" w:cs="仿宋_GB2312"/>
          <w:b w:val="0"/>
          <w:bCs w:val="0"/>
          <w:color w:val="auto"/>
          <w:lang w:val="en-US" w:eastAsia="zh-CN"/>
        </w:rPr>
        <w:t>将</w:t>
      </w:r>
      <w:r>
        <w:rPr>
          <w:rFonts w:hint="eastAsia" w:ascii="仿宋_GB2312" w:hAnsi="仿宋_GB2312" w:eastAsia="仿宋_GB2312" w:cs="仿宋_GB2312"/>
          <w:b w:val="0"/>
          <w:bCs w:val="0"/>
          <w:color w:val="auto"/>
        </w:rPr>
        <w:t>对生态系统</w:t>
      </w:r>
      <w:r>
        <w:rPr>
          <w:rFonts w:hint="eastAsia" w:ascii="仿宋_GB2312" w:hAnsi="仿宋_GB2312" w:eastAsia="仿宋_GB2312" w:cs="仿宋_GB2312"/>
          <w:b w:val="0"/>
          <w:bCs w:val="0"/>
          <w:color w:val="auto"/>
          <w:lang w:val="en-US" w:eastAsia="zh-CN"/>
        </w:rPr>
        <w:t>产生一定</w:t>
      </w:r>
      <w:r>
        <w:rPr>
          <w:rFonts w:hint="eastAsia" w:ascii="仿宋_GB2312" w:hAnsi="仿宋_GB2312" w:eastAsia="仿宋_GB2312" w:cs="仿宋_GB2312"/>
          <w:b w:val="0"/>
          <w:bCs w:val="0"/>
          <w:color w:val="auto"/>
        </w:rPr>
        <w:t>影响，</w:t>
      </w:r>
      <w:r>
        <w:rPr>
          <w:rFonts w:hint="eastAsia" w:ascii="仿宋_GB2312" w:hAnsi="仿宋_GB2312" w:eastAsia="仿宋_GB2312" w:cs="仿宋_GB2312"/>
          <w:b w:val="0"/>
          <w:bCs w:val="0"/>
          <w:color w:val="auto"/>
          <w:lang w:val="en-US" w:eastAsia="zh-CN"/>
        </w:rPr>
        <w:t>可</w:t>
      </w:r>
      <w:r>
        <w:rPr>
          <w:rFonts w:hint="eastAsia" w:ascii="仿宋_GB2312" w:hAnsi="仿宋_GB2312" w:eastAsia="仿宋_GB2312" w:cs="仿宋_GB2312"/>
          <w:b w:val="0"/>
          <w:bCs w:val="0"/>
          <w:color w:val="auto"/>
        </w:rPr>
        <w:t>采取线路优化、生态恢复、挡土墙路堤、桥梁穿越、占补平衡补偿等措施、减轻对生态环境的影响。水运项目采用鱼类增殖放流或其他恢复补偿措施。</w:t>
      </w:r>
    </w:p>
    <w:p>
      <w:pPr>
        <w:ind w:firstLine="643"/>
        <w:jc w:val="both"/>
        <w:rPr>
          <w:rFonts w:hint="eastAsia" w:ascii="仿宋_GB2312" w:hAnsi="仿宋_GB2312" w:eastAsia="仿宋_GB2312" w:cs="仿宋_GB2312"/>
          <w:b w:val="0"/>
          <w:bCs w:val="0"/>
          <w:color w:val="auto"/>
        </w:rPr>
      </w:pPr>
      <w:r>
        <w:rPr>
          <w:rFonts w:hint="eastAsia" w:ascii="仿宋_GB2312" w:hAnsi="仿宋_GB2312" w:eastAsia="仿宋_GB2312" w:cs="仿宋_GB2312"/>
          <w:b w:val="0"/>
          <w:bCs w:val="0"/>
          <w:color w:val="auto"/>
          <w:szCs w:val="32"/>
        </w:rPr>
        <w:t>2.水环境方面。</w:t>
      </w:r>
      <w:r>
        <w:rPr>
          <w:rFonts w:hint="eastAsia" w:ascii="仿宋_GB2312" w:hAnsi="仿宋_GB2312" w:eastAsia="仿宋_GB2312" w:cs="仿宋_GB2312"/>
          <w:b w:val="0"/>
          <w:bCs w:val="0"/>
          <w:color w:val="auto"/>
          <w:lang w:val="en-US" w:eastAsia="zh-CN"/>
        </w:rPr>
        <w:t>示范基地建设运营</w:t>
      </w:r>
      <w:r>
        <w:rPr>
          <w:rFonts w:hint="eastAsia" w:ascii="仿宋_GB2312" w:hAnsi="仿宋_GB2312" w:eastAsia="仿宋_GB2312" w:cs="仿宋_GB2312"/>
          <w:b w:val="0"/>
          <w:bCs w:val="0"/>
          <w:color w:val="auto"/>
        </w:rPr>
        <w:t>产生的生活污水，若其附近有城市污水管网，则经生化池处理后就近接入管网，送城市二级污水处理厂处理或处理达标后回用于沿线绿化。船舶油污水送船舶污水接收船或岸上的油污水接收单位接收处理。正常工况下，建设工程对地下水影响较小，</w:t>
      </w:r>
      <w:r>
        <w:rPr>
          <w:rFonts w:hint="eastAsia" w:ascii="仿宋_GB2312" w:hAnsi="仿宋_GB2312" w:eastAsia="仿宋_GB2312" w:cs="仿宋_GB2312"/>
          <w:b w:val="0"/>
          <w:bCs w:val="0"/>
          <w:color w:val="auto"/>
          <w:sz w:val="32"/>
          <w:szCs w:val="32"/>
          <w:highlight w:val="none"/>
          <w:lang w:val="en-US" w:eastAsia="zh-CN"/>
        </w:rPr>
        <w:t>在风险事故发生时</w:t>
      </w:r>
      <w:r>
        <w:rPr>
          <w:rFonts w:hint="eastAsia" w:ascii="仿宋_GB2312" w:hAnsi="仿宋_GB2312" w:eastAsia="仿宋_GB2312" w:cs="仿宋_GB2312"/>
          <w:b w:val="0"/>
          <w:bCs w:val="0"/>
          <w:color w:val="auto"/>
        </w:rPr>
        <w:t>，及时采取封闭、截流等保护应急措施。</w:t>
      </w:r>
    </w:p>
    <w:p>
      <w:pPr>
        <w:ind w:firstLine="643"/>
        <w:jc w:val="both"/>
        <w:rPr>
          <w:rFonts w:cs="Times New Roman"/>
          <w:color w:val="auto"/>
        </w:rPr>
      </w:pPr>
      <w:r>
        <w:rPr>
          <w:rFonts w:hint="eastAsia" w:ascii="仿宋_GB2312" w:hAnsi="仿宋_GB2312" w:eastAsia="仿宋_GB2312" w:cs="仿宋_GB2312"/>
          <w:b w:val="0"/>
          <w:bCs w:val="0"/>
          <w:color w:val="auto"/>
          <w:szCs w:val="32"/>
        </w:rPr>
        <w:t>3.空气环境方面。</w:t>
      </w:r>
      <w:r>
        <w:rPr>
          <w:rFonts w:hint="eastAsia"/>
          <w:color w:val="auto"/>
          <w:lang w:val="en-US" w:eastAsia="zh-CN"/>
        </w:rPr>
        <w:t>示范基地内</w:t>
      </w:r>
      <w:r>
        <w:rPr>
          <w:color w:val="auto"/>
        </w:rPr>
        <w:t>采用清洁能源，不得设置燃煤锅炉，</w:t>
      </w:r>
      <w:r>
        <w:rPr>
          <w:rFonts w:hint="eastAsia"/>
          <w:color w:val="auto"/>
          <w:lang w:val="en-US" w:eastAsia="zh-CN"/>
        </w:rPr>
        <w:t>配套生活服务设施</w:t>
      </w:r>
      <w:r>
        <w:rPr>
          <w:color w:val="auto"/>
        </w:rPr>
        <w:t>加装油烟净化装置。</w:t>
      </w:r>
      <w:r>
        <w:rPr>
          <w:rFonts w:hint="eastAsia"/>
          <w:color w:val="auto"/>
          <w:lang w:val="en-US" w:eastAsia="zh-CN"/>
        </w:rPr>
        <w:t>示范基地内道路及周围集疏运道路</w:t>
      </w:r>
      <w:r>
        <w:rPr>
          <w:color w:val="auto"/>
        </w:rPr>
        <w:t>运营期间，加强道路管理和路面养护，保持道路良好运营状态，并加强公路两侧的植树绿化。对于机场油罐区，其油气挥发控制措施主要包括清洁生产技术和污染控制措施，清洁生产技术主要包括浮顶罐储存技术（减少油罐呼吸损耗）、密闭装车回收油气技术、降温技术等措施；污染控制措施主要包括油类分类储存管理、喷淋降温等，并加强管理，做好设备维修与维护，防止跑冒滴漏，减少挥发性烃类气体</w:t>
      </w:r>
      <w:r>
        <w:rPr>
          <w:rFonts w:hint="eastAsia" w:cs="Times New Roman"/>
          <w:color w:val="auto"/>
        </w:rPr>
        <w:t>。</w:t>
      </w:r>
    </w:p>
    <w:p>
      <w:pPr>
        <w:pStyle w:val="9"/>
        <w:ind w:firstLine="643"/>
        <w:jc w:val="both"/>
        <w:rPr>
          <w:rFonts w:hint="eastAsia"/>
          <w:color w:val="auto"/>
        </w:rPr>
      </w:pPr>
      <w:r>
        <w:rPr>
          <w:b w:val="0"/>
          <w:bCs w:val="0"/>
          <w:color w:val="auto"/>
        </w:rPr>
        <w:t>4.</w:t>
      </w:r>
      <w:r>
        <w:rPr>
          <w:rFonts w:hint="eastAsia"/>
          <w:b w:val="0"/>
          <w:bCs w:val="0"/>
          <w:color w:val="auto"/>
        </w:rPr>
        <w:t>声环境方面。在铁路、公路建筑控制区以内应按有关规定限制建设新的敏感建筑物，特别是居民住宅建筑物等。在铁路、公路沿线附近的居民区、学校、医院</w:t>
      </w:r>
      <w:r>
        <w:rPr>
          <w:rFonts w:hint="eastAsia"/>
          <w:color w:val="auto"/>
        </w:rPr>
        <w:t>等声环境敏感目标，当交通噪声对其有严重干扰时，应在相应的铁路、公路的路侧设置声屏障</w:t>
      </w:r>
      <w:r>
        <w:rPr>
          <w:rFonts w:hint="eastAsia"/>
          <w:color w:val="auto"/>
          <w:lang w:eastAsia="zh-CN"/>
        </w:rPr>
        <w:t>，</w:t>
      </w:r>
      <w:r>
        <w:rPr>
          <w:rFonts w:hint="eastAsia"/>
          <w:color w:val="auto"/>
          <w:lang w:val="en-US" w:eastAsia="zh-CN"/>
        </w:rPr>
        <w:t>提高非露天式堆存设施占比</w:t>
      </w:r>
      <w:r>
        <w:rPr>
          <w:rFonts w:hint="eastAsia"/>
          <w:color w:val="auto"/>
        </w:rPr>
        <w:t>。</w:t>
      </w:r>
      <w:r>
        <w:rPr>
          <w:rFonts w:hint="eastAsia"/>
          <w:color w:val="auto"/>
          <w:lang w:val="en-US" w:eastAsia="zh-CN"/>
        </w:rPr>
        <w:t>水</w:t>
      </w:r>
      <w:r>
        <w:rPr>
          <w:rFonts w:hint="eastAsia"/>
          <w:color w:val="auto"/>
        </w:rPr>
        <w:t>运项目：港口码头项目疏港道路设置减速带、限速标志和禁止鸣笛标志，控制运输车辆行驶速度，降低交通噪声。机场项目：</w:t>
      </w:r>
      <w:r>
        <w:rPr>
          <w:rFonts w:hint="eastAsia" w:ascii="仿宋_GB2312" w:hAnsi="仿宋_GB2312" w:eastAsia="仿宋_GB2312" w:cs="仿宋_GB2312"/>
          <w:color w:val="auto"/>
          <w:kern w:val="2"/>
          <w:sz w:val="32"/>
          <w:szCs w:val="32"/>
          <w:highlight w:val="none"/>
          <w:lang w:val="en-US" w:eastAsia="zh-CN" w:bidi="ar-SA"/>
        </w:rPr>
        <w:t>对</w:t>
      </w:r>
      <w:r>
        <w:rPr>
          <w:rFonts w:hint="eastAsia" w:ascii="仿宋_GB2312" w:hAnsi="仿宋_GB2312" w:cs="仿宋_GB2312"/>
          <w:color w:val="auto"/>
          <w:kern w:val="2"/>
          <w:sz w:val="32"/>
          <w:szCs w:val="32"/>
          <w:highlight w:val="none"/>
          <w:lang w:val="en-US" w:eastAsia="zh-CN" w:bidi="ar-SA"/>
        </w:rPr>
        <w:t>噪声污染</w:t>
      </w:r>
      <w:r>
        <w:rPr>
          <w:rFonts w:hint="eastAsia" w:ascii="仿宋_GB2312" w:hAnsi="仿宋_GB2312" w:eastAsia="仿宋_GB2312" w:cs="仿宋_GB2312"/>
          <w:color w:val="auto"/>
          <w:kern w:val="2"/>
          <w:sz w:val="32"/>
          <w:szCs w:val="32"/>
          <w:highlight w:val="none"/>
          <w:lang w:val="en-US" w:eastAsia="zh-CN" w:bidi="ar-SA"/>
        </w:rPr>
        <w:t>超标的敏感目标采取隔声措施</w:t>
      </w:r>
      <w:r>
        <w:rPr>
          <w:rFonts w:hint="eastAsia" w:asciiTheme="minorHAnsi" w:hAnsiTheme="minorHAnsi" w:eastAsiaTheme="minorEastAsia" w:cstheme="minorBidi"/>
          <w:color w:val="auto"/>
          <w:kern w:val="2"/>
          <w:sz w:val="32"/>
          <w:szCs w:val="32"/>
          <w:highlight w:val="none"/>
          <w:lang w:val="en-US" w:eastAsia="zh-CN" w:bidi="ar-SA"/>
        </w:rPr>
        <w:t>，</w:t>
      </w:r>
      <w:r>
        <w:rPr>
          <w:rFonts w:hint="eastAsia"/>
          <w:color w:val="auto"/>
        </w:rPr>
        <w:t>安装隔声窗，对代表性敏感点进行飞机噪声跟踪监测，并及时采取补救降噪措施。</w:t>
      </w:r>
    </w:p>
    <w:p>
      <w:pPr>
        <w:pStyle w:val="4"/>
        <w:bidi w:val="0"/>
        <w:rPr>
          <w:rFonts w:hint="eastAsia"/>
          <w:lang w:val="en-US" w:eastAsia="zh-CN"/>
        </w:rPr>
      </w:pPr>
      <w:bookmarkStart w:id="167" w:name="_Toc12696"/>
      <w:bookmarkStart w:id="168" w:name="_Toc91611440"/>
      <w:bookmarkStart w:id="169" w:name="_Toc1978"/>
      <w:bookmarkStart w:id="170" w:name="_Toc15047"/>
      <w:bookmarkStart w:id="171" w:name="_Toc25624"/>
      <w:r>
        <w:rPr>
          <w:rFonts w:hint="eastAsia"/>
          <w:lang w:val="en-US" w:eastAsia="zh-CN"/>
        </w:rPr>
        <w:t>评价结论</w:t>
      </w:r>
      <w:bookmarkEnd w:id="167"/>
      <w:bookmarkEnd w:id="168"/>
      <w:bookmarkEnd w:id="169"/>
      <w:bookmarkEnd w:id="170"/>
      <w:bookmarkEnd w:id="171"/>
    </w:p>
    <w:p>
      <w:pPr>
        <w:keepNext w:val="0"/>
        <w:keepLines w:val="0"/>
        <w:widowControl/>
        <w:suppressLineNumbers w:val="0"/>
        <w:jc w:val="both"/>
        <w:rPr>
          <w:rFonts w:hint="eastAsia"/>
          <w:color w:val="auto"/>
        </w:rPr>
      </w:pPr>
      <w:r>
        <w:rPr>
          <w:rFonts w:hint="eastAsia"/>
          <w:color w:val="auto"/>
        </w:rPr>
        <w:t>本规划与《交通强国建设纲要》《四川省“十四五”综合交通运输发展规划》</w:t>
      </w:r>
      <w:r>
        <w:rPr>
          <w:rFonts w:hint="eastAsia"/>
          <w:color w:val="auto"/>
          <w:lang w:eastAsia="zh-CN"/>
        </w:rPr>
        <w:t>《</w:t>
      </w:r>
      <w:r>
        <w:rPr>
          <w:rFonts w:hint="eastAsia"/>
          <w:color w:val="auto"/>
          <w:lang w:val="en-US" w:eastAsia="zh-CN"/>
        </w:rPr>
        <w:t>乐山市国土空间总体规划（2021—2035年）</w:t>
      </w:r>
      <w:r>
        <w:rPr>
          <w:rFonts w:hint="eastAsia"/>
          <w:color w:val="auto"/>
          <w:lang w:eastAsia="zh-CN"/>
        </w:rPr>
        <w:t>》</w:t>
      </w:r>
      <w:r>
        <w:rPr>
          <w:rFonts w:hint="eastAsia"/>
          <w:color w:val="auto"/>
          <w:lang w:val="en-US" w:eastAsia="zh-CN"/>
        </w:rPr>
        <w:t>《乐山港总体规划（2023—2035年）》</w:t>
      </w:r>
      <w:r>
        <w:rPr>
          <w:rFonts w:hint="eastAsia"/>
          <w:color w:val="auto"/>
        </w:rPr>
        <w:t>等</w:t>
      </w:r>
      <w:r>
        <w:rPr>
          <w:rFonts w:hint="eastAsia"/>
          <w:color w:val="auto"/>
          <w:lang w:val="en-US" w:eastAsia="zh-CN"/>
        </w:rPr>
        <w:t>上位规划和《中华人民共和国长江保护法》《</w:t>
      </w:r>
      <w:r>
        <w:rPr>
          <w:rFonts w:ascii="仿宋_GB2312" w:hAnsi="宋体" w:eastAsia="仿宋_GB2312" w:cs="仿宋_GB2312"/>
          <w:color w:val="auto"/>
          <w:kern w:val="0"/>
          <w:sz w:val="31"/>
          <w:szCs w:val="31"/>
          <w:lang w:val="en-US" w:eastAsia="zh-CN" w:bidi="ar"/>
        </w:rPr>
        <w:t>乐山市三江岸线保护条例</w:t>
      </w:r>
      <w:r>
        <w:rPr>
          <w:rFonts w:hint="eastAsia"/>
          <w:color w:val="auto"/>
          <w:lang w:val="en-US" w:eastAsia="zh-CN"/>
        </w:rPr>
        <w:t>》等生态环境保护法规要求</w:t>
      </w:r>
      <w:r>
        <w:rPr>
          <w:rFonts w:hint="eastAsia"/>
          <w:color w:val="auto"/>
        </w:rPr>
        <w:t>有效衔接，坚持绿色发展理念，注重提升资源、能源综合利用水平，与各类环境敏感区相协调，对气、声、水环境的影响均在可控范围之内，不存在重大环境制约因素，规划实施将</w:t>
      </w:r>
      <w:r>
        <w:rPr>
          <w:color w:val="auto"/>
        </w:rPr>
        <w:t>对</w:t>
      </w:r>
      <w:r>
        <w:rPr>
          <w:rFonts w:hint="eastAsia"/>
          <w:color w:val="auto"/>
          <w:lang w:val="en-US" w:eastAsia="zh-CN"/>
        </w:rPr>
        <w:t>乐山市现代物流产业发展、物流降本提质增效</w:t>
      </w:r>
      <w:r>
        <w:rPr>
          <w:color w:val="auto"/>
        </w:rPr>
        <w:t>具有积极的促进作用</w:t>
      </w:r>
      <w:r>
        <w:rPr>
          <w:rFonts w:hint="eastAsia"/>
          <w:color w:val="auto"/>
        </w:rPr>
        <w:t>。</w:t>
      </w:r>
    </w:p>
    <w:p>
      <w:pPr>
        <w:keepNext w:val="0"/>
        <w:keepLines w:val="0"/>
        <w:widowControl/>
        <w:suppressLineNumbers w:val="0"/>
        <w:jc w:val="both"/>
        <w:rPr>
          <w:rFonts w:hint="default"/>
          <w:color w:val="auto"/>
          <w:lang w:val="en-US" w:eastAsia="zh-CN"/>
        </w:rPr>
      </w:pPr>
      <w:r>
        <w:rPr>
          <w:rFonts w:hint="eastAsia"/>
          <w:color w:val="auto"/>
          <w:lang w:val="en-US" w:eastAsia="zh-CN"/>
        </w:rPr>
        <w:t>此外，后续关于示范基地建设的详细规划及各类设计方案应满足海绵城市建设有关要求。</w:t>
      </w:r>
    </w:p>
    <w:p>
      <w:pPr>
        <w:bidi w:val="0"/>
        <w:rPr>
          <w:rFonts w:hint="default"/>
          <w:color w:val="auto"/>
          <w:lang w:val="en-US" w:eastAsia="zh-CN"/>
        </w:rPr>
      </w:pPr>
    </w:p>
    <w:p>
      <w:pPr>
        <w:pStyle w:val="3"/>
        <w:bidi w:val="0"/>
        <w:rPr>
          <w:rFonts w:hint="default" w:ascii="Times New Roman" w:hAnsi="Times New Roman" w:cs="Times New Roman"/>
          <w:color w:val="auto"/>
          <w:lang w:val="en-US" w:eastAsia="zh-CN"/>
        </w:rPr>
        <w:sectPr>
          <w:pgSz w:w="23811" w:h="16838" w:orient="landscape"/>
          <w:pgMar w:top="1800" w:right="1440" w:bottom="1800" w:left="1440" w:header="851" w:footer="992" w:gutter="0"/>
          <w:pgNumType w:fmt="decimal"/>
          <w:cols w:space="1280" w:num="2"/>
          <w:docGrid w:type="lines" w:linePitch="312" w:charSpace="0"/>
        </w:sectPr>
      </w:pPr>
    </w:p>
    <w:p>
      <w:pPr>
        <w:pStyle w:val="3"/>
        <w:bidi w:val="0"/>
        <w:rPr>
          <w:rFonts w:hint="default" w:ascii="Times New Roman" w:hAnsi="Times New Roman" w:cs="Times New Roman"/>
          <w:color w:val="auto"/>
          <w:lang w:val="en-US" w:eastAsia="zh-CN"/>
        </w:rPr>
      </w:pPr>
      <w:bookmarkStart w:id="172" w:name="_Toc8704"/>
      <w:r>
        <w:rPr>
          <w:rFonts w:hint="default" w:ascii="Times New Roman" w:hAnsi="Times New Roman" w:cs="Times New Roman"/>
          <w:color w:val="auto"/>
          <w:lang w:val="en-US" w:eastAsia="zh-CN"/>
        </w:rPr>
        <w:t>保障措施</w:t>
      </w:r>
      <w:bookmarkEnd w:id="172"/>
    </w:p>
    <w:p>
      <w:pPr>
        <w:pStyle w:val="4"/>
        <w:bidi w:val="0"/>
        <w:rPr>
          <w:rFonts w:hint="default"/>
          <w:u w:val="none"/>
          <w:lang w:val="en-US" w:eastAsia="zh-CN"/>
        </w:rPr>
      </w:pPr>
      <w:bookmarkStart w:id="173" w:name="_Toc9557"/>
      <w:r>
        <w:rPr>
          <w:rFonts w:hint="eastAsia"/>
          <w:u w:val="none"/>
          <w:lang w:val="en-US" w:eastAsia="zh-CN"/>
        </w:rPr>
        <w:t>强化</w:t>
      </w:r>
      <w:r>
        <w:rPr>
          <w:rFonts w:hint="default"/>
          <w:u w:val="none"/>
          <w:lang w:val="en-US" w:eastAsia="zh-CN"/>
        </w:rPr>
        <w:t>组织领导</w:t>
      </w:r>
      <w:bookmarkEnd w:id="173"/>
    </w:p>
    <w:p>
      <w:pPr>
        <w:jc w:val="left"/>
        <w:rPr>
          <w:rFonts w:hint="eastAsia" w:ascii="Times New Roman" w:hAnsi="Times New Roman" w:cs="Times New Roman"/>
          <w:color w:val="auto"/>
          <w:sz w:val="32"/>
          <w:szCs w:val="22"/>
          <w:highlight w:val="none"/>
          <w:u w:val="none"/>
          <w:lang w:val="en-US" w:eastAsia="zh-CN"/>
        </w:rPr>
      </w:pPr>
      <w:r>
        <w:rPr>
          <w:rFonts w:hint="eastAsia" w:cs="Times New Roman"/>
          <w:color w:val="auto"/>
          <w:sz w:val="32"/>
          <w:szCs w:val="22"/>
          <w:highlight w:val="none"/>
          <w:u w:val="none"/>
          <w:lang w:val="en-US" w:eastAsia="zh-CN"/>
        </w:rPr>
        <w:t>统筹协调开展</w:t>
      </w:r>
      <w:r>
        <w:rPr>
          <w:rFonts w:hint="eastAsia" w:ascii="Times New Roman" w:hAnsi="Times New Roman" w:cs="Times New Roman"/>
          <w:color w:val="auto"/>
          <w:sz w:val="32"/>
          <w:szCs w:val="22"/>
          <w:highlight w:val="none"/>
          <w:u w:val="none"/>
          <w:lang w:val="en-US" w:eastAsia="zh-CN"/>
        </w:rPr>
        <w:t>多式联运示范基地</w:t>
      </w:r>
      <w:r>
        <w:rPr>
          <w:rFonts w:hint="eastAsia" w:cs="Times New Roman"/>
          <w:color w:val="auto"/>
          <w:sz w:val="32"/>
          <w:szCs w:val="22"/>
          <w:highlight w:val="none"/>
          <w:u w:val="none"/>
          <w:lang w:val="en-US" w:eastAsia="zh-CN"/>
        </w:rPr>
        <w:t>整体规划</w:t>
      </w:r>
      <w:r>
        <w:rPr>
          <w:rFonts w:hint="eastAsia" w:ascii="Times New Roman" w:hAnsi="Times New Roman" w:cs="Times New Roman"/>
          <w:color w:val="auto"/>
          <w:sz w:val="32"/>
          <w:szCs w:val="22"/>
          <w:highlight w:val="none"/>
          <w:u w:val="none"/>
          <w:lang w:val="en-US" w:eastAsia="zh-CN"/>
        </w:rPr>
        <w:t>建设</w:t>
      </w:r>
      <w:r>
        <w:rPr>
          <w:rFonts w:hint="eastAsia" w:cs="Times New Roman"/>
          <w:color w:val="auto"/>
          <w:sz w:val="32"/>
          <w:szCs w:val="22"/>
          <w:highlight w:val="none"/>
          <w:u w:val="none"/>
          <w:lang w:val="en-US" w:eastAsia="zh-CN"/>
        </w:rPr>
        <w:t>，积极搭建</w:t>
      </w:r>
      <w:r>
        <w:rPr>
          <w:rFonts w:hint="eastAsia" w:ascii="Times New Roman" w:hAnsi="Times New Roman" w:cs="Times New Roman"/>
          <w:color w:val="auto"/>
          <w:sz w:val="32"/>
          <w:szCs w:val="22"/>
          <w:highlight w:val="none"/>
          <w:u w:val="none"/>
          <w:lang w:val="en-US" w:eastAsia="zh-CN"/>
        </w:rPr>
        <w:t>生产企业和物流服务企业沟通</w:t>
      </w:r>
      <w:r>
        <w:rPr>
          <w:rFonts w:hint="eastAsia" w:cs="Times New Roman"/>
          <w:color w:val="auto"/>
          <w:sz w:val="32"/>
          <w:szCs w:val="22"/>
          <w:highlight w:val="none"/>
          <w:u w:val="none"/>
          <w:lang w:val="en-US" w:eastAsia="zh-CN"/>
        </w:rPr>
        <w:t>合作桥梁</w:t>
      </w:r>
      <w:r>
        <w:rPr>
          <w:rFonts w:hint="eastAsia" w:ascii="Times New Roman" w:hAnsi="Times New Roman" w:cs="Times New Roman"/>
          <w:color w:val="auto"/>
          <w:sz w:val="32"/>
          <w:szCs w:val="22"/>
          <w:highlight w:val="none"/>
          <w:u w:val="none"/>
          <w:lang w:val="en-US" w:eastAsia="zh-CN"/>
        </w:rPr>
        <w:t>，定期邀请货主、企业和专家举办行业政策宣讲会、需求对接会，降低供需匹配成本。</w:t>
      </w:r>
      <w:r>
        <w:rPr>
          <w:rFonts w:hint="eastAsia" w:cs="Times New Roman"/>
          <w:color w:val="auto"/>
          <w:sz w:val="32"/>
          <w:szCs w:val="22"/>
          <w:highlight w:val="none"/>
          <w:u w:val="none"/>
          <w:lang w:val="en-US" w:eastAsia="zh-CN"/>
        </w:rPr>
        <w:t>各级</w:t>
      </w:r>
      <w:r>
        <w:rPr>
          <w:rFonts w:hint="eastAsia" w:ascii="Times New Roman" w:hAnsi="Times New Roman" w:cs="Times New Roman"/>
          <w:color w:val="auto"/>
          <w:sz w:val="32"/>
          <w:szCs w:val="22"/>
          <w:highlight w:val="none"/>
          <w:u w:val="none"/>
          <w:lang w:val="en-US" w:eastAsia="zh-CN"/>
        </w:rPr>
        <w:t>铁路、</w:t>
      </w:r>
      <w:r>
        <w:rPr>
          <w:rFonts w:hint="eastAsia" w:cs="Times New Roman"/>
          <w:color w:val="auto"/>
          <w:sz w:val="32"/>
          <w:szCs w:val="22"/>
          <w:highlight w:val="none"/>
          <w:u w:val="none"/>
          <w:lang w:val="en-US" w:eastAsia="zh-CN"/>
        </w:rPr>
        <w:t>交通运输、</w:t>
      </w:r>
      <w:r>
        <w:rPr>
          <w:rFonts w:hint="eastAsia" w:ascii="Times New Roman" w:hAnsi="Times New Roman" w:cs="Times New Roman"/>
          <w:color w:val="auto"/>
          <w:sz w:val="32"/>
          <w:szCs w:val="22"/>
          <w:highlight w:val="none"/>
          <w:u w:val="none"/>
          <w:lang w:val="en-US" w:eastAsia="zh-CN"/>
        </w:rPr>
        <w:t>商务、邮政管理、农业农村、经信等</w:t>
      </w:r>
      <w:r>
        <w:rPr>
          <w:rFonts w:hint="eastAsia" w:cs="Times New Roman"/>
          <w:color w:val="auto"/>
          <w:sz w:val="32"/>
          <w:szCs w:val="22"/>
          <w:highlight w:val="none"/>
          <w:u w:val="none"/>
          <w:lang w:val="en-US" w:eastAsia="zh-CN"/>
        </w:rPr>
        <w:t>职能</w:t>
      </w:r>
      <w:r>
        <w:rPr>
          <w:rFonts w:hint="eastAsia" w:ascii="Times New Roman" w:hAnsi="Times New Roman" w:cs="Times New Roman"/>
          <w:color w:val="auto"/>
          <w:sz w:val="32"/>
          <w:szCs w:val="22"/>
          <w:highlight w:val="none"/>
          <w:u w:val="none"/>
          <w:lang w:val="en-US" w:eastAsia="zh-CN"/>
        </w:rPr>
        <w:t>部门在规划编制、项目审批、政策制定等方面</w:t>
      </w:r>
      <w:r>
        <w:rPr>
          <w:rFonts w:hint="eastAsia" w:cs="Times New Roman"/>
          <w:color w:val="auto"/>
          <w:sz w:val="32"/>
          <w:szCs w:val="22"/>
          <w:highlight w:val="none"/>
          <w:u w:val="none"/>
          <w:lang w:val="en-US" w:eastAsia="zh-CN"/>
        </w:rPr>
        <w:t>加强工作</w:t>
      </w:r>
      <w:r>
        <w:rPr>
          <w:rFonts w:hint="eastAsia" w:ascii="Times New Roman" w:hAnsi="Times New Roman" w:cs="Times New Roman"/>
          <w:color w:val="auto"/>
          <w:sz w:val="32"/>
          <w:szCs w:val="22"/>
          <w:highlight w:val="none"/>
          <w:u w:val="none"/>
          <w:lang w:val="en-US" w:eastAsia="zh-CN"/>
        </w:rPr>
        <w:t>协同</w:t>
      </w:r>
      <w:r>
        <w:rPr>
          <w:rFonts w:hint="eastAsia" w:cs="Times New Roman"/>
          <w:color w:val="auto"/>
          <w:sz w:val="32"/>
          <w:szCs w:val="22"/>
          <w:highlight w:val="none"/>
          <w:u w:val="none"/>
          <w:lang w:val="en-US" w:eastAsia="zh-CN"/>
        </w:rPr>
        <w:t>，</w:t>
      </w:r>
      <w:r>
        <w:rPr>
          <w:rFonts w:hint="eastAsia" w:ascii="Times New Roman" w:hAnsi="Times New Roman" w:cs="Times New Roman"/>
          <w:color w:val="auto"/>
          <w:sz w:val="32"/>
          <w:szCs w:val="22"/>
          <w:highlight w:val="none"/>
          <w:u w:val="none"/>
          <w:lang w:val="en-US" w:eastAsia="zh-CN"/>
        </w:rPr>
        <w:t>研究物流发展的重大问题</w:t>
      </w:r>
      <w:r>
        <w:rPr>
          <w:rFonts w:hint="eastAsia" w:cs="Times New Roman"/>
          <w:color w:val="auto"/>
          <w:sz w:val="32"/>
          <w:szCs w:val="22"/>
          <w:highlight w:val="none"/>
          <w:u w:val="none"/>
          <w:lang w:val="en-US" w:eastAsia="zh-CN"/>
        </w:rPr>
        <w:t>，</w:t>
      </w:r>
      <w:r>
        <w:rPr>
          <w:rFonts w:hint="eastAsia" w:ascii="Times New Roman" w:hAnsi="Times New Roman" w:cs="Times New Roman"/>
          <w:color w:val="auto"/>
          <w:sz w:val="32"/>
          <w:szCs w:val="22"/>
          <w:highlight w:val="none"/>
          <w:u w:val="none"/>
          <w:lang w:val="en-US" w:eastAsia="zh-CN"/>
        </w:rPr>
        <w:t>统筹物流规划、重大物流项目的实施。</w:t>
      </w:r>
    </w:p>
    <w:p>
      <w:pPr>
        <w:pStyle w:val="4"/>
        <w:bidi w:val="0"/>
        <w:rPr>
          <w:rFonts w:hint="default"/>
          <w:u w:val="none"/>
          <w:lang w:val="en-US" w:eastAsia="zh-CN"/>
        </w:rPr>
      </w:pPr>
      <w:bookmarkStart w:id="174" w:name="_Toc27755"/>
      <w:r>
        <w:rPr>
          <w:rFonts w:hint="default"/>
          <w:u w:val="none"/>
          <w:lang w:val="en-US" w:eastAsia="zh-CN"/>
        </w:rPr>
        <w:t>强化政策支持</w:t>
      </w:r>
      <w:bookmarkEnd w:id="174"/>
    </w:p>
    <w:p>
      <w:pPr>
        <w:keepNext w:val="0"/>
        <w:keepLines w:val="0"/>
        <w:widowControl/>
        <w:suppressLineNumbers w:val="0"/>
        <w:jc w:val="left"/>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落实好</w:t>
      </w:r>
      <w:r>
        <w:rPr>
          <w:rFonts w:hint="default" w:ascii="Times New Roman" w:hAnsi="Times New Roman" w:cs="Times New Roman"/>
          <w:color w:val="auto"/>
          <w:highlight w:val="none"/>
          <w:u w:val="none"/>
          <w:lang w:val="en-US" w:eastAsia="zh-CN"/>
        </w:rPr>
        <w:t>《乐山市加快现代物流业高质量发展支持政策》</w:t>
      </w:r>
      <w:r>
        <w:rPr>
          <w:rFonts w:hint="eastAsia" w:cs="Times New Roman"/>
          <w:color w:val="auto"/>
          <w:highlight w:val="none"/>
          <w:u w:val="none"/>
          <w:lang w:val="en-US" w:eastAsia="zh-CN"/>
        </w:rPr>
        <w:t>，优化乐山现代物流市场营商环境。</w:t>
      </w:r>
      <w:r>
        <w:rPr>
          <w:rFonts w:hint="default" w:ascii="Times New Roman" w:hAnsi="Times New Roman" w:cs="Times New Roman"/>
          <w:color w:val="auto"/>
          <w:highlight w:val="none"/>
          <w:u w:val="none"/>
          <w:lang w:val="en-US" w:eastAsia="zh-CN"/>
        </w:rPr>
        <w:t>充分对接国、省重</w:t>
      </w:r>
      <w:r>
        <w:rPr>
          <w:rFonts w:hint="default" w:ascii="Times New Roman" w:hAnsi="Times New Roman" w:cs="Times New Roman"/>
          <w:color w:val="auto"/>
          <w:sz w:val="32"/>
          <w:szCs w:val="32"/>
          <w:highlight w:val="none"/>
          <w:u w:val="none"/>
          <w:lang w:val="en-US" w:eastAsia="zh-CN"/>
        </w:rPr>
        <w:t>大政策导向，积极争取省级现代物流产业建圈强链等资金政策，</w:t>
      </w:r>
      <w:r>
        <w:rPr>
          <w:rFonts w:hint="eastAsia" w:ascii="Times New Roman" w:hAnsi="Times New Roman" w:cs="Times New Roman"/>
          <w:color w:val="auto"/>
          <w:sz w:val="32"/>
          <w:szCs w:val="32"/>
          <w:highlight w:val="none"/>
          <w:u w:val="none"/>
          <w:lang w:val="en-US" w:eastAsia="zh-CN"/>
        </w:rPr>
        <w:t>以及</w:t>
      </w:r>
      <w:r>
        <w:rPr>
          <w:rFonts w:hint="default" w:ascii="Times New Roman" w:hAnsi="Times New Roman" w:cs="Times New Roman"/>
          <w:color w:val="auto"/>
          <w:sz w:val="32"/>
          <w:szCs w:val="32"/>
          <w:highlight w:val="none"/>
          <w:u w:val="none"/>
          <w:lang w:val="en-US" w:eastAsia="zh-CN"/>
        </w:rPr>
        <w:t>中央预算内资金、中央专</w:t>
      </w:r>
      <w:r>
        <w:rPr>
          <w:rFonts w:hint="eastAsia" w:ascii="Times New Roman" w:hAnsi="Times New Roman" w:cs="Times New Roman"/>
          <w:color w:val="auto"/>
          <w:sz w:val="32"/>
          <w:szCs w:val="32"/>
          <w:highlight w:val="none"/>
          <w:u w:val="none"/>
          <w:lang w:val="en-US" w:eastAsia="zh-CN"/>
        </w:rPr>
        <w:t>项资金、</w:t>
      </w:r>
      <w:r>
        <w:rPr>
          <w:rFonts w:hint="eastAsia" w:cs="Times New Roman"/>
          <w:color w:val="auto"/>
          <w:sz w:val="32"/>
          <w:szCs w:val="32"/>
          <w:highlight w:val="none"/>
          <w:u w:val="none"/>
          <w:lang w:val="en-US" w:eastAsia="zh-CN"/>
        </w:rPr>
        <w:t>超长期</w:t>
      </w:r>
      <w:r>
        <w:rPr>
          <w:rFonts w:hint="eastAsia" w:ascii="Times New Roman" w:hAnsi="Times New Roman" w:cs="Times New Roman"/>
          <w:color w:val="auto"/>
          <w:sz w:val="32"/>
          <w:szCs w:val="32"/>
          <w:highlight w:val="none"/>
          <w:u w:val="none"/>
          <w:lang w:val="en-US" w:eastAsia="zh-CN"/>
        </w:rPr>
        <w:t>特别国债、政策性中长期贷款</w:t>
      </w:r>
      <w:r>
        <w:rPr>
          <w:rFonts w:hint="eastAsia" w:cs="Times New Roman"/>
          <w:color w:val="auto"/>
          <w:sz w:val="32"/>
          <w:szCs w:val="32"/>
          <w:highlight w:val="none"/>
          <w:u w:val="none"/>
          <w:lang w:val="en-US" w:eastAsia="zh-CN"/>
        </w:rPr>
        <w:t>等各类政策性资金。</w:t>
      </w:r>
      <w:r>
        <w:rPr>
          <w:rFonts w:hint="default" w:ascii="Times New Roman" w:hAnsi="Times New Roman" w:cs="Times New Roman"/>
          <w:color w:val="auto"/>
          <w:highlight w:val="none"/>
          <w:u w:val="none"/>
          <w:lang w:val="en-US" w:eastAsia="zh-CN"/>
        </w:rPr>
        <w:t>按照市场化运作原则，支持大型物流企业或金融机构等设立物流产业发展投资基金，鼓励包括民企、外企在内的各类社会资本共同参与乐山多式联运示范基地的建设和运营。</w:t>
      </w:r>
    </w:p>
    <w:p>
      <w:pPr>
        <w:pStyle w:val="4"/>
        <w:bidi w:val="0"/>
        <w:rPr>
          <w:rFonts w:hint="default"/>
          <w:u w:val="none"/>
          <w:lang w:val="en-US" w:eastAsia="zh-CN"/>
        </w:rPr>
      </w:pPr>
      <w:bookmarkStart w:id="175" w:name="_Toc4254"/>
      <w:r>
        <w:rPr>
          <w:rFonts w:hint="default"/>
          <w:u w:val="none"/>
          <w:lang w:val="en-US" w:eastAsia="zh-CN"/>
        </w:rPr>
        <w:t>强化项目支撑</w:t>
      </w:r>
      <w:bookmarkEnd w:id="175"/>
    </w:p>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坚持</w:t>
      </w:r>
      <w:r>
        <w:rPr>
          <w:rFonts w:hint="default" w:ascii="Times New Roman" w:hAnsi="Times New Roman" w:cs="Times New Roman"/>
          <w:color w:val="auto"/>
          <w:highlight w:val="none"/>
          <w:u w:val="none"/>
          <w:lang w:val="en-US" w:eastAsia="zh-CN"/>
        </w:rPr>
        <w:t>以规划引领项目建设、以项目支撑规划落地，建立多式联运示范基地重点项目库，完善准入退出监管和定期评价机制</w:t>
      </w:r>
      <w:r>
        <w:rPr>
          <w:rFonts w:hint="eastAsia" w:cs="Times New Roman"/>
          <w:color w:val="auto"/>
          <w:highlight w:val="none"/>
          <w:u w:val="none"/>
          <w:lang w:val="en-US" w:eastAsia="zh-CN"/>
        </w:rPr>
        <w:t>，对库内项目实行动态滚动管理。加强对上汇报沟通，跟踪国家“十五五”支持骨干流通走廊建设等政策，以及省级“十五五”现代物流建圈强链政策，</w:t>
      </w:r>
      <w:r>
        <w:rPr>
          <w:rFonts w:hint="default" w:ascii="Times New Roman" w:hAnsi="Times New Roman" w:cs="Times New Roman"/>
          <w:color w:val="auto"/>
          <w:highlight w:val="none"/>
          <w:u w:val="none"/>
          <w:lang w:val="en-US" w:eastAsia="zh-CN"/>
        </w:rPr>
        <w:t>争取更多项目列入国家、省</w:t>
      </w:r>
      <w:r>
        <w:rPr>
          <w:rFonts w:hint="eastAsia" w:cs="Times New Roman"/>
          <w:color w:val="auto"/>
          <w:highlight w:val="none"/>
          <w:u w:val="none"/>
          <w:lang w:val="en-US" w:eastAsia="zh-CN"/>
        </w:rPr>
        <w:t>级“十五五”物流相关规划</w:t>
      </w:r>
      <w:r>
        <w:rPr>
          <w:rFonts w:hint="default" w:ascii="Times New Roman" w:hAnsi="Times New Roman" w:cs="Times New Roman"/>
          <w:color w:val="auto"/>
          <w:highlight w:val="none"/>
          <w:u w:val="none"/>
          <w:lang w:val="en-US" w:eastAsia="zh-CN"/>
        </w:rPr>
        <w:t>项目库。</w:t>
      </w:r>
      <w:r>
        <w:rPr>
          <w:rFonts w:hint="eastAsia" w:cs="Times New Roman"/>
          <w:color w:val="auto"/>
          <w:highlight w:val="none"/>
          <w:u w:val="none"/>
          <w:lang w:val="en-US" w:eastAsia="zh-CN"/>
        </w:rPr>
        <w:t>积极参与国家交通物流降本提质增效交通强国专项试点，以试点工作为抓手，争取国家和省级各部门最大支持。</w:t>
      </w:r>
    </w:p>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加强</w:t>
      </w:r>
      <w:r>
        <w:rPr>
          <w:rFonts w:hint="eastAsia" w:cs="Times New Roman"/>
          <w:color w:val="auto"/>
          <w:highlight w:val="none"/>
          <w:u w:val="none"/>
          <w:lang w:val="en-US" w:eastAsia="zh-CN"/>
        </w:rPr>
        <w:t>交通运输、</w:t>
      </w:r>
      <w:r>
        <w:rPr>
          <w:rFonts w:hint="default" w:ascii="Times New Roman" w:hAnsi="Times New Roman" w:cs="Times New Roman"/>
          <w:color w:val="auto"/>
          <w:highlight w:val="none"/>
          <w:u w:val="none"/>
          <w:lang w:val="en-US" w:eastAsia="zh-CN"/>
        </w:rPr>
        <w:t>发改、财政、自然资源、生态环境等</w:t>
      </w:r>
      <w:r>
        <w:rPr>
          <w:rFonts w:hint="eastAsia" w:cs="Times New Roman"/>
          <w:color w:val="auto"/>
          <w:highlight w:val="none"/>
          <w:u w:val="none"/>
          <w:lang w:val="en-US" w:eastAsia="zh-CN"/>
        </w:rPr>
        <w:t>部门</w:t>
      </w:r>
      <w:r>
        <w:rPr>
          <w:rFonts w:hint="default" w:ascii="Times New Roman" w:hAnsi="Times New Roman" w:cs="Times New Roman"/>
          <w:color w:val="auto"/>
          <w:highlight w:val="none"/>
          <w:u w:val="none"/>
          <w:lang w:val="en-US" w:eastAsia="zh-CN"/>
        </w:rPr>
        <w:t>政策协同，</w:t>
      </w:r>
      <w:r>
        <w:rPr>
          <w:rFonts w:hint="eastAsia" w:cs="Times New Roman"/>
          <w:color w:val="auto"/>
          <w:highlight w:val="none"/>
          <w:u w:val="none"/>
          <w:lang w:val="en-US" w:eastAsia="zh-CN"/>
        </w:rPr>
        <w:t>共同</w:t>
      </w:r>
      <w:r>
        <w:rPr>
          <w:rFonts w:hint="default" w:ascii="Times New Roman" w:hAnsi="Times New Roman" w:cs="Times New Roman"/>
          <w:color w:val="auto"/>
          <w:highlight w:val="none"/>
          <w:u w:val="none"/>
          <w:lang w:val="en-US" w:eastAsia="zh-CN"/>
        </w:rPr>
        <w:t>做好重大物流项目引进与审批，形成“谋划一批、储备一批、建设一批”的项目推进机制。</w:t>
      </w:r>
      <w:bookmarkEnd w:id="149"/>
      <w:bookmarkEnd w:id="150"/>
      <w:bookmarkEnd w:id="151"/>
      <w:bookmarkEnd w:id="152"/>
      <w:bookmarkStart w:id="177" w:name="_GoBack"/>
      <w:bookmarkEnd w:id="177"/>
    </w:p>
    <w:p>
      <w:pPr>
        <w:pStyle w:val="4"/>
        <w:bidi w:val="0"/>
        <w:rPr>
          <w:rFonts w:hint="eastAsia"/>
          <w:u w:val="none"/>
          <w:lang w:val="en-US" w:eastAsia="zh-CN"/>
        </w:rPr>
      </w:pPr>
      <w:bookmarkStart w:id="176" w:name="_Toc12690"/>
      <w:r>
        <w:rPr>
          <w:rFonts w:hint="eastAsia"/>
          <w:u w:val="none"/>
          <w:lang w:val="en-US" w:eastAsia="zh-CN"/>
        </w:rPr>
        <w:t>强化安全生产</w:t>
      </w:r>
      <w:bookmarkEnd w:id="176"/>
    </w:p>
    <w:p>
      <w:pPr>
        <w:keepNext w:val="0"/>
        <w:keepLines w:val="0"/>
        <w:pageBreakBefore w:val="0"/>
        <w:widowControl w:val="0"/>
        <w:kinsoku/>
        <w:wordWrap/>
        <w:overflowPunct/>
        <w:topLinePunct w:val="0"/>
        <w:autoSpaceDE/>
        <w:autoSpaceDN/>
        <w:bidi w:val="0"/>
        <w:adjustRightInd/>
        <w:snapToGrid/>
        <w:textAlignment w:val="auto"/>
        <w:rPr>
          <w:rFonts w:hint="eastAsia" w:cs="Times New Roman"/>
          <w:color w:val="auto"/>
          <w:highlight w:val="none"/>
          <w:u w:val="none"/>
          <w:lang w:val="en-US" w:eastAsia="zh-CN"/>
        </w:rPr>
      </w:pPr>
      <w:r>
        <w:rPr>
          <w:rFonts w:hint="eastAsia" w:cs="Times New Roman"/>
          <w:color w:val="auto"/>
          <w:highlight w:val="none"/>
          <w:u w:val="none"/>
          <w:lang w:val="en-US" w:eastAsia="zh-CN"/>
        </w:rPr>
        <w:t>加强交通运输、应急管理、公安、消防救援、市场监管等部门协同联动，各司其职，压实企业安全生产主体责任。建立定期安全生产联席会议制度，研判安全形势，协调解决突出问题，部署重点任务。</w:t>
      </w:r>
    </w:p>
    <w:p>
      <w:pPr>
        <w:keepNext w:val="0"/>
        <w:keepLines w:val="0"/>
        <w:pageBreakBefore w:val="0"/>
        <w:widowControl w:val="0"/>
        <w:kinsoku/>
        <w:wordWrap/>
        <w:overflowPunct/>
        <w:topLinePunct w:val="0"/>
        <w:autoSpaceDE/>
        <w:autoSpaceDN/>
        <w:bidi w:val="0"/>
        <w:adjustRightInd/>
        <w:snapToGrid/>
        <w:textAlignment w:val="auto"/>
        <w:rPr>
          <w:rFonts w:hint="eastAsia" w:cs="Times New Roman"/>
          <w:color w:val="auto"/>
          <w:highlight w:val="none"/>
          <w:lang w:val="en-US" w:eastAsia="zh-CN"/>
        </w:rPr>
      </w:pPr>
      <w:r>
        <w:rPr>
          <w:rFonts w:hint="eastAsia" w:cs="Times New Roman"/>
          <w:color w:val="auto"/>
          <w:u w:val="none"/>
          <w:lang w:val="en-US" w:eastAsia="zh-CN"/>
        </w:rPr>
        <w:t>在</w:t>
      </w:r>
      <w:r>
        <w:rPr>
          <w:rFonts w:hint="default" w:ascii="Times New Roman" w:hAnsi="Times New Roman" w:cs="Times New Roman"/>
          <w:color w:val="auto"/>
          <w:u w:val="none"/>
          <w:lang w:val="en-US" w:eastAsia="zh-CN"/>
        </w:rPr>
        <w:t>多式联运示范基地数字化管理平台</w:t>
      </w:r>
      <w:r>
        <w:rPr>
          <w:rFonts w:hint="eastAsia" w:cs="Times New Roman"/>
          <w:color w:val="auto"/>
          <w:u w:val="none"/>
          <w:lang w:val="en-US" w:eastAsia="zh-CN"/>
        </w:rPr>
        <w:t>中建设</w:t>
      </w:r>
      <w:r>
        <w:rPr>
          <w:rFonts w:hint="eastAsia" w:cs="Times New Roman"/>
          <w:color w:val="auto"/>
          <w:highlight w:val="none"/>
          <w:u w:val="none"/>
          <w:lang w:val="en-US" w:eastAsia="zh-CN"/>
        </w:rPr>
        <w:t>安全运行智慧监管系统，接入铁路、公路、港口等各类作业实时数据</w:t>
      </w:r>
      <w:r>
        <w:rPr>
          <w:rFonts w:hint="eastAsia" w:cs="Times New Roman"/>
          <w:color w:val="auto"/>
          <w:highlight w:val="none"/>
          <w:lang w:val="en-US" w:eastAsia="zh-CN"/>
        </w:rPr>
        <w:t>，实现对车辆、货物、人员、设备的全程动态监控与智能预警。</w:t>
      </w:r>
    </w:p>
    <w:p>
      <w:pPr>
        <w:keepNext w:val="0"/>
        <w:keepLines w:val="0"/>
        <w:pageBreakBefore w:val="0"/>
        <w:widowControl w:val="0"/>
        <w:kinsoku/>
        <w:wordWrap/>
        <w:overflowPunct/>
        <w:topLinePunct w:val="0"/>
        <w:autoSpaceDE/>
        <w:autoSpaceDN/>
        <w:bidi w:val="0"/>
        <w:adjustRightInd/>
        <w:snapToGrid/>
        <w:textAlignment w:val="auto"/>
        <w:rPr>
          <w:rFonts w:hint="eastAsia" w:cs="Times New Roman"/>
          <w:color w:val="auto"/>
          <w:highlight w:val="none"/>
          <w:lang w:val="en-US" w:eastAsia="zh-CN"/>
        </w:rPr>
      </w:pPr>
      <w:r>
        <w:rPr>
          <w:rFonts w:hint="eastAsia" w:cs="Times New Roman"/>
          <w:color w:val="auto"/>
          <w:highlight w:val="none"/>
          <w:lang w:val="en-US" w:eastAsia="zh-CN"/>
        </w:rPr>
        <w:t>建立示范基地运营企业从业人员安全培训制度，重点针对化工产品、大件特种设备等仓储转运、消防管理等岗位开展专项培训和考核。鼓励企业引入第三方安全评估机制，提升安全管理专业化水平。</w:t>
      </w:r>
    </w:p>
    <w:p>
      <w:pPr>
        <w:keepNext w:val="0"/>
        <w:keepLines w:val="0"/>
        <w:pageBreakBefore w:val="0"/>
        <w:widowControl w:val="0"/>
        <w:kinsoku/>
        <w:wordWrap/>
        <w:overflowPunct/>
        <w:topLinePunct w:val="0"/>
        <w:autoSpaceDE/>
        <w:autoSpaceDN/>
        <w:bidi w:val="0"/>
        <w:adjustRightInd/>
        <w:snapToGrid/>
        <w:textAlignment w:val="auto"/>
        <w:rPr>
          <w:rFonts w:hint="default" w:cs="Times New Roman"/>
          <w:color w:val="auto"/>
          <w:highlight w:val="none"/>
          <w:lang w:val="en-US" w:eastAsia="zh-CN"/>
        </w:rPr>
      </w:pPr>
      <w:r>
        <w:rPr>
          <w:rFonts w:hint="eastAsia" w:cs="Times New Roman"/>
          <w:color w:val="auto"/>
          <w:highlight w:val="none"/>
          <w:lang w:val="en-US" w:eastAsia="zh-CN"/>
        </w:rPr>
        <w:t>将安全生产作为项目入驻示范基地的前置审核条件，纳入重点项目库准入和退出评价体系。</w:t>
      </w:r>
    </w:p>
    <w:sectPr>
      <w:pgSz w:w="23811" w:h="16838" w:orient="landscape"/>
      <w:pgMar w:top="1800" w:right="1440" w:bottom="1800" w:left="1440" w:header="851" w:footer="992" w:gutter="0"/>
      <w:pgNumType w:fmt="decimal"/>
      <w:cols w:space="1280" w:num="2"/>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F"/>
    <w:family w:val="moder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B33A7023-DF01-4FE4-9119-51166B0C1F9C}"/>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embedRegular r:id="rId2" w:fontKey="{D8C72CCE-4A7F-400A-829D-3E6B2F4979A9}"/>
  </w:font>
  <w:font w:name="仿宋_GB2312">
    <w:panose1 w:val="02010609030101010101"/>
    <w:charset w:val="86"/>
    <w:family w:val="modern"/>
    <w:pitch w:val="default"/>
    <w:sig w:usb0="00000001" w:usb1="080E0000" w:usb2="00000000" w:usb3="00000000" w:csb0="00040000" w:csb1="00000000"/>
    <w:embedRegular r:id="rId3" w:fontKey="{EE2FA32A-B833-45E9-8248-5496D95419BF}"/>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embedRegular r:id="rId4" w:fontKey="{3654BA92-15EF-443D-89C6-F1C274C00EF1}"/>
  </w:font>
  <w:font w:name="方正小标宋_GBK">
    <w:panose1 w:val="03000509000000000000"/>
    <w:charset w:val="86"/>
    <w:family w:val="script"/>
    <w:pitch w:val="default"/>
    <w:sig w:usb0="00000001" w:usb1="080E0000" w:usb2="00000000" w:usb3="00000000" w:csb0="00040000" w:csb1="00000000"/>
    <w:embedRegular r:id="rId5" w:fontKey="{5A9162E7-A34A-4F05-8676-1844777B161E}"/>
  </w:font>
  <w:font w:name="仿宋">
    <w:panose1 w:val="02010609060101010101"/>
    <w:charset w:val="86"/>
    <w:family w:val="modern"/>
    <w:pitch w:val="default"/>
    <w:sig w:usb0="800002BF" w:usb1="38CF7CFA" w:usb2="00000016" w:usb3="00000000" w:csb0="00040001" w:csb1="00000000"/>
    <w:embedRegular r:id="rId6" w:fontKey="{86B2E554-8F7A-4D5E-BBBF-A6BD5964067B}"/>
  </w:font>
  <w:font w:name="华文宋体">
    <w:panose1 w:val="02010600040101010101"/>
    <w:charset w:val="86"/>
    <w:family w:val="auto"/>
    <w:pitch w:val="default"/>
    <w:sig w:usb0="00000287" w:usb1="080F0000" w:usb2="00000000" w:usb3="00000000" w:csb0="0004009F" w:csb1="DFD70000"/>
    <w:embedRegular r:id="rId7" w:fontKey="{F0DC6FEC-E3E7-4168-9401-39BDFA07C88D}"/>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0" w:firstLineChars="0"/>
      <w:jc w:val="center"/>
    </w:pPr>
  </w:p>
  <w:p>
    <w:pPr>
      <w:pStyle w:val="1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left" w:pos="4739"/>
        <w:tab w:val="clear" w:pos="4153"/>
        <w:tab w:val="clear" w:pos="8306"/>
      </w:tabs>
      <w:ind w:firstLine="360"/>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0" w:firstLineChars="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left="0" w:leftChars="0" w:firstLine="4158" w:firstLineChars="1890"/>
      <w:rPr>
        <w:rFonts w:hint="default" w:eastAsia="仿宋_GB2312"/>
        <w:sz w:val="22"/>
        <w:szCs w:val="22"/>
        <w:lang w:val="en-US" w:eastAsia="zh-CN"/>
      </w:rPr>
    </w:pPr>
    <w:r>
      <w:rPr>
        <w:sz w:val="22"/>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sz w:val="24"/>
                              <w:szCs w:val="24"/>
                            </w:rPr>
                          </w:pPr>
                          <w:r>
                            <w:rPr>
                              <w:sz w:val="24"/>
                              <w:szCs w:val="24"/>
                            </w:rPr>
                            <w:t xml:space="preserve">— </w:t>
                          </w: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r>
                            <w:rPr>
                              <w:sz w:val="24"/>
                              <w:szCs w:val="24"/>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p>
                    <w:pPr>
                      <w:pStyle w:val="12"/>
                      <w:rPr>
                        <w:sz w:val="24"/>
                        <w:szCs w:val="24"/>
                      </w:rPr>
                    </w:pPr>
                    <w:r>
                      <w:rPr>
                        <w:sz w:val="24"/>
                        <w:szCs w:val="24"/>
                      </w:rPr>
                      <w:t xml:space="preserve">— </w:t>
                    </w: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r>
                      <w:rPr>
                        <w:sz w:val="24"/>
                        <w:szCs w:val="24"/>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8">
    <w:p>
      <w:pPr>
        <w:spacing w:line="240" w:lineRule="auto"/>
        <w:ind w:firstLine="640"/>
      </w:pPr>
      <w:r>
        <w:separator/>
      </w:r>
    </w:p>
  </w:footnote>
  <w:footnote w:type="continuationSeparator" w:id="9">
    <w:p>
      <w:pPr>
        <w:spacing w:line="240" w:lineRule="auto"/>
        <w:ind w:firstLine="640"/>
      </w:pPr>
      <w:r>
        <w:continuationSeparator/>
      </w:r>
    </w:p>
  </w:footnote>
  <w:footnote w:id="0">
    <w:p>
      <w:pPr>
        <w:pStyle w:val="15"/>
        <w:keepNext w:val="0"/>
        <w:keepLines w:val="0"/>
        <w:pageBreakBefore w:val="0"/>
        <w:widowControl w:val="0"/>
        <w:kinsoku/>
        <w:wordWrap/>
        <w:overflowPunct/>
        <w:topLinePunct w:val="0"/>
        <w:bidi w:val="0"/>
        <w:adjustRightInd/>
        <w:snapToGrid w:val="0"/>
        <w:spacing w:line="240" w:lineRule="auto"/>
        <w:textAlignment w:val="auto"/>
        <w:rPr>
          <w:sz w:val="24"/>
          <w:szCs w:val="36"/>
        </w:rPr>
      </w:pPr>
      <w:r>
        <w:rPr>
          <w:rStyle w:val="25"/>
          <w:sz w:val="24"/>
          <w:szCs w:val="36"/>
        </w:rPr>
        <w:footnoteRef/>
      </w:r>
      <w:r>
        <w:rPr>
          <w:sz w:val="24"/>
          <w:szCs w:val="36"/>
        </w:rPr>
        <w:t xml:space="preserve"> </w:t>
      </w:r>
      <w:r>
        <w:rPr>
          <w:rFonts w:hint="eastAsia"/>
          <w:sz w:val="24"/>
          <w:szCs w:val="36"/>
        </w:rPr>
        <w:t>“241”现代</w:t>
      </w:r>
      <w:r>
        <w:rPr>
          <w:rFonts w:hint="eastAsia"/>
          <w:sz w:val="24"/>
          <w:szCs w:val="36"/>
          <w:lang w:val="en-US" w:eastAsia="zh-CN"/>
        </w:rPr>
        <w:t>工业</w:t>
      </w:r>
      <w:r>
        <w:rPr>
          <w:rFonts w:hint="eastAsia"/>
          <w:sz w:val="24"/>
          <w:szCs w:val="36"/>
        </w:rPr>
        <w:t>产业体系：加快发展晶硅光伏、绿色化工2个千亿级优势产业集群，升级发展核技术应用、食品饮料、装备制造、新型建材4个特色产业集群，突破发展低空经济、新型储能、氢能等一批新兴产业集群。</w:t>
      </w:r>
    </w:p>
  </w:footnote>
  <w:footnote w:id="1">
    <w:p>
      <w:pPr>
        <w:pStyle w:val="15"/>
        <w:keepNext w:val="0"/>
        <w:keepLines w:val="0"/>
        <w:pageBreakBefore w:val="0"/>
        <w:widowControl w:val="0"/>
        <w:kinsoku/>
        <w:wordWrap/>
        <w:overflowPunct/>
        <w:topLinePunct w:val="0"/>
        <w:bidi w:val="0"/>
        <w:adjustRightInd/>
        <w:snapToGrid w:val="0"/>
        <w:spacing w:line="240" w:lineRule="auto"/>
        <w:textAlignment w:val="auto"/>
        <w:rPr>
          <w:rFonts w:hint="eastAsia" w:eastAsia="仿宋_GB2312"/>
          <w:sz w:val="24"/>
          <w:szCs w:val="36"/>
          <w:lang w:eastAsia="zh-CN"/>
        </w:rPr>
      </w:pPr>
      <w:r>
        <w:rPr>
          <w:rStyle w:val="25"/>
          <w:sz w:val="24"/>
          <w:szCs w:val="36"/>
        </w:rPr>
        <w:footnoteRef/>
      </w:r>
      <w:r>
        <w:rPr>
          <w:sz w:val="24"/>
          <w:szCs w:val="36"/>
        </w:rPr>
        <w:t xml:space="preserve"> </w:t>
      </w:r>
      <w:r>
        <w:rPr>
          <w:rFonts w:hint="eastAsia"/>
          <w:sz w:val="24"/>
          <w:szCs w:val="36"/>
        </w:rPr>
        <w:t>“2</w:t>
      </w:r>
      <w:r>
        <w:rPr>
          <w:rFonts w:hint="eastAsia"/>
          <w:sz w:val="24"/>
          <w:szCs w:val="36"/>
          <w:lang w:val="en-US" w:eastAsia="zh-CN"/>
        </w:rPr>
        <w:t>11+</w:t>
      </w:r>
      <w:r>
        <w:rPr>
          <w:rFonts w:hint="eastAsia"/>
          <w:sz w:val="24"/>
          <w:szCs w:val="36"/>
        </w:rPr>
        <w:t>”现代</w:t>
      </w:r>
      <w:r>
        <w:rPr>
          <w:rFonts w:hint="eastAsia"/>
          <w:sz w:val="24"/>
          <w:szCs w:val="36"/>
          <w:lang w:val="en-US" w:eastAsia="zh-CN"/>
        </w:rPr>
        <w:t>农业</w:t>
      </w:r>
      <w:r>
        <w:rPr>
          <w:rFonts w:hint="eastAsia"/>
          <w:sz w:val="24"/>
          <w:szCs w:val="36"/>
        </w:rPr>
        <w:t>产业</w:t>
      </w:r>
      <w:r>
        <w:rPr>
          <w:rFonts w:hint="eastAsia"/>
          <w:sz w:val="24"/>
          <w:szCs w:val="36"/>
          <w:lang w:eastAsia="zh-CN"/>
        </w:rPr>
        <w:t>集群</w:t>
      </w:r>
      <w:r>
        <w:rPr>
          <w:rFonts w:hint="eastAsia"/>
          <w:sz w:val="24"/>
          <w:szCs w:val="36"/>
        </w:rPr>
        <w:t>：培育建设畜牧和林竹2个</w:t>
      </w:r>
      <w:r>
        <w:rPr>
          <w:rFonts w:hint="eastAsia"/>
          <w:sz w:val="24"/>
          <w:szCs w:val="36"/>
          <w:lang w:eastAsia="zh-CN"/>
        </w:rPr>
        <w:t>超六</w:t>
      </w:r>
      <w:r>
        <w:rPr>
          <w:rFonts w:hint="eastAsia"/>
          <w:sz w:val="24"/>
          <w:szCs w:val="36"/>
        </w:rPr>
        <w:t>百亿级</w:t>
      </w:r>
      <w:r>
        <w:rPr>
          <w:rFonts w:hint="eastAsia"/>
          <w:sz w:val="24"/>
          <w:szCs w:val="36"/>
          <w:lang w:eastAsia="zh-CN"/>
        </w:rPr>
        <w:t>产业集群</w:t>
      </w:r>
      <w:r>
        <w:rPr>
          <w:rFonts w:hint="eastAsia"/>
          <w:sz w:val="24"/>
          <w:szCs w:val="36"/>
        </w:rPr>
        <w:t>和茶叶</w:t>
      </w:r>
      <w:r>
        <w:rPr>
          <w:rFonts w:hint="eastAsia"/>
          <w:sz w:val="24"/>
          <w:szCs w:val="36"/>
          <w:lang w:eastAsia="zh-CN"/>
        </w:rPr>
        <w:t>超四</w:t>
      </w:r>
      <w:r>
        <w:rPr>
          <w:rFonts w:hint="eastAsia"/>
          <w:sz w:val="24"/>
          <w:szCs w:val="36"/>
        </w:rPr>
        <w:t>百亿级</w:t>
      </w:r>
      <w:r>
        <w:rPr>
          <w:rFonts w:hint="eastAsia"/>
          <w:sz w:val="24"/>
          <w:szCs w:val="36"/>
          <w:lang w:eastAsia="zh-CN"/>
        </w:rPr>
        <w:t>产业集群</w:t>
      </w:r>
      <w:r>
        <w:rPr>
          <w:rFonts w:hint="eastAsia"/>
          <w:sz w:val="24"/>
          <w:szCs w:val="36"/>
        </w:rPr>
        <w:t>、蔬菜</w:t>
      </w:r>
      <w:r>
        <w:rPr>
          <w:rFonts w:hint="eastAsia"/>
          <w:sz w:val="24"/>
          <w:szCs w:val="36"/>
          <w:lang w:eastAsia="zh-CN"/>
        </w:rPr>
        <w:t>超</w:t>
      </w:r>
      <w:r>
        <w:rPr>
          <w:rFonts w:hint="eastAsia"/>
          <w:sz w:val="24"/>
          <w:szCs w:val="36"/>
        </w:rPr>
        <w:t>百亿级产业集群，因地制宜培育</w:t>
      </w:r>
      <w:r>
        <w:rPr>
          <w:rFonts w:hint="eastAsia"/>
          <w:sz w:val="24"/>
          <w:szCs w:val="36"/>
          <w:lang w:eastAsia="zh-CN"/>
        </w:rPr>
        <w:t>发展</w:t>
      </w:r>
      <w:r>
        <w:rPr>
          <w:rFonts w:hint="eastAsia"/>
          <w:sz w:val="24"/>
          <w:szCs w:val="36"/>
        </w:rPr>
        <w:t>特色水产、</w:t>
      </w:r>
      <w:r>
        <w:rPr>
          <w:rFonts w:hint="eastAsia"/>
          <w:sz w:val="24"/>
          <w:szCs w:val="36"/>
          <w:lang w:eastAsia="zh-CN"/>
        </w:rPr>
        <w:t>食药同源</w:t>
      </w:r>
      <w:r>
        <w:rPr>
          <w:rFonts w:hint="eastAsia"/>
          <w:sz w:val="24"/>
          <w:szCs w:val="36"/>
        </w:rPr>
        <w:t>、晚熟柑橘、</w:t>
      </w:r>
      <w:r>
        <w:rPr>
          <w:rFonts w:hint="eastAsia"/>
          <w:sz w:val="24"/>
          <w:szCs w:val="36"/>
          <w:lang w:eastAsia="zh-CN"/>
        </w:rPr>
        <w:t>调味品</w:t>
      </w:r>
      <w:r>
        <w:rPr>
          <w:rFonts w:hint="eastAsia"/>
          <w:sz w:val="24"/>
          <w:szCs w:val="36"/>
        </w:rPr>
        <w:t>等一批五十亿级产业集群</w:t>
      </w:r>
      <w:r>
        <w:rPr>
          <w:rFonts w:hint="eastAsia"/>
          <w:sz w:val="24"/>
          <w:szCs w:val="36"/>
          <w:lang w:eastAsia="zh-CN"/>
        </w:rPr>
        <w:t>。</w:t>
      </w:r>
    </w:p>
  </w:footnote>
  <w:footnote w:id="2">
    <w:p>
      <w:pPr>
        <w:pStyle w:val="15"/>
        <w:snapToGrid w:val="0"/>
        <w:rPr>
          <w:rFonts w:hint="eastAsia" w:ascii="仿宋_GB2312" w:hAnsi="仿宋_GB2312" w:eastAsia="仿宋_GB2312" w:cs="仿宋_GB2312"/>
          <w:sz w:val="24"/>
          <w:szCs w:val="24"/>
          <w:lang w:val="en-US" w:eastAsia="zh-CN"/>
        </w:rPr>
      </w:pPr>
      <w:r>
        <w:rPr>
          <w:rStyle w:val="25"/>
          <w:rFonts w:hint="eastAsia" w:ascii="仿宋_GB2312" w:hAnsi="仿宋_GB2312" w:eastAsia="仿宋_GB2312" w:cs="仿宋_GB2312"/>
          <w:sz w:val="24"/>
          <w:szCs w:val="24"/>
        </w:rPr>
        <w:footnoteRef/>
      </w:r>
      <w:r>
        <w:rPr>
          <w:rFonts w:hint="eastAsia" w:ascii="仿宋_GB2312" w:hAnsi="仿宋_GB2312" w:eastAsia="仿宋_GB2312" w:cs="仿宋_GB2312"/>
          <w:sz w:val="24"/>
          <w:szCs w:val="24"/>
        </w:rPr>
        <w:t xml:space="preserve"> </w:t>
      </w:r>
      <w:r>
        <w:rPr>
          <w:rFonts w:hint="eastAsia" w:ascii="仿宋_GB2312" w:hAnsi="仿宋_GB2312" w:eastAsia="仿宋_GB2312" w:cs="仿宋_GB2312"/>
          <w:sz w:val="24"/>
          <w:szCs w:val="24"/>
          <w:lang w:eastAsia="zh-CN"/>
        </w:rPr>
        <w:t>铁路按发送量统计</w:t>
      </w:r>
      <w:r>
        <w:rPr>
          <w:rFonts w:hint="eastAsia" w:ascii="仿宋_GB2312" w:hAnsi="仿宋_GB2312" w:cs="仿宋_GB2312"/>
          <w:sz w:val="24"/>
          <w:szCs w:val="24"/>
          <w:lang w:eastAsia="zh-CN"/>
        </w:rPr>
        <w:t>。</w:t>
      </w:r>
    </w:p>
  </w:footnote>
  <w:footnote w:id="3">
    <w:p>
      <w:pPr>
        <w:pStyle w:val="15"/>
        <w:keepNext w:val="0"/>
        <w:keepLines w:val="0"/>
        <w:pageBreakBefore w:val="0"/>
        <w:widowControl w:val="0"/>
        <w:kinsoku/>
        <w:wordWrap/>
        <w:overflowPunct/>
        <w:topLinePunct w:val="0"/>
        <w:bidi w:val="0"/>
        <w:adjustRightInd w:val="0"/>
        <w:snapToGrid w:val="0"/>
        <w:spacing w:line="240" w:lineRule="auto"/>
        <w:textAlignment w:val="auto"/>
        <w:rPr>
          <w:sz w:val="24"/>
          <w:szCs w:val="36"/>
        </w:rPr>
      </w:pPr>
      <w:r>
        <w:rPr>
          <w:rStyle w:val="25"/>
          <w:sz w:val="24"/>
          <w:szCs w:val="36"/>
        </w:rPr>
        <w:footnoteRef/>
      </w:r>
      <w:r>
        <w:rPr>
          <w:sz w:val="24"/>
          <w:szCs w:val="36"/>
        </w:rPr>
        <w:t xml:space="preserve"> </w:t>
      </w:r>
      <w:r>
        <w:rPr>
          <w:rFonts w:hint="eastAsia"/>
          <w:sz w:val="24"/>
          <w:szCs w:val="36"/>
          <w:lang w:val="en-US" w:eastAsia="zh-CN"/>
        </w:rPr>
        <w:t>乐山上高速后在省</w:t>
      </w:r>
      <w:r>
        <w:rPr>
          <w:rFonts w:hint="eastAsia" w:ascii="Times New Roman" w:hAnsi="Times New Roman"/>
          <w:sz w:val="24"/>
          <w:szCs w:val="36"/>
          <w:lang w:val="en-US" w:eastAsia="zh-CN"/>
        </w:rPr>
        <w:t>外下高速</w:t>
      </w:r>
      <w:r>
        <w:rPr>
          <w:rFonts w:hint="default" w:ascii="Times New Roman" w:hAnsi="Times New Roman"/>
          <w:sz w:val="24"/>
          <w:szCs w:val="36"/>
          <w:lang w:val="en-US" w:eastAsia="zh-CN"/>
        </w:rPr>
        <w:t>公路</w:t>
      </w:r>
      <w:r>
        <w:rPr>
          <w:rFonts w:hint="eastAsia" w:ascii="Times New Roman" w:hAnsi="Times New Roman"/>
          <w:sz w:val="24"/>
          <w:szCs w:val="36"/>
          <w:lang w:val="en-US" w:eastAsia="zh-CN"/>
        </w:rPr>
        <w:t>的</w:t>
      </w:r>
      <w:r>
        <w:rPr>
          <w:rFonts w:hint="default" w:ascii="Times New Roman" w:hAnsi="Times New Roman"/>
          <w:sz w:val="24"/>
          <w:szCs w:val="36"/>
          <w:lang w:val="en-US" w:eastAsia="zh-CN"/>
        </w:rPr>
        <w:t>收费站卡口数据</w:t>
      </w:r>
      <w:r>
        <w:rPr>
          <w:rFonts w:hint="eastAsia" w:ascii="Times New Roman" w:hAnsi="Times New Roman"/>
          <w:sz w:val="24"/>
          <w:szCs w:val="36"/>
          <w:lang w:val="en-US" w:eastAsia="zh-CN"/>
        </w:rPr>
        <w:t>由省外高速公路公司所有，故本分析方法仅能分析省外到乐山的单向数据以及四川省内城市与乐山之间的双向数据。</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left="0" w:leftChars="0" w:firstLine="0" w:firstLineChars="0"/>
      <w:jc w:val="left"/>
      <w:rPr>
        <w:rFonts w:hint="default" w:eastAsia="仿宋_GB2312"/>
        <w:lang w:val="en-US" w:eastAsia="zh-CN"/>
      </w:rPr>
    </w:pPr>
    <w:r>
      <w:rPr>
        <w:rFonts w:hint="eastAsia" w:ascii="仿宋_GB2312" w:hAnsi="仿宋_GB2312" w:eastAsia="仿宋_GB2312" w:cs="仿宋_GB2312"/>
        <w:bCs/>
        <w:sz w:val="21"/>
        <w:szCs w:val="21"/>
        <w:u w:val="single"/>
      </w:rPr>
      <w:t>四川省公铁水空一站式多式联运示范基地建设规划</w:t>
    </w:r>
    <w:r>
      <w:rPr>
        <w:rFonts w:hint="eastAsia" w:ascii="仿宋_GB2312" w:hAnsi="仿宋_GB2312" w:cs="仿宋_GB2312"/>
        <w:bCs/>
        <w:sz w:val="21"/>
        <w:szCs w:val="21"/>
        <w:u w:val="single"/>
        <w:lang w:val="en-US" w:eastAsia="zh-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bidi w:val="0"/>
      <w:adjustRightInd w:val="0"/>
      <w:snapToGrid w:val="0"/>
      <w:spacing w:line="240" w:lineRule="auto"/>
      <w:ind w:firstLine="0" w:firstLineChars="0"/>
      <w:jc w:val="both"/>
      <w:textAlignment w:val="auto"/>
      <w:rPr>
        <w:rFonts w:hint="default" w:ascii="仿宋_GB2312" w:hAnsi="仿宋_GB2312" w:eastAsia="仿宋_GB2312" w:cs="仿宋_GB2312"/>
        <w:sz w:val="21"/>
        <w:szCs w:val="16"/>
        <w:u w:val="single"/>
        <w:lang w:val="en-US" w:eastAsia="zh-CN"/>
      </w:rPr>
    </w:pPr>
    <w:r>
      <w:rPr>
        <w:rFonts w:hint="eastAsia" w:ascii="仿宋_GB2312" w:hAnsi="仿宋_GB2312" w:eastAsia="仿宋_GB2312" w:cs="仿宋_GB2312"/>
        <w:bCs/>
        <w:sz w:val="21"/>
        <w:szCs w:val="21"/>
        <w:u w:val="single"/>
      </w:rPr>
      <w:t>四川省公铁水空一站式多式联运示范基地建设规划</w:t>
    </w:r>
    <w:r>
      <w:rPr>
        <w:rFonts w:hint="eastAsia" w:ascii="仿宋_GB2312" w:hAnsi="仿宋_GB2312" w:cs="仿宋_GB2312"/>
        <w:bCs/>
        <w:sz w:val="21"/>
        <w:szCs w:val="21"/>
        <w:u w:val="single"/>
        <w:lang w:val="en-US" w:eastAsia="zh-CN"/>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left="0" w:leftChars="0" w:firstLine="0" w:firstLineChars="0"/>
      <w:jc w:val="left"/>
      <w:rPr>
        <w:rFonts w:hint="default" w:eastAsia="仿宋_GB2312"/>
        <w:lang w:val="en-US" w:eastAsia="zh-CN"/>
      </w:rPr>
    </w:pPr>
    <w:r>
      <w:rPr>
        <w:rFonts w:hint="eastAsia" w:ascii="仿宋_GB2312" w:hAnsi="仿宋_GB2312" w:eastAsia="仿宋_GB2312" w:cs="仿宋_GB2312"/>
        <w:bCs/>
        <w:sz w:val="21"/>
        <w:szCs w:val="21"/>
        <w:u w:val="single"/>
      </w:rPr>
      <w:t>四川省公铁水空一站式多式联运示范基地建设规划</w:t>
    </w:r>
    <w:r>
      <w:rPr>
        <w:rFonts w:hint="eastAsia" w:ascii="仿宋_GB2312" w:hAnsi="仿宋_GB2312" w:cs="仿宋_GB2312"/>
        <w:bCs/>
        <w:sz w:val="21"/>
        <w:szCs w:val="21"/>
        <w:u w:val="single"/>
        <w:lang w:val="en-US" w:eastAsia="zh-CN"/>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left"/>
      <w:rPr>
        <w:rFonts w:hint="default" w:eastAsia="仿宋_GB2312"/>
        <w:lang w:val="en-US" w:eastAsia="zh-CN"/>
      </w:rPr>
    </w:pPr>
    <w:r>
      <w:rPr>
        <w:rFonts w:hint="eastAsia" w:ascii="仿宋_GB2312" w:hAnsi="仿宋_GB2312" w:eastAsia="仿宋_GB2312" w:cs="仿宋_GB2312"/>
        <w:bCs/>
        <w:sz w:val="21"/>
        <w:szCs w:val="21"/>
        <w:u w:val="single"/>
      </w:rPr>
      <w:t>四川省公铁水空一站式多式联运示范基地建设规划</w:t>
    </w:r>
    <w:r>
      <w:rPr>
        <w:rFonts w:hint="eastAsia" w:ascii="仿宋_GB2312" w:hAnsi="仿宋_GB2312" w:cs="仿宋_GB2312"/>
        <w:bCs/>
        <w:sz w:val="21"/>
        <w:szCs w:val="21"/>
        <w:u w:val="single"/>
        <w:lang w:val="en-US" w:eastAsia="zh-CN"/>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left="0" w:leftChars="0" w:firstLine="0" w:firstLineChars="0"/>
      <w:jc w:val="left"/>
      <w:rPr>
        <w:rFonts w:hint="default" w:eastAsia="仿宋_GB2312"/>
        <w:lang w:val="en-US" w:eastAsia="zh-CN"/>
      </w:rPr>
    </w:pPr>
    <w:r>
      <w:rPr>
        <w:rFonts w:hint="eastAsia" w:ascii="仿宋_GB2312" w:hAnsi="仿宋_GB2312" w:eastAsia="仿宋_GB2312" w:cs="仿宋_GB2312"/>
        <w:bCs/>
        <w:sz w:val="21"/>
        <w:szCs w:val="21"/>
        <w:u w:val="single"/>
      </w:rPr>
      <w:t>四川省公铁水空一站式多式联运示范基地建设规划</w:t>
    </w:r>
    <w:r>
      <w:rPr>
        <w:rFonts w:hint="eastAsia" w:ascii="仿宋_GB2312" w:hAnsi="仿宋_GB2312" w:cs="仿宋_GB2312"/>
        <w:bCs/>
        <w:sz w:val="21"/>
        <w:szCs w:val="21"/>
        <w:u w:val="single"/>
        <w:lang w:val="en-US" w:eastAsia="zh-CN"/>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left="0" w:leftChars="0" w:firstLine="0" w:firstLineChars="0"/>
      <w:jc w:val="left"/>
      <w:rPr>
        <w:rFonts w:hint="default" w:eastAsia="仿宋_GB2312"/>
        <w:lang w:val="en-US" w:eastAsia="zh-CN"/>
      </w:rPr>
    </w:pPr>
    <w:r>
      <w:rPr>
        <w:rFonts w:hint="eastAsia" w:ascii="仿宋_GB2312" w:hAnsi="仿宋_GB2312" w:eastAsia="仿宋_GB2312" w:cs="仿宋_GB2312"/>
        <w:bCs/>
        <w:sz w:val="21"/>
        <w:szCs w:val="21"/>
        <w:u w:val="single"/>
      </w:rPr>
      <w:t>四川省公铁水空一站式多式联运示范基地建设规划</w:t>
    </w:r>
    <w:r>
      <w:rPr>
        <w:rFonts w:hint="eastAsia" w:ascii="仿宋_GB2312" w:hAnsi="仿宋_GB2312" w:cs="仿宋_GB2312"/>
        <w:bCs/>
        <w:sz w:val="21"/>
        <w:szCs w:val="21"/>
        <w:u w:val="single"/>
        <w:lang w:val="en-US" w:eastAsia="zh-CN"/>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left="0" w:leftChars="0" w:firstLine="0" w:firstLineChars="0"/>
      <w:jc w:val="left"/>
      <w:rPr>
        <w:rFonts w:hint="default" w:eastAsia="仿宋_GB2312"/>
        <w:lang w:val="en-US" w:eastAsia="zh-CN"/>
      </w:rPr>
    </w:pPr>
    <w:r>
      <w:rPr>
        <w:rFonts w:hint="eastAsia" w:ascii="仿宋_GB2312" w:hAnsi="仿宋_GB2312" w:eastAsia="仿宋_GB2312" w:cs="仿宋_GB2312"/>
        <w:bCs/>
        <w:sz w:val="21"/>
        <w:szCs w:val="21"/>
        <w:u w:val="single"/>
      </w:rPr>
      <w:t>四川省公铁水空一站式多式联运示范基地建设规划</w:t>
    </w:r>
    <w:r>
      <w:rPr>
        <w:rFonts w:hint="eastAsia" w:ascii="仿宋_GB2312" w:hAnsi="仿宋_GB2312" w:cs="仿宋_GB2312"/>
        <w:bCs/>
        <w:sz w:val="21"/>
        <w:szCs w:val="21"/>
        <w:u w:val="single"/>
        <w:lang w:val="en-US" w:eastAsia="zh-CN"/>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left="0" w:leftChars="0" w:firstLine="0" w:firstLineChars="0"/>
      <w:jc w:val="left"/>
      <w:rPr>
        <w:rFonts w:hint="default" w:eastAsia="仿宋_GB2312"/>
        <w:lang w:val="en-US" w:eastAsia="zh-CN"/>
      </w:rPr>
    </w:pPr>
    <w:r>
      <w:rPr>
        <w:rFonts w:hint="eastAsia" w:ascii="仿宋_GB2312" w:hAnsi="仿宋_GB2312" w:eastAsia="仿宋_GB2312" w:cs="仿宋_GB2312"/>
        <w:bCs/>
        <w:sz w:val="21"/>
        <w:szCs w:val="21"/>
        <w:u w:val="single"/>
      </w:rPr>
      <w:t>四川省公铁水空一站式多式联运示范基地建设规划</w:t>
    </w:r>
    <w:r>
      <w:rPr>
        <w:rFonts w:hint="eastAsia" w:ascii="仿宋_GB2312" w:hAnsi="仿宋_GB2312" w:cs="仿宋_GB2312"/>
        <w:bCs/>
        <w:sz w:val="21"/>
        <w:szCs w:val="21"/>
        <w:u w:val="single"/>
        <w:lang w:val="en-US" w:eastAsia="zh-C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D616F38"/>
    <w:multiLevelType w:val="multilevel"/>
    <w:tmpl w:val="3D616F38"/>
    <w:lvl w:ilvl="0" w:tentative="0">
      <w:start w:val="1"/>
      <w:numFmt w:val="decimal"/>
      <w:pStyle w:val="3"/>
      <w:suff w:val="space"/>
      <w:lvlText w:val="第%1章 "/>
      <w:lvlJc w:val="left"/>
      <w:pPr>
        <w:ind w:left="425" w:hanging="425"/>
      </w:pPr>
    </w:lvl>
    <w:lvl w:ilvl="1" w:tentative="0">
      <w:start w:val="1"/>
      <w:numFmt w:val="decimal"/>
      <w:pStyle w:val="4"/>
      <w:suff w:val="space"/>
      <w:lvlText w:val="%1.%2"/>
      <w:lvlJc w:val="left"/>
      <w:pPr>
        <w:ind w:left="992" w:hanging="822"/>
      </w:pPr>
      <w:rPr>
        <w:rFonts w:hint="eastAsia"/>
      </w:rPr>
    </w:lvl>
    <w:lvl w:ilvl="2" w:tentative="0">
      <w:start w:val="1"/>
      <w:numFmt w:val="decimal"/>
      <w:pStyle w:val="5"/>
      <w:suff w:val="space"/>
      <w:lvlText w:val="%1.%2.%3"/>
      <w:lvlJc w:val="left"/>
      <w:pPr>
        <w:ind w:left="1674" w:hanging="1248"/>
      </w:pPr>
      <w:rPr>
        <w:rFonts w:hint="default"/>
        <w:color w:val="auto"/>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8"/>
    <w:footnote w:id="9"/>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5957545"/>
    <w:rsid w:val="00076791"/>
    <w:rsid w:val="002C54C8"/>
    <w:rsid w:val="002C6CD8"/>
    <w:rsid w:val="002D0ED7"/>
    <w:rsid w:val="003E6BF2"/>
    <w:rsid w:val="00502390"/>
    <w:rsid w:val="00517E11"/>
    <w:rsid w:val="00544619"/>
    <w:rsid w:val="006735B4"/>
    <w:rsid w:val="00835B2F"/>
    <w:rsid w:val="00965083"/>
    <w:rsid w:val="00A06C97"/>
    <w:rsid w:val="00B005B5"/>
    <w:rsid w:val="00BE29C4"/>
    <w:rsid w:val="00CB7ADB"/>
    <w:rsid w:val="00D638EE"/>
    <w:rsid w:val="00D72F4B"/>
    <w:rsid w:val="00D94872"/>
    <w:rsid w:val="00F85127"/>
    <w:rsid w:val="00FB60AC"/>
    <w:rsid w:val="00FE03BC"/>
    <w:rsid w:val="010F2014"/>
    <w:rsid w:val="011B6997"/>
    <w:rsid w:val="012F7800"/>
    <w:rsid w:val="01301DA6"/>
    <w:rsid w:val="015654C1"/>
    <w:rsid w:val="015C48BA"/>
    <w:rsid w:val="01611351"/>
    <w:rsid w:val="016347D7"/>
    <w:rsid w:val="01791B12"/>
    <w:rsid w:val="017B429C"/>
    <w:rsid w:val="0186240D"/>
    <w:rsid w:val="018D1D97"/>
    <w:rsid w:val="019127B6"/>
    <w:rsid w:val="01956AAB"/>
    <w:rsid w:val="01957768"/>
    <w:rsid w:val="01980129"/>
    <w:rsid w:val="01A21D3D"/>
    <w:rsid w:val="01A377BE"/>
    <w:rsid w:val="01B97764"/>
    <w:rsid w:val="01BD0368"/>
    <w:rsid w:val="01C45058"/>
    <w:rsid w:val="01CA3F1A"/>
    <w:rsid w:val="01CF0D89"/>
    <w:rsid w:val="01D03B06"/>
    <w:rsid w:val="01F62F61"/>
    <w:rsid w:val="01F84CCA"/>
    <w:rsid w:val="01FC7DA6"/>
    <w:rsid w:val="01FD58CF"/>
    <w:rsid w:val="01FF0DD2"/>
    <w:rsid w:val="0204110C"/>
    <w:rsid w:val="02105DD0"/>
    <w:rsid w:val="02171CFC"/>
    <w:rsid w:val="02240E7F"/>
    <w:rsid w:val="022B7772"/>
    <w:rsid w:val="023575E5"/>
    <w:rsid w:val="02366D2D"/>
    <w:rsid w:val="023A54C3"/>
    <w:rsid w:val="02441F1E"/>
    <w:rsid w:val="024824CB"/>
    <w:rsid w:val="024E43D4"/>
    <w:rsid w:val="025078D7"/>
    <w:rsid w:val="02663F02"/>
    <w:rsid w:val="026E0D49"/>
    <w:rsid w:val="02A255CF"/>
    <w:rsid w:val="02B50726"/>
    <w:rsid w:val="02B7517C"/>
    <w:rsid w:val="02C06C91"/>
    <w:rsid w:val="02CA5022"/>
    <w:rsid w:val="02D74B40"/>
    <w:rsid w:val="02F74159"/>
    <w:rsid w:val="02F8266E"/>
    <w:rsid w:val="02FF17CC"/>
    <w:rsid w:val="03001C79"/>
    <w:rsid w:val="031E020B"/>
    <w:rsid w:val="03243133"/>
    <w:rsid w:val="032A2ABD"/>
    <w:rsid w:val="03393F93"/>
    <w:rsid w:val="03514D34"/>
    <w:rsid w:val="035D2013"/>
    <w:rsid w:val="0361314D"/>
    <w:rsid w:val="03633F1C"/>
    <w:rsid w:val="0364199E"/>
    <w:rsid w:val="036A38A7"/>
    <w:rsid w:val="036B669D"/>
    <w:rsid w:val="03830BB7"/>
    <w:rsid w:val="038E49F0"/>
    <w:rsid w:val="03906A9D"/>
    <w:rsid w:val="039931C3"/>
    <w:rsid w:val="03AD6745"/>
    <w:rsid w:val="03B739A6"/>
    <w:rsid w:val="03B81428"/>
    <w:rsid w:val="03BF0DB3"/>
    <w:rsid w:val="03C142B6"/>
    <w:rsid w:val="03C54999"/>
    <w:rsid w:val="03C758AC"/>
    <w:rsid w:val="03DB0660"/>
    <w:rsid w:val="03DD7F34"/>
    <w:rsid w:val="03EF297E"/>
    <w:rsid w:val="040C4504"/>
    <w:rsid w:val="041E464F"/>
    <w:rsid w:val="04210E57"/>
    <w:rsid w:val="042D4C6A"/>
    <w:rsid w:val="042E4BD3"/>
    <w:rsid w:val="043210F1"/>
    <w:rsid w:val="04483295"/>
    <w:rsid w:val="0460093C"/>
    <w:rsid w:val="04647342"/>
    <w:rsid w:val="047F596D"/>
    <w:rsid w:val="04884442"/>
    <w:rsid w:val="049D275A"/>
    <w:rsid w:val="04A01725"/>
    <w:rsid w:val="04A226AA"/>
    <w:rsid w:val="04A845B3"/>
    <w:rsid w:val="04B17441"/>
    <w:rsid w:val="04BE2ED4"/>
    <w:rsid w:val="04C63B63"/>
    <w:rsid w:val="04C70D83"/>
    <w:rsid w:val="04CA48BF"/>
    <w:rsid w:val="04CF69F1"/>
    <w:rsid w:val="04D319BC"/>
    <w:rsid w:val="04D87301"/>
    <w:rsid w:val="04DA12A0"/>
    <w:rsid w:val="04DB0285"/>
    <w:rsid w:val="04F62134"/>
    <w:rsid w:val="04F77BB6"/>
    <w:rsid w:val="04FB65BC"/>
    <w:rsid w:val="05043648"/>
    <w:rsid w:val="05161364"/>
    <w:rsid w:val="051E1FF4"/>
    <w:rsid w:val="05222BF8"/>
    <w:rsid w:val="052E47BF"/>
    <w:rsid w:val="052F448C"/>
    <w:rsid w:val="05313213"/>
    <w:rsid w:val="05340028"/>
    <w:rsid w:val="05467D5B"/>
    <w:rsid w:val="05575651"/>
    <w:rsid w:val="05627265"/>
    <w:rsid w:val="05642768"/>
    <w:rsid w:val="056E3078"/>
    <w:rsid w:val="056F0AF9"/>
    <w:rsid w:val="057F6DC9"/>
    <w:rsid w:val="058F525E"/>
    <w:rsid w:val="0596483F"/>
    <w:rsid w:val="059C28C2"/>
    <w:rsid w:val="05B5305B"/>
    <w:rsid w:val="05BD667A"/>
    <w:rsid w:val="05D71422"/>
    <w:rsid w:val="05D94925"/>
    <w:rsid w:val="05E1122E"/>
    <w:rsid w:val="05EC5B44"/>
    <w:rsid w:val="05F73ED5"/>
    <w:rsid w:val="05FE23E4"/>
    <w:rsid w:val="062A4F87"/>
    <w:rsid w:val="06316639"/>
    <w:rsid w:val="06370542"/>
    <w:rsid w:val="06380871"/>
    <w:rsid w:val="06435032"/>
    <w:rsid w:val="065347BE"/>
    <w:rsid w:val="065E4B7E"/>
    <w:rsid w:val="0678353E"/>
    <w:rsid w:val="068A52EB"/>
    <w:rsid w:val="069E2095"/>
    <w:rsid w:val="06AE1197"/>
    <w:rsid w:val="06AE2FA5"/>
    <w:rsid w:val="06C510AB"/>
    <w:rsid w:val="06CC0A96"/>
    <w:rsid w:val="06D73361"/>
    <w:rsid w:val="06DE5C58"/>
    <w:rsid w:val="06F2019A"/>
    <w:rsid w:val="06F772FB"/>
    <w:rsid w:val="06FE6C86"/>
    <w:rsid w:val="07196657"/>
    <w:rsid w:val="07215F41"/>
    <w:rsid w:val="07312958"/>
    <w:rsid w:val="074B6D85"/>
    <w:rsid w:val="07580619"/>
    <w:rsid w:val="077A1F3E"/>
    <w:rsid w:val="078C2E9A"/>
    <w:rsid w:val="07913C76"/>
    <w:rsid w:val="07AD65F9"/>
    <w:rsid w:val="07B07B81"/>
    <w:rsid w:val="07B27A2E"/>
    <w:rsid w:val="07B66435"/>
    <w:rsid w:val="07C531B9"/>
    <w:rsid w:val="07C60C4D"/>
    <w:rsid w:val="07CA07CF"/>
    <w:rsid w:val="07CB0958"/>
    <w:rsid w:val="07D268DD"/>
    <w:rsid w:val="07D337E6"/>
    <w:rsid w:val="07DC6755"/>
    <w:rsid w:val="07DE071F"/>
    <w:rsid w:val="07E43B00"/>
    <w:rsid w:val="07EB560A"/>
    <w:rsid w:val="07F52985"/>
    <w:rsid w:val="08013031"/>
    <w:rsid w:val="08122176"/>
    <w:rsid w:val="083245C7"/>
    <w:rsid w:val="08381BDD"/>
    <w:rsid w:val="083F0917"/>
    <w:rsid w:val="084127BF"/>
    <w:rsid w:val="084859A3"/>
    <w:rsid w:val="085602B5"/>
    <w:rsid w:val="0860304A"/>
    <w:rsid w:val="086C26E0"/>
    <w:rsid w:val="0873206B"/>
    <w:rsid w:val="0875556E"/>
    <w:rsid w:val="08793F74"/>
    <w:rsid w:val="087C4EF9"/>
    <w:rsid w:val="088210AA"/>
    <w:rsid w:val="08830C2D"/>
    <w:rsid w:val="088D2C15"/>
    <w:rsid w:val="089B79AC"/>
    <w:rsid w:val="08A96CC2"/>
    <w:rsid w:val="08B872DC"/>
    <w:rsid w:val="08BF5F3D"/>
    <w:rsid w:val="08C068E7"/>
    <w:rsid w:val="08C452ED"/>
    <w:rsid w:val="08C52D6F"/>
    <w:rsid w:val="08DD2784"/>
    <w:rsid w:val="08EA0DB0"/>
    <w:rsid w:val="08F11B50"/>
    <w:rsid w:val="08F63846"/>
    <w:rsid w:val="08F935C9"/>
    <w:rsid w:val="08F97D45"/>
    <w:rsid w:val="090A12E5"/>
    <w:rsid w:val="091D6C80"/>
    <w:rsid w:val="09565C33"/>
    <w:rsid w:val="095C1FE8"/>
    <w:rsid w:val="096D58B6"/>
    <w:rsid w:val="097048D6"/>
    <w:rsid w:val="09706A8B"/>
    <w:rsid w:val="09706D78"/>
    <w:rsid w:val="097163D3"/>
    <w:rsid w:val="09732517"/>
    <w:rsid w:val="0974768F"/>
    <w:rsid w:val="09770614"/>
    <w:rsid w:val="09844849"/>
    <w:rsid w:val="098766B0"/>
    <w:rsid w:val="098C2FDB"/>
    <w:rsid w:val="09C43F96"/>
    <w:rsid w:val="09C50325"/>
    <w:rsid w:val="09C5548B"/>
    <w:rsid w:val="09D54231"/>
    <w:rsid w:val="09E244F6"/>
    <w:rsid w:val="09EF6FD9"/>
    <w:rsid w:val="09F04A5A"/>
    <w:rsid w:val="09F359DF"/>
    <w:rsid w:val="0A110938"/>
    <w:rsid w:val="0A16051D"/>
    <w:rsid w:val="0A195A3E"/>
    <w:rsid w:val="0A360DE8"/>
    <w:rsid w:val="0A420FE1"/>
    <w:rsid w:val="0A49096C"/>
    <w:rsid w:val="0A4D7496"/>
    <w:rsid w:val="0A5A448A"/>
    <w:rsid w:val="0A7113D6"/>
    <w:rsid w:val="0A7315F2"/>
    <w:rsid w:val="0A791D37"/>
    <w:rsid w:val="0A7D5943"/>
    <w:rsid w:val="0A7E1D45"/>
    <w:rsid w:val="0A94336A"/>
    <w:rsid w:val="0A950697"/>
    <w:rsid w:val="0A9A2CF5"/>
    <w:rsid w:val="0A9F23E7"/>
    <w:rsid w:val="0AA20101"/>
    <w:rsid w:val="0AA91C8A"/>
    <w:rsid w:val="0AB100FE"/>
    <w:rsid w:val="0AB1211B"/>
    <w:rsid w:val="0AC6703C"/>
    <w:rsid w:val="0ACA5A42"/>
    <w:rsid w:val="0AD11E75"/>
    <w:rsid w:val="0ADA10BE"/>
    <w:rsid w:val="0AEA2F37"/>
    <w:rsid w:val="0AF81AF7"/>
    <w:rsid w:val="0AFB6211"/>
    <w:rsid w:val="0AFD3352"/>
    <w:rsid w:val="0B037212"/>
    <w:rsid w:val="0B073AE9"/>
    <w:rsid w:val="0B0F2CB4"/>
    <w:rsid w:val="0B1269BE"/>
    <w:rsid w:val="0B1400D3"/>
    <w:rsid w:val="0B1B0CC4"/>
    <w:rsid w:val="0B2D4462"/>
    <w:rsid w:val="0B3568A8"/>
    <w:rsid w:val="0B3B3792"/>
    <w:rsid w:val="0B47088F"/>
    <w:rsid w:val="0B4B7E79"/>
    <w:rsid w:val="0B51119F"/>
    <w:rsid w:val="0B574A70"/>
    <w:rsid w:val="0B635F2E"/>
    <w:rsid w:val="0B6463FF"/>
    <w:rsid w:val="0B7D12DC"/>
    <w:rsid w:val="0B7E0D69"/>
    <w:rsid w:val="0B8251F1"/>
    <w:rsid w:val="0B835EE6"/>
    <w:rsid w:val="0B8373EF"/>
    <w:rsid w:val="0B867FFD"/>
    <w:rsid w:val="0B9F5C1F"/>
    <w:rsid w:val="0BAB2B32"/>
    <w:rsid w:val="0BAF1538"/>
    <w:rsid w:val="0BB023D2"/>
    <w:rsid w:val="0BB0283D"/>
    <w:rsid w:val="0BB974D9"/>
    <w:rsid w:val="0BBA0B5B"/>
    <w:rsid w:val="0BDC3301"/>
    <w:rsid w:val="0BE1520A"/>
    <w:rsid w:val="0BE92617"/>
    <w:rsid w:val="0BEB139D"/>
    <w:rsid w:val="0BED0F30"/>
    <w:rsid w:val="0BEE6A9E"/>
    <w:rsid w:val="0BF04929"/>
    <w:rsid w:val="0C177D5B"/>
    <w:rsid w:val="0C1C1B6C"/>
    <w:rsid w:val="0C277EFD"/>
    <w:rsid w:val="0C2A0E82"/>
    <w:rsid w:val="0C322DE7"/>
    <w:rsid w:val="0C3E79DE"/>
    <w:rsid w:val="0C4068A9"/>
    <w:rsid w:val="0C410AA7"/>
    <w:rsid w:val="0C5919D1"/>
    <w:rsid w:val="0C5E3BDC"/>
    <w:rsid w:val="0C6008CA"/>
    <w:rsid w:val="0C746CE6"/>
    <w:rsid w:val="0C7A1F06"/>
    <w:rsid w:val="0C896A04"/>
    <w:rsid w:val="0C970E9C"/>
    <w:rsid w:val="0C984D39"/>
    <w:rsid w:val="0CA84FD3"/>
    <w:rsid w:val="0CBD33D0"/>
    <w:rsid w:val="0CC457FD"/>
    <w:rsid w:val="0CD67C16"/>
    <w:rsid w:val="0CE3096D"/>
    <w:rsid w:val="0CFA1A3F"/>
    <w:rsid w:val="0D041E6A"/>
    <w:rsid w:val="0D127C77"/>
    <w:rsid w:val="0D13677B"/>
    <w:rsid w:val="0D1A25C1"/>
    <w:rsid w:val="0D26201E"/>
    <w:rsid w:val="0D296826"/>
    <w:rsid w:val="0D2A0A24"/>
    <w:rsid w:val="0D3A4542"/>
    <w:rsid w:val="0D3F09CA"/>
    <w:rsid w:val="0D475DD6"/>
    <w:rsid w:val="0D4F1601"/>
    <w:rsid w:val="0D616980"/>
    <w:rsid w:val="0D63594E"/>
    <w:rsid w:val="0D662E08"/>
    <w:rsid w:val="0D815DD4"/>
    <w:rsid w:val="0D847672"/>
    <w:rsid w:val="0D884641"/>
    <w:rsid w:val="0D8D654B"/>
    <w:rsid w:val="0DA970D9"/>
    <w:rsid w:val="0DB22BD8"/>
    <w:rsid w:val="0DCC7B69"/>
    <w:rsid w:val="0DD643C0"/>
    <w:rsid w:val="0DE00553"/>
    <w:rsid w:val="0DE3083D"/>
    <w:rsid w:val="0DEC4366"/>
    <w:rsid w:val="0E25283D"/>
    <w:rsid w:val="0E26697C"/>
    <w:rsid w:val="0E351858"/>
    <w:rsid w:val="0E3C7F4D"/>
    <w:rsid w:val="0E5A4301"/>
    <w:rsid w:val="0E67321C"/>
    <w:rsid w:val="0E675CD8"/>
    <w:rsid w:val="0E6A4ABA"/>
    <w:rsid w:val="0E752FC5"/>
    <w:rsid w:val="0E927B6D"/>
    <w:rsid w:val="0E9438E5"/>
    <w:rsid w:val="0E9A3205"/>
    <w:rsid w:val="0EA84719"/>
    <w:rsid w:val="0EB90236"/>
    <w:rsid w:val="0EBA4751"/>
    <w:rsid w:val="0ECC12D1"/>
    <w:rsid w:val="0ECE05F4"/>
    <w:rsid w:val="0ED46862"/>
    <w:rsid w:val="0ED777E6"/>
    <w:rsid w:val="0EDD528C"/>
    <w:rsid w:val="0EEB1D0A"/>
    <w:rsid w:val="0EEE7BDE"/>
    <w:rsid w:val="0F1C24D9"/>
    <w:rsid w:val="0F216961"/>
    <w:rsid w:val="0F2365E1"/>
    <w:rsid w:val="0F242EBB"/>
    <w:rsid w:val="0F2478E6"/>
    <w:rsid w:val="0F42449F"/>
    <w:rsid w:val="0F476BA1"/>
    <w:rsid w:val="0F632C4E"/>
    <w:rsid w:val="0F6406CF"/>
    <w:rsid w:val="0F6B0AEA"/>
    <w:rsid w:val="0F6D7970"/>
    <w:rsid w:val="0F871B88"/>
    <w:rsid w:val="0F9B0829"/>
    <w:rsid w:val="0FB2044E"/>
    <w:rsid w:val="0FC07764"/>
    <w:rsid w:val="0FC33F6C"/>
    <w:rsid w:val="0FCF1F7D"/>
    <w:rsid w:val="0FCF4DEF"/>
    <w:rsid w:val="0FD2175C"/>
    <w:rsid w:val="0FD53874"/>
    <w:rsid w:val="0FD73BBF"/>
    <w:rsid w:val="0FE850A5"/>
    <w:rsid w:val="0FEB18AD"/>
    <w:rsid w:val="0FEF78DB"/>
    <w:rsid w:val="0FF07438"/>
    <w:rsid w:val="0FFC1742"/>
    <w:rsid w:val="100833DB"/>
    <w:rsid w:val="10254F0A"/>
    <w:rsid w:val="10294055"/>
    <w:rsid w:val="102E370D"/>
    <w:rsid w:val="10327F45"/>
    <w:rsid w:val="10343EAB"/>
    <w:rsid w:val="105337CE"/>
    <w:rsid w:val="10534754"/>
    <w:rsid w:val="105A7962"/>
    <w:rsid w:val="10655CF3"/>
    <w:rsid w:val="106A1358"/>
    <w:rsid w:val="107240FA"/>
    <w:rsid w:val="107E469F"/>
    <w:rsid w:val="10815624"/>
    <w:rsid w:val="10AA5163"/>
    <w:rsid w:val="10B36C33"/>
    <w:rsid w:val="10BC0900"/>
    <w:rsid w:val="10BE4C49"/>
    <w:rsid w:val="10E20B40"/>
    <w:rsid w:val="10EE1DD4"/>
    <w:rsid w:val="10F26BDC"/>
    <w:rsid w:val="10FD4EE8"/>
    <w:rsid w:val="11186A50"/>
    <w:rsid w:val="111E2F24"/>
    <w:rsid w:val="111F3CDF"/>
    <w:rsid w:val="112A0F34"/>
    <w:rsid w:val="112C42A9"/>
    <w:rsid w:val="11440BE5"/>
    <w:rsid w:val="114875EB"/>
    <w:rsid w:val="115D0906"/>
    <w:rsid w:val="1169516F"/>
    <w:rsid w:val="1172419E"/>
    <w:rsid w:val="118C0FD9"/>
    <w:rsid w:val="11C444E1"/>
    <w:rsid w:val="11E626AA"/>
    <w:rsid w:val="11E84A5C"/>
    <w:rsid w:val="11F41C82"/>
    <w:rsid w:val="120D5E88"/>
    <w:rsid w:val="12131ED0"/>
    <w:rsid w:val="12217BA7"/>
    <w:rsid w:val="12323B41"/>
    <w:rsid w:val="12500D17"/>
    <w:rsid w:val="12681C41"/>
    <w:rsid w:val="127174C9"/>
    <w:rsid w:val="128679E9"/>
    <w:rsid w:val="128F4AEF"/>
    <w:rsid w:val="12912C55"/>
    <w:rsid w:val="12A2529E"/>
    <w:rsid w:val="12B17685"/>
    <w:rsid w:val="12D312F0"/>
    <w:rsid w:val="12D36A89"/>
    <w:rsid w:val="12D547F3"/>
    <w:rsid w:val="12DB66FD"/>
    <w:rsid w:val="12F17558"/>
    <w:rsid w:val="12F85CAD"/>
    <w:rsid w:val="134553DB"/>
    <w:rsid w:val="13456506"/>
    <w:rsid w:val="134947B2"/>
    <w:rsid w:val="1363315E"/>
    <w:rsid w:val="136A4CE7"/>
    <w:rsid w:val="136D0956"/>
    <w:rsid w:val="137F4C8C"/>
    <w:rsid w:val="138D3FA2"/>
    <w:rsid w:val="138E5DF7"/>
    <w:rsid w:val="138E61A0"/>
    <w:rsid w:val="13B011C1"/>
    <w:rsid w:val="13B43E61"/>
    <w:rsid w:val="13BA1693"/>
    <w:rsid w:val="13C775FF"/>
    <w:rsid w:val="13C92283"/>
    <w:rsid w:val="13D07F0E"/>
    <w:rsid w:val="13D7311C"/>
    <w:rsid w:val="13DC21E9"/>
    <w:rsid w:val="13E3112D"/>
    <w:rsid w:val="13EB1DBD"/>
    <w:rsid w:val="13F07810"/>
    <w:rsid w:val="141D5191"/>
    <w:rsid w:val="14270E79"/>
    <w:rsid w:val="143376FC"/>
    <w:rsid w:val="143D2AC1"/>
    <w:rsid w:val="143D6344"/>
    <w:rsid w:val="144E65DE"/>
    <w:rsid w:val="145533A6"/>
    <w:rsid w:val="14592223"/>
    <w:rsid w:val="145B0A18"/>
    <w:rsid w:val="147B3C2A"/>
    <w:rsid w:val="147C5547"/>
    <w:rsid w:val="1480482F"/>
    <w:rsid w:val="14967D9B"/>
    <w:rsid w:val="149A2E5A"/>
    <w:rsid w:val="14AF1AFB"/>
    <w:rsid w:val="14BB6B5A"/>
    <w:rsid w:val="14BB6C12"/>
    <w:rsid w:val="14C03686"/>
    <w:rsid w:val="14C15298"/>
    <w:rsid w:val="14D013EF"/>
    <w:rsid w:val="14E4459F"/>
    <w:rsid w:val="14F55AF2"/>
    <w:rsid w:val="14FA4B3D"/>
    <w:rsid w:val="15000793"/>
    <w:rsid w:val="15016082"/>
    <w:rsid w:val="150C1E94"/>
    <w:rsid w:val="151350A2"/>
    <w:rsid w:val="151472A1"/>
    <w:rsid w:val="15200B35"/>
    <w:rsid w:val="15242DBE"/>
    <w:rsid w:val="152D239E"/>
    <w:rsid w:val="15314652"/>
    <w:rsid w:val="15360ADA"/>
    <w:rsid w:val="153E27FD"/>
    <w:rsid w:val="153E3968"/>
    <w:rsid w:val="15406575"/>
    <w:rsid w:val="1543751C"/>
    <w:rsid w:val="15481E95"/>
    <w:rsid w:val="154A2AFE"/>
    <w:rsid w:val="15535E8C"/>
    <w:rsid w:val="15595889"/>
    <w:rsid w:val="156A222E"/>
    <w:rsid w:val="157C59CB"/>
    <w:rsid w:val="159059A3"/>
    <w:rsid w:val="159A07FF"/>
    <w:rsid w:val="15A755DB"/>
    <w:rsid w:val="15AA689B"/>
    <w:rsid w:val="15B13CA7"/>
    <w:rsid w:val="15B82D37"/>
    <w:rsid w:val="15BC35D5"/>
    <w:rsid w:val="15C95ACB"/>
    <w:rsid w:val="15CC22D2"/>
    <w:rsid w:val="15CF1017"/>
    <w:rsid w:val="15D53161"/>
    <w:rsid w:val="15D95D65"/>
    <w:rsid w:val="15E20BF3"/>
    <w:rsid w:val="15E82AFC"/>
    <w:rsid w:val="15EA5FFF"/>
    <w:rsid w:val="15EB7304"/>
    <w:rsid w:val="15EC1502"/>
    <w:rsid w:val="15F34710"/>
    <w:rsid w:val="16007AB2"/>
    <w:rsid w:val="160240B2"/>
    <w:rsid w:val="161A0A0A"/>
    <w:rsid w:val="162D35F1"/>
    <w:rsid w:val="16452E96"/>
    <w:rsid w:val="16604D44"/>
    <w:rsid w:val="166127C6"/>
    <w:rsid w:val="166444E5"/>
    <w:rsid w:val="16757756"/>
    <w:rsid w:val="1676568C"/>
    <w:rsid w:val="168461FE"/>
    <w:rsid w:val="16BE72DC"/>
    <w:rsid w:val="16C90EC2"/>
    <w:rsid w:val="16CA6849"/>
    <w:rsid w:val="16E41182"/>
    <w:rsid w:val="170E6162"/>
    <w:rsid w:val="171325EA"/>
    <w:rsid w:val="17173305"/>
    <w:rsid w:val="172B7C90"/>
    <w:rsid w:val="17365E81"/>
    <w:rsid w:val="174F2D59"/>
    <w:rsid w:val="175233D3"/>
    <w:rsid w:val="175A39C5"/>
    <w:rsid w:val="175D1764"/>
    <w:rsid w:val="176E7480"/>
    <w:rsid w:val="1788002A"/>
    <w:rsid w:val="17A62E5D"/>
    <w:rsid w:val="17C61AAD"/>
    <w:rsid w:val="17DA5C0D"/>
    <w:rsid w:val="17DE54CF"/>
    <w:rsid w:val="17DF2075"/>
    <w:rsid w:val="17E4768B"/>
    <w:rsid w:val="17F45028"/>
    <w:rsid w:val="17FA1DF6"/>
    <w:rsid w:val="17FA7064"/>
    <w:rsid w:val="17FD699F"/>
    <w:rsid w:val="17FF34EC"/>
    <w:rsid w:val="18000F6D"/>
    <w:rsid w:val="18185587"/>
    <w:rsid w:val="181861AD"/>
    <w:rsid w:val="18243F2C"/>
    <w:rsid w:val="18297BB3"/>
    <w:rsid w:val="183D2FD1"/>
    <w:rsid w:val="184503DD"/>
    <w:rsid w:val="18567E5D"/>
    <w:rsid w:val="185773FE"/>
    <w:rsid w:val="186500A0"/>
    <w:rsid w:val="18673A10"/>
    <w:rsid w:val="18721A3A"/>
    <w:rsid w:val="188B43D5"/>
    <w:rsid w:val="18A82680"/>
    <w:rsid w:val="18BC03B7"/>
    <w:rsid w:val="18C1559F"/>
    <w:rsid w:val="18E44A63"/>
    <w:rsid w:val="18E55D68"/>
    <w:rsid w:val="18F31102"/>
    <w:rsid w:val="18F57676"/>
    <w:rsid w:val="19037516"/>
    <w:rsid w:val="191044B0"/>
    <w:rsid w:val="191120AF"/>
    <w:rsid w:val="19155232"/>
    <w:rsid w:val="192B3DED"/>
    <w:rsid w:val="193B5E3E"/>
    <w:rsid w:val="193C2C11"/>
    <w:rsid w:val="19436102"/>
    <w:rsid w:val="19472589"/>
    <w:rsid w:val="19492209"/>
    <w:rsid w:val="195C5947"/>
    <w:rsid w:val="197A4834"/>
    <w:rsid w:val="198310E9"/>
    <w:rsid w:val="19877AF0"/>
    <w:rsid w:val="19962308"/>
    <w:rsid w:val="19AB6A2A"/>
    <w:rsid w:val="19B95627"/>
    <w:rsid w:val="19BE7C49"/>
    <w:rsid w:val="19CC6212"/>
    <w:rsid w:val="19EA6CD0"/>
    <w:rsid w:val="19EF621A"/>
    <w:rsid w:val="1A111C52"/>
    <w:rsid w:val="1A162B22"/>
    <w:rsid w:val="1A196431"/>
    <w:rsid w:val="1A420223"/>
    <w:rsid w:val="1A4A57A0"/>
    <w:rsid w:val="1A4C059F"/>
    <w:rsid w:val="1A6920CA"/>
    <w:rsid w:val="1A6C6538"/>
    <w:rsid w:val="1A757778"/>
    <w:rsid w:val="1A7C5731"/>
    <w:rsid w:val="1A861C11"/>
    <w:rsid w:val="1A937147"/>
    <w:rsid w:val="1A985E70"/>
    <w:rsid w:val="1AA9696A"/>
    <w:rsid w:val="1AB104D7"/>
    <w:rsid w:val="1AB86BAD"/>
    <w:rsid w:val="1AC9700C"/>
    <w:rsid w:val="1ACB68E1"/>
    <w:rsid w:val="1AD47792"/>
    <w:rsid w:val="1AE47A2C"/>
    <w:rsid w:val="1AF31906"/>
    <w:rsid w:val="1AF75E81"/>
    <w:rsid w:val="1AFA1BD0"/>
    <w:rsid w:val="1B076CE7"/>
    <w:rsid w:val="1B0A43E8"/>
    <w:rsid w:val="1B1639D5"/>
    <w:rsid w:val="1B1736FE"/>
    <w:rsid w:val="1B1A7868"/>
    <w:rsid w:val="1B1F0B0A"/>
    <w:rsid w:val="1B32070E"/>
    <w:rsid w:val="1B375D24"/>
    <w:rsid w:val="1B572F6A"/>
    <w:rsid w:val="1B635D7C"/>
    <w:rsid w:val="1B6F5412"/>
    <w:rsid w:val="1B8340B2"/>
    <w:rsid w:val="1B8B42C2"/>
    <w:rsid w:val="1B981220"/>
    <w:rsid w:val="1BA16EE5"/>
    <w:rsid w:val="1BA36B65"/>
    <w:rsid w:val="1BA55326"/>
    <w:rsid w:val="1BA82FED"/>
    <w:rsid w:val="1BD702B9"/>
    <w:rsid w:val="1BD712B5"/>
    <w:rsid w:val="1BD8246D"/>
    <w:rsid w:val="1BD9703F"/>
    <w:rsid w:val="1BDA4AC1"/>
    <w:rsid w:val="1BE54009"/>
    <w:rsid w:val="1BEC025E"/>
    <w:rsid w:val="1C0227D6"/>
    <w:rsid w:val="1C045905"/>
    <w:rsid w:val="1C167AAF"/>
    <w:rsid w:val="1C2638BB"/>
    <w:rsid w:val="1C2954F1"/>
    <w:rsid w:val="1C3309D3"/>
    <w:rsid w:val="1C363B56"/>
    <w:rsid w:val="1C4C2ABD"/>
    <w:rsid w:val="1C5D147A"/>
    <w:rsid w:val="1C6F14EE"/>
    <w:rsid w:val="1C7601C2"/>
    <w:rsid w:val="1C9D2600"/>
    <w:rsid w:val="1CC26FBD"/>
    <w:rsid w:val="1CC40F97"/>
    <w:rsid w:val="1CCA15F3"/>
    <w:rsid w:val="1CCC4B92"/>
    <w:rsid w:val="1CD63A5F"/>
    <w:rsid w:val="1CEC5C03"/>
    <w:rsid w:val="1D035828"/>
    <w:rsid w:val="1D0E6058"/>
    <w:rsid w:val="1D1012BA"/>
    <w:rsid w:val="1D1E1B46"/>
    <w:rsid w:val="1D22285A"/>
    <w:rsid w:val="1D345FF7"/>
    <w:rsid w:val="1D3D5BF4"/>
    <w:rsid w:val="1D4B5C1C"/>
    <w:rsid w:val="1D632E00"/>
    <w:rsid w:val="1D6A64D1"/>
    <w:rsid w:val="1D74500E"/>
    <w:rsid w:val="1D767D65"/>
    <w:rsid w:val="1D885A81"/>
    <w:rsid w:val="1D903E12"/>
    <w:rsid w:val="1D943B13"/>
    <w:rsid w:val="1D954D97"/>
    <w:rsid w:val="1D99379D"/>
    <w:rsid w:val="1DA578BD"/>
    <w:rsid w:val="1DAA4ED3"/>
    <w:rsid w:val="1DAD6826"/>
    <w:rsid w:val="1DB51745"/>
    <w:rsid w:val="1DD26DCC"/>
    <w:rsid w:val="1DDA4A1C"/>
    <w:rsid w:val="1DDC6BA8"/>
    <w:rsid w:val="1DE37094"/>
    <w:rsid w:val="1DE55E1B"/>
    <w:rsid w:val="1DEB7D24"/>
    <w:rsid w:val="1DFE6FCD"/>
    <w:rsid w:val="1E110131"/>
    <w:rsid w:val="1E146D3B"/>
    <w:rsid w:val="1E161E6D"/>
    <w:rsid w:val="1E1B62F5"/>
    <w:rsid w:val="1E1F4CFB"/>
    <w:rsid w:val="1E2101FE"/>
    <w:rsid w:val="1E235CBD"/>
    <w:rsid w:val="1E26152B"/>
    <w:rsid w:val="1E2F2CF8"/>
    <w:rsid w:val="1E3B5525"/>
    <w:rsid w:val="1E48596F"/>
    <w:rsid w:val="1E4C5F8A"/>
    <w:rsid w:val="1E66766E"/>
    <w:rsid w:val="1E7159FF"/>
    <w:rsid w:val="1E775389"/>
    <w:rsid w:val="1E7D7293"/>
    <w:rsid w:val="1E7F0598"/>
    <w:rsid w:val="1E81151C"/>
    <w:rsid w:val="1E902C0F"/>
    <w:rsid w:val="1E913D35"/>
    <w:rsid w:val="1EA44ED2"/>
    <w:rsid w:val="1EA55CBB"/>
    <w:rsid w:val="1EB606F1"/>
    <w:rsid w:val="1EB7274A"/>
    <w:rsid w:val="1EBD6A32"/>
    <w:rsid w:val="1EC7098C"/>
    <w:rsid w:val="1EC7640D"/>
    <w:rsid w:val="1EDE1A0F"/>
    <w:rsid w:val="1EDF6D85"/>
    <w:rsid w:val="1EE324BA"/>
    <w:rsid w:val="1EE47F3C"/>
    <w:rsid w:val="1EF36406"/>
    <w:rsid w:val="1F050471"/>
    <w:rsid w:val="1F166F36"/>
    <w:rsid w:val="1F192994"/>
    <w:rsid w:val="1F1A5639"/>
    <w:rsid w:val="1F3A674C"/>
    <w:rsid w:val="1F3B094B"/>
    <w:rsid w:val="1F4934E4"/>
    <w:rsid w:val="1F530794"/>
    <w:rsid w:val="1F615307"/>
    <w:rsid w:val="1F6B6F1B"/>
    <w:rsid w:val="1F737B21"/>
    <w:rsid w:val="1F7E7D75"/>
    <w:rsid w:val="1F861028"/>
    <w:rsid w:val="1F86727A"/>
    <w:rsid w:val="1F8F03D5"/>
    <w:rsid w:val="1FBD34A2"/>
    <w:rsid w:val="1FC32C93"/>
    <w:rsid w:val="1FD06747"/>
    <w:rsid w:val="1FD81ACE"/>
    <w:rsid w:val="1FDB59FD"/>
    <w:rsid w:val="201605FE"/>
    <w:rsid w:val="201B383C"/>
    <w:rsid w:val="202A5E57"/>
    <w:rsid w:val="202D3756"/>
    <w:rsid w:val="20330EE3"/>
    <w:rsid w:val="2040567B"/>
    <w:rsid w:val="204B0788"/>
    <w:rsid w:val="204F1D62"/>
    <w:rsid w:val="20533996"/>
    <w:rsid w:val="20535F35"/>
    <w:rsid w:val="2074194C"/>
    <w:rsid w:val="20795DD4"/>
    <w:rsid w:val="207F634B"/>
    <w:rsid w:val="208479E8"/>
    <w:rsid w:val="2091237A"/>
    <w:rsid w:val="20970C07"/>
    <w:rsid w:val="20972396"/>
    <w:rsid w:val="20AD2C5F"/>
    <w:rsid w:val="20B6067F"/>
    <w:rsid w:val="20B87907"/>
    <w:rsid w:val="20DC5E78"/>
    <w:rsid w:val="20DD55C0"/>
    <w:rsid w:val="20E40D06"/>
    <w:rsid w:val="20E92EC4"/>
    <w:rsid w:val="20ED5D93"/>
    <w:rsid w:val="20FF1092"/>
    <w:rsid w:val="21004DB3"/>
    <w:rsid w:val="21035D38"/>
    <w:rsid w:val="210D0846"/>
    <w:rsid w:val="21222D6A"/>
    <w:rsid w:val="212E1977"/>
    <w:rsid w:val="21375B72"/>
    <w:rsid w:val="21461CA4"/>
    <w:rsid w:val="215025B4"/>
    <w:rsid w:val="216043C0"/>
    <w:rsid w:val="21657C15"/>
    <w:rsid w:val="216721D9"/>
    <w:rsid w:val="216E63D5"/>
    <w:rsid w:val="21772473"/>
    <w:rsid w:val="217E5682"/>
    <w:rsid w:val="21921F06"/>
    <w:rsid w:val="2193671F"/>
    <w:rsid w:val="21B45B5C"/>
    <w:rsid w:val="21BF102A"/>
    <w:rsid w:val="21C24974"/>
    <w:rsid w:val="21C347B6"/>
    <w:rsid w:val="21CE54A8"/>
    <w:rsid w:val="21D02A2F"/>
    <w:rsid w:val="21D5280D"/>
    <w:rsid w:val="21DD349D"/>
    <w:rsid w:val="21EC3348"/>
    <w:rsid w:val="21F04E5C"/>
    <w:rsid w:val="21FC5F50"/>
    <w:rsid w:val="220B1CB9"/>
    <w:rsid w:val="2210107D"/>
    <w:rsid w:val="221413F8"/>
    <w:rsid w:val="22151078"/>
    <w:rsid w:val="22225F0A"/>
    <w:rsid w:val="222C1EFB"/>
    <w:rsid w:val="223B5B80"/>
    <w:rsid w:val="2241392C"/>
    <w:rsid w:val="22494FF3"/>
    <w:rsid w:val="22521696"/>
    <w:rsid w:val="225418B2"/>
    <w:rsid w:val="22575365"/>
    <w:rsid w:val="22803FAB"/>
    <w:rsid w:val="22811DCA"/>
    <w:rsid w:val="228B6AB8"/>
    <w:rsid w:val="2297614E"/>
    <w:rsid w:val="22B1477A"/>
    <w:rsid w:val="22E03145"/>
    <w:rsid w:val="22E177D9"/>
    <w:rsid w:val="22EE5862"/>
    <w:rsid w:val="23040BE2"/>
    <w:rsid w:val="2309444A"/>
    <w:rsid w:val="2312222F"/>
    <w:rsid w:val="23133519"/>
    <w:rsid w:val="233911DB"/>
    <w:rsid w:val="233E3694"/>
    <w:rsid w:val="23426D25"/>
    <w:rsid w:val="23426EE9"/>
    <w:rsid w:val="23542847"/>
    <w:rsid w:val="23626B1C"/>
    <w:rsid w:val="236751A2"/>
    <w:rsid w:val="23827050"/>
    <w:rsid w:val="2393640A"/>
    <w:rsid w:val="239A6C76"/>
    <w:rsid w:val="239B2179"/>
    <w:rsid w:val="23A21B04"/>
    <w:rsid w:val="23BF3632"/>
    <w:rsid w:val="23CC1A2B"/>
    <w:rsid w:val="23D52A7A"/>
    <w:rsid w:val="23D66502"/>
    <w:rsid w:val="23DB2F62"/>
    <w:rsid w:val="23E03B67"/>
    <w:rsid w:val="23EC3B4C"/>
    <w:rsid w:val="23FE699A"/>
    <w:rsid w:val="23FF584D"/>
    <w:rsid w:val="24032E22"/>
    <w:rsid w:val="24082B2D"/>
    <w:rsid w:val="24084D2B"/>
    <w:rsid w:val="241059BB"/>
    <w:rsid w:val="24117BB9"/>
    <w:rsid w:val="241E3F25"/>
    <w:rsid w:val="242236D7"/>
    <w:rsid w:val="243B09FD"/>
    <w:rsid w:val="24487A08"/>
    <w:rsid w:val="24526424"/>
    <w:rsid w:val="24545B99"/>
    <w:rsid w:val="24585DAF"/>
    <w:rsid w:val="245A4A6F"/>
    <w:rsid w:val="2472475B"/>
    <w:rsid w:val="24863878"/>
    <w:rsid w:val="24A061A3"/>
    <w:rsid w:val="24A106B2"/>
    <w:rsid w:val="24A3442A"/>
    <w:rsid w:val="24DA7BC0"/>
    <w:rsid w:val="24E10292"/>
    <w:rsid w:val="24F13E55"/>
    <w:rsid w:val="24FE1C21"/>
    <w:rsid w:val="250732A1"/>
    <w:rsid w:val="25076767"/>
    <w:rsid w:val="253A156C"/>
    <w:rsid w:val="254E2E44"/>
    <w:rsid w:val="254F08C6"/>
    <w:rsid w:val="25544D4D"/>
    <w:rsid w:val="255549CD"/>
    <w:rsid w:val="255D2751"/>
    <w:rsid w:val="255D7BDB"/>
    <w:rsid w:val="255F4BB4"/>
    <w:rsid w:val="25602D5E"/>
    <w:rsid w:val="25675F6C"/>
    <w:rsid w:val="2571687C"/>
    <w:rsid w:val="257D488D"/>
    <w:rsid w:val="25804B6B"/>
    <w:rsid w:val="25891872"/>
    <w:rsid w:val="25893F23"/>
    <w:rsid w:val="25924832"/>
    <w:rsid w:val="25973F8F"/>
    <w:rsid w:val="259809DB"/>
    <w:rsid w:val="259A0181"/>
    <w:rsid w:val="25A15886"/>
    <w:rsid w:val="25A70F54"/>
    <w:rsid w:val="25A97AD1"/>
    <w:rsid w:val="25AB795A"/>
    <w:rsid w:val="25AD66BE"/>
    <w:rsid w:val="25B276F2"/>
    <w:rsid w:val="25BA1782"/>
    <w:rsid w:val="25C25381"/>
    <w:rsid w:val="25C7239A"/>
    <w:rsid w:val="25CA6E7B"/>
    <w:rsid w:val="25CB19DA"/>
    <w:rsid w:val="25CB28DB"/>
    <w:rsid w:val="25F74556"/>
    <w:rsid w:val="260158AC"/>
    <w:rsid w:val="26031625"/>
    <w:rsid w:val="260D66FA"/>
    <w:rsid w:val="26103D41"/>
    <w:rsid w:val="2623089E"/>
    <w:rsid w:val="26310B88"/>
    <w:rsid w:val="263E274C"/>
    <w:rsid w:val="26467B59"/>
    <w:rsid w:val="264E3392"/>
    <w:rsid w:val="26551754"/>
    <w:rsid w:val="26613C06"/>
    <w:rsid w:val="26931E56"/>
    <w:rsid w:val="26A83F7A"/>
    <w:rsid w:val="26BC28DE"/>
    <w:rsid w:val="26CD0D37"/>
    <w:rsid w:val="26E92BE5"/>
    <w:rsid w:val="26F03ABB"/>
    <w:rsid w:val="26F176CF"/>
    <w:rsid w:val="26FE3B9A"/>
    <w:rsid w:val="27125FA8"/>
    <w:rsid w:val="27391F35"/>
    <w:rsid w:val="27393C69"/>
    <w:rsid w:val="273D765A"/>
    <w:rsid w:val="274E2D73"/>
    <w:rsid w:val="27561C28"/>
    <w:rsid w:val="27680F35"/>
    <w:rsid w:val="276E0D20"/>
    <w:rsid w:val="27862302"/>
    <w:rsid w:val="2795508D"/>
    <w:rsid w:val="279D5B8C"/>
    <w:rsid w:val="27C13545"/>
    <w:rsid w:val="27FF34BF"/>
    <w:rsid w:val="28094EEC"/>
    <w:rsid w:val="281C3EDC"/>
    <w:rsid w:val="284614D8"/>
    <w:rsid w:val="2846729E"/>
    <w:rsid w:val="285C501C"/>
    <w:rsid w:val="28657B53"/>
    <w:rsid w:val="28691DDD"/>
    <w:rsid w:val="286B1A5C"/>
    <w:rsid w:val="2886390B"/>
    <w:rsid w:val="288C7A13"/>
    <w:rsid w:val="288D25A6"/>
    <w:rsid w:val="2896616C"/>
    <w:rsid w:val="289B740D"/>
    <w:rsid w:val="289F315B"/>
    <w:rsid w:val="28A01DEF"/>
    <w:rsid w:val="28B27C52"/>
    <w:rsid w:val="28BA3E25"/>
    <w:rsid w:val="28DE0127"/>
    <w:rsid w:val="28EC2844"/>
    <w:rsid w:val="28ED5E2B"/>
    <w:rsid w:val="28F803C7"/>
    <w:rsid w:val="290A60E3"/>
    <w:rsid w:val="290F02E0"/>
    <w:rsid w:val="291C15C9"/>
    <w:rsid w:val="291C47AB"/>
    <w:rsid w:val="291E69B1"/>
    <w:rsid w:val="292A6EC8"/>
    <w:rsid w:val="292C0E92"/>
    <w:rsid w:val="293272A7"/>
    <w:rsid w:val="2940049A"/>
    <w:rsid w:val="294651A0"/>
    <w:rsid w:val="294C5091"/>
    <w:rsid w:val="294E49AE"/>
    <w:rsid w:val="295142D9"/>
    <w:rsid w:val="296315D6"/>
    <w:rsid w:val="296C328C"/>
    <w:rsid w:val="296D4B02"/>
    <w:rsid w:val="29703508"/>
    <w:rsid w:val="29724362"/>
    <w:rsid w:val="297C731B"/>
    <w:rsid w:val="29863270"/>
    <w:rsid w:val="29947356"/>
    <w:rsid w:val="29B87CEA"/>
    <w:rsid w:val="29B906EA"/>
    <w:rsid w:val="29CA4B8D"/>
    <w:rsid w:val="29D22ED3"/>
    <w:rsid w:val="29D4102F"/>
    <w:rsid w:val="29D551AF"/>
    <w:rsid w:val="29E14AC1"/>
    <w:rsid w:val="29FB5539"/>
    <w:rsid w:val="29FC1D70"/>
    <w:rsid w:val="2A0B0AA8"/>
    <w:rsid w:val="2A0E7F0F"/>
    <w:rsid w:val="2A0F210D"/>
    <w:rsid w:val="2A19034C"/>
    <w:rsid w:val="2A207E29"/>
    <w:rsid w:val="2A296D7F"/>
    <w:rsid w:val="2A3732D1"/>
    <w:rsid w:val="2A467098"/>
    <w:rsid w:val="2A4B1F72"/>
    <w:rsid w:val="2A5606D7"/>
    <w:rsid w:val="2A575D85"/>
    <w:rsid w:val="2A5C57A7"/>
    <w:rsid w:val="2A62379F"/>
    <w:rsid w:val="2A67601F"/>
    <w:rsid w:val="2A756869"/>
    <w:rsid w:val="2A7A723E"/>
    <w:rsid w:val="2A886554"/>
    <w:rsid w:val="2A8B3997"/>
    <w:rsid w:val="2A916E63"/>
    <w:rsid w:val="2A9226E6"/>
    <w:rsid w:val="2A924D25"/>
    <w:rsid w:val="2A996AEF"/>
    <w:rsid w:val="2A9B2FF6"/>
    <w:rsid w:val="2A9F7442"/>
    <w:rsid w:val="2AA270FE"/>
    <w:rsid w:val="2AB033FD"/>
    <w:rsid w:val="2AB61621"/>
    <w:rsid w:val="2AC12920"/>
    <w:rsid w:val="2AE632C3"/>
    <w:rsid w:val="2AF66B88"/>
    <w:rsid w:val="2B0471A2"/>
    <w:rsid w:val="2B084612"/>
    <w:rsid w:val="2B157704"/>
    <w:rsid w:val="2B3B187A"/>
    <w:rsid w:val="2B3C3BE4"/>
    <w:rsid w:val="2B4A6612"/>
    <w:rsid w:val="2B621401"/>
    <w:rsid w:val="2B696EC7"/>
    <w:rsid w:val="2B817C7B"/>
    <w:rsid w:val="2B9B099A"/>
    <w:rsid w:val="2B9F3B9D"/>
    <w:rsid w:val="2B9F687E"/>
    <w:rsid w:val="2BA37FA5"/>
    <w:rsid w:val="2BA61558"/>
    <w:rsid w:val="2BAA0672"/>
    <w:rsid w:val="2BBB64FD"/>
    <w:rsid w:val="2BC95556"/>
    <w:rsid w:val="2BCF3D57"/>
    <w:rsid w:val="2BD51BDA"/>
    <w:rsid w:val="2BD63C77"/>
    <w:rsid w:val="2BE12008"/>
    <w:rsid w:val="2BE13AE1"/>
    <w:rsid w:val="2BE45A54"/>
    <w:rsid w:val="2BE5357A"/>
    <w:rsid w:val="2BF37A45"/>
    <w:rsid w:val="2BFA7026"/>
    <w:rsid w:val="2C0016AF"/>
    <w:rsid w:val="2C075ACB"/>
    <w:rsid w:val="2C08354D"/>
    <w:rsid w:val="2C09011C"/>
    <w:rsid w:val="2C0B28F8"/>
    <w:rsid w:val="2C1B0EE8"/>
    <w:rsid w:val="2C1C252C"/>
    <w:rsid w:val="2C1E78EF"/>
    <w:rsid w:val="2C3F6028"/>
    <w:rsid w:val="2C584F53"/>
    <w:rsid w:val="2C6A44EB"/>
    <w:rsid w:val="2C7176F9"/>
    <w:rsid w:val="2C837613"/>
    <w:rsid w:val="2CA12446"/>
    <w:rsid w:val="2CB35BE4"/>
    <w:rsid w:val="2CC755B5"/>
    <w:rsid w:val="2CCC21A0"/>
    <w:rsid w:val="2CD20350"/>
    <w:rsid w:val="2CF33142"/>
    <w:rsid w:val="2CFD14DB"/>
    <w:rsid w:val="2D040371"/>
    <w:rsid w:val="2D061DEB"/>
    <w:rsid w:val="2D092D6F"/>
    <w:rsid w:val="2D0B6272"/>
    <w:rsid w:val="2D0E71F7"/>
    <w:rsid w:val="2D105609"/>
    <w:rsid w:val="2D141100"/>
    <w:rsid w:val="2D190E0B"/>
    <w:rsid w:val="2D1A7254"/>
    <w:rsid w:val="2D376058"/>
    <w:rsid w:val="2D6F5F97"/>
    <w:rsid w:val="2D7D7F0E"/>
    <w:rsid w:val="2D946DE9"/>
    <w:rsid w:val="2D953FD8"/>
    <w:rsid w:val="2D9D6E66"/>
    <w:rsid w:val="2DA07759"/>
    <w:rsid w:val="2DA61CF4"/>
    <w:rsid w:val="2DA94E77"/>
    <w:rsid w:val="2DB4438A"/>
    <w:rsid w:val="2DB7418D"/>
    <w:rsid w:val="2DB94CBF"/>
    <w:rsid w:val="2DBD6096"/>
    <w:rsid w:val="2DC412A4"/>
    <w:rsid w:val="2DC85235"/>
    <w:rsid w:val="2DD56D57"/>
    <w:rsid w:val="2DDD43CD"/>
    <w:rsid w:val="2DE03FF9"/>
    <w:rsid w:val="2DE81100"/>
    <w:rsid w:val="2DEC0BF0"/>
    <w:rsid w:val="2DED5AB0"/>
    <w:rsid w:val="2DF04FFF"/>
    <w:rsid w:val="2E114AFB"/>
    <w:rsid w:val="2E230DC1"/>
    <w:rsid w:val="2E2920EE"/>
    <w:rsid w:val="2E440A2C"/>
    <w:rsid w:val="2E50117F"/>
    <w:rsid w:val="2E530C6F"/>
    <w:rsid w:val="2E556795"/>
    <w:rsid w:val="2E5768D2"/>
    <w:rsid w:val="2E637B29"/>
    <w:rsid w:val="2E65302C"/>
    <w:rsid w:val="2E840E29"/>
    <w:rsid w:val="2E8452CD"/>
    <w:rsid w:val="2E8E614B"/>
    <w:rsid w:val="2E917373"/>
    <w:rsid w:val="2E922BF6"/>
    <w:rsid w:val="2E975000"/>
    <w:rsid w:val="2E992581"/>
    <w:rsid w:val="2EA77318"/>
    <w:rsid w:val="2EC35069"/>
    <w:rsid w:val="2ED15F5E"/>
    <w:rsid w:val="2ED25BDE"/>
    <w:rsid w:val="2EE4717D"/>
    <w:rsid w:val="2EFE10B2"/>
    <w:rsid w:val="2F000DF7"/>
    <w:rsid w:val="2F3300A1"/>
    <w:rsid w:val="2F37571D"/>
    <w:rsid w:val="2F475B9D"/>
    <w:rsid w:val="2F550663"/>
    <w:rsid w:val="2F6A4E58"/>
    <w:rsid w:val="2F6F6D61"/>
    <w:rsid w:val="2F77098D"/>
    <w:rsid w:val="2F797671"/>
    <w:rsid w:val="2F8D1F5F"/>
    <w:rsid w:val="2FB0531E"/>
    <w:rsid w:val="2FBE036A"/>
    <w:rsid w:val="2FC00586"/>
    <w:rsid w:val="2FCE2CA3"/>
    <w:rsid w:val="2FE56811"/>
    <w:rsid w:val="2FE97292"/>
    <w:rsid w:val="2FF005B4"/>
    <w:rsid w:val="30000983"/>
    <w:rsid w:val="300A0177"/>
    <w:rsid w:val="300E5C36"/>
    <w:rsid w:val="30257789"/>
    <w:rsid w:val="302A3C11"/>
    <w:rsid w:val="302E0926"/>
    <w:rsid w:val="303B192D"/>
    <w:rsid w:val="303F161E"/>
    <w:rsid w:val="30405223"/>
    <w:rsid w:val="30420F9B"/>
    <w:rsid w:val="30463541"/>
    <w:rsid w:val="306E1D90"/>
    <w:rsid w:val="3075311F"/>
    <w:rsid w:val="307A4C95"/>
    <w:rsid w:val="30802422"/>
    <w:rsid w:val="308E72D3"/>
    <w:rsid w:val="30972047"/>
    <w:rsid w:val="309F7453"/>
    <w:rsid w:val="30A844DF"/>
    <w:rsid w:val="30AE7642"/>
    <w:rsid w:val="30B359F5"/>
    <w:rsid w:val="30C43E10"/>
    <w:rsid w:val="30C67313"/>
    <w:rsid w:val="30DE08ED"/>
    <w:rsid w:val="30EB624E"/>
    <w:rsid w:val="30FF4EEE"/>
    <w:rsid w:val="31061FC9"/>
    <w:rsid w:val="31064879"/>
    <w:rsid w:val="3106646D"/>
    <w:rsid w:val="314743E9"/>
    <w:rsid w:val="314F2379"/>
    <w:rsid w:val="31507277"/>
    <w:rsid w:val="31576325"/>
    <w:rsid w:val="315D2D09"/>
    <w:rsid w:val="315F400E"/>
    <w:rsid w:val="31611710"/>
    <w:rsid w:val="318409CB"/>
    <w:rsid w:val="31943A79"/>
    <w:rsid w:val="31AA0873"/>
    <w:rsid w:val="31AC6F2B"/>
    <w:rsid w:val="31BB1005"/>
    <w:rsid w:val="31C35F31"/>
    <w:rsid w:val="31C74937"/>
    <w:rsid w:val="31C936BD"/>
    <w:rsid w:val="31CA1248"/>
    <w:rsid w:val="31CF55C7"/>
    <w:rsid w:val="31CF685F"/>
    <w:rsid w:val="31D461CB"/>
    <w:rsid w:val="31D6212C"/>
    <w:rsid w:val="31E77D87"/>
    <w:rsid w:val="321D59C5"/>
    <w:rsid w:val="32285F6F"/>
    <w:rsid w:val="32295875"/>
    <w:rsid w:val="324A2760"/>
    <w:rsid w:val="324E3917"/>
    <w:rsid w:val="324F74C3"/>
    <w:rsid w:val="32537490"/>
    <w:rsid w:val="32660FBD"/>
    <w:rsid w:val="327402D3"/>
    <w:rsid w:val="3284278E"/>
    <w:rsid w:val="3284589B"/>
    <w:rsid w:val="32847649"/>
    <w:rsid w:val="32A23F73"/>
    <w:rsid w:val="32A66524"/>
    <w:rsid w:val="32A77828"/>
    <w:rsid w:val="32B55A55"/>
    <w:rsid w:val="32B67A1F"/>
    <w:rsid w:val="32CB171C"/>
    <w:rsid w:val="32D23EF0"/>
    <w:rsid w:val="32DF445D"/>
    <w:rsid w:val="32E86094"/>
    <w:rsid w:val="32EA3795"/>
    <w:rsid w:val="32F3657D"/>
    <w:rsid w:val="32F36623"/>
    <w:rsid w:val="32F8632E"/>
    <w:rsid w:val="334C5DB8"/>
    <w:rsid w:val="33512240"/>
    <w:rsid w:val="33546237"/>
    <w:rsid w:val="33583DC9"/>
    <w:rsid w:val="33691AE5"/>
    <w:rsid w:val="337E0CCA"/>
    <w:rsid w:val="33857D5D"/>
    <w:rsid w:val="33927FA5"/>
    <w:rsid w:val="339D6ABC"/>
    <w:rsid w:val="33A37FA3"/>
    <w:rsid w:val="33B7367F"/>
    <w:rsid w:val="33B750CC"/>
    <w:rsid w:val="33BA709B"/>
    <w:rsid w:val="33C36CFB"/>
    <w:rsid w:val="33C37CFF"/>
    <w:rsid w:val="33C5697B"/>
    <w:rsid w:val="33C90C05"/>
    <w:rsid w:val="33CE728B"/>
    <w:rsid w:val="33D52499"/>
    <w:rsid w:val="33DB0B1F"/>
    <w:rsid w:val="33DE2ABB"/>
    <w:rsid w:val="33DE5327"/>
    <w:rsid w:val="33E81BD5"/>
    <w:rsid w:val="33F474CA"/>
    <w:rsid w:val="33FB6E55"/>
    <w:rsid w:val="342F7A89"/>
    <w:rsid w:val="34474EA2"/>
    <w:rsid w:val="344C4197"/>
    <w:rsid w:val="34542D67"/>
    <w:rsid w:val="34673F86"/>
    <w:rsid w:val="34683019"/>
    <w:rsid w:val="3473361C"/>
    <w:rsid w:val="347D612A"/>
    <w:rsid w:val="34821AD6"/>
    <w:rsid w:val="348E1C47"/>
    <w:rsid w:val="34C01B62"/>
    <w:rsid w:val="34C1119D"/>
    <w:rsid w:val="34C6228E"/>
    <w:rsid w:val="34C82D26"/>
    <w:rsid w:val="34D23635"/>
    <w:rsid w:val="34D36666"/>
    <w:rsid w:val="34D7553F"/>
    <w:rsid w:val="34E316B2"/>
    <w:rsid w:val="34E34BD5"/>
    <w:rsid w:val="34F012EF"/>
    <w:rsid w:val="34F62570"/>
    <w:rsid w:val="34FB227B"/>
    <w:rsid w:val="35082F60"/>
    <w:rsid w:val="353170CE"/>
    <w:rsid w:val="353B3065"/>
    <w:rsid w:val="353B77E2"/>
    <w:rsid w:val="35424BEE"/>
    <w:rsid w:val="35491DB9"/>
    <w:rsid w:val="354924F4"/>
    <w:rsid w:val="3550415A"/>
    <w:rsid w:val="3560419E"/>
    <w:rsid w:val="356309A6"/>
    <w:rsid w:val="356924AC"/>
    <w:rsid w:val="35922BAF"/>
    <w:rsid w:val="35A65B28"/>
    <w:rsid w:val="35BE7316"/>
    <w:rsid w:val="35C25DC7"/>
    <w:rsid w:val="35E0728C"/>
    <w:rsid w:val="35EC7605"/>
    <w:rsid w:val="35ED5932"/>
    <w:rsid w:val="3602502C"/>
    <w:rsid w:val="360311CD"/>
    <w:rsid w:val="3608233F"/>
    <w:rsid w:val="360F303D"/>
    <w:rsid w:val="361352C6"/>
    <w:rsid w:val="36144F46"/>
    <w:rsid w:val="361913CE"/>
    <w:rsid w:val="361E10D9"/>
    <w:rsid w:val="363D610B"/>
    <w:rsid w:val="36480ED6"/>
    <w:rsid w:val="365348CC"/>
    <w:rsid w:val="3658151C"/>
    <w:rsid w:val="366175C4"/>
    <w:rsid w:val="36810032"/>
    <w:rsid w:val="36820DFD"/>
    <w:rsid w:val="3693482F"/>
    <w:rsid w:val="36992FA1"/>
    <w:rsid w:val="36BF0C62"/>
    <w:rsid w:val="36C070BE"/>
    <w:rsid w:val="36C41867"/>
    <w:rsid w:val="36C64D6A"/>
    <w:rsid w:val="36E62DD3"/>
    <w:rsid w:val="36E94025"/>
    <w:rsid w:val="36EC7EB3"/>
    <w:rsid w:val="36FA1D41"/>
    <w:rsid w:val="36FE2945"/>
    <w:rsid w:val="370116CC"/>
    <w:rsid w:val="370944C7"/>
    <w:rsid w:val="370C0184"/>
    <w:rsid w:val="37163E07"/>
    <w:rsid w:val="373A39C6"/>
    <w:rsid w:val="373C2085"/>
    <w:rsid w:val="37676AF2"/>
    <w:rsid w:val="376A5878"/>
    <w:rsid w:val="376C67FD"/>
    <w:rsid w:val="3778260F"/>
    <w:rsid w:val="378F705B"/>
    <w:rsid w:val="37B7226F"/>
    <w:rsid w:val="37B93079"/>
    <w:rsid w:val="37C16699"/>
    <w:rsid w:val="37D33C22"/>
    <w:rsid w:val="37DA6E30"/>
    <w:rsid w:val="3807091B"/>
    <w:rsid w:val="380B6117"/>
    <w:rsid w:val="380D00E1"/>
    <w:rsid w:val="38175C7C"/>
    <w:rsid w:val="38201B23"/>
    <w:rsid w:val="383529C2"/>
    <w:rsid w:val="384D672F"/>
    <w:rsid w:val="384F24A7"/>
    <w:rsid w:val="385664E5"/>
    <w:rsid w:val="385A49D9"/>
    <w:rsid w:val="385C3F07"/>
    <w:rsid w:val="38650F93"/>
    <w:rsid w:val="3875122D"/>
    <w:rsid w:val="3876113B"/>
    <w:rsid w:val="387C0DC3"/>
    <w:rsid w:val="387E2D8D"/>
    <w:rsid w:val="38802E42"/>
    <w:rsid w:val="388B33D1"/>
    <w:rsid w:val="38961762"/>
    <w:rsid w:val="38AE268C"/>
    <w:rsid w:val="38B03AC7"/>
    <w:rsid w:val="38B32EA0"/>
    <w:rsid w:val="38B52017"/>
    <w:rsid w:val="38B60726"/>
    <w:rsid w:val="38C2132C"/>
    <w:rsid w:val="38C52B98"/>
    <w:rsid w:val="38E8156C"/>
    <w:rsid w:val="390B7A49"/>
    <w:rsid w:val="393B3575"/>
    <w:rsid w:val="396046AE"/>
    <w:rsid w:val="396106E4"/>
    <w:rsid w:val="39623434"/>
    <w:rsid w:val="39650B36"/>
    <w:rsid w:val="396543B9"/>
    <w:rsid w:val="397A3554"/>
    <w:rsid w:val="39893631"/>
    <w:rsid w:val="398B750F"/>
    <w:rsid w:val="39902C7F"/>
    <w:rsid w:val="39A706A6"/>
    <w:rsid w:val="39B20F40"/>
    <w:rsid w:val="39B70940"/>
    <w:rsid w:val="39BA6046"/>
    <w:rsid w:val="39C12F31"/>
    <w:rsid w:val="39C20ECF"/>
    <w:rsid w:val="39D9182A"/>
    <w:rsid w:val="39D96F6F"/>
    <w:rsid w:val="39DE1D35"/>
    <w:rsid w:val="39E11825"/>
    <w:rsid w:val="39EC7B15"/>
    <w:rsid w:val="39F0651B"/>
    <w:rsid w:val="39F30EC3"/>
    <w:rsid w:val="39F74BA5"/>
    <w:rsid w:val="3A02553C"/>
    <w:rsid w:val="3A041722"/>
    <w:rsid w:val="3A085004"/>
    <w:rsid w:val="3A216CEA"/>
    <w:rsid w:val="3A221A8C"/>
    <w:rsid w:val="3A247C6F"/>
    <w:rsid w:val="3A2556F1"/>
    <w:rsid w:val="3A2A53FC"/>
    <w:rsid w:val="3A2B512B"/>
    <w:rsid w:val="3A2D6380"/>
    <w:rsid w:val="3A307305"/>
    <w:rsid w:val="3A331955"/>
    <w:rsid w:val="3A3416A3"/>
    <w:rsid w:val="3A4849AC"/>
    <w:rsid w:val="3A5A64FE"/>
    <w:rsid w:val="3A767A79"/>
    <w:rsid w:val="3A864490"/>
    <w:rsid w:val="3A8D7822"/>
    <w:rsid w:val="3A9C574C"/>
    <w:rsid w:val="3AA27206"/>
    <w:rsid w:val="3ABC01EE"/>
    <w:rsid w:val="3AC2225A"/>
    <w:rsid w:val="3AC37B79"/>
    <w:rsid w:val="3AD3639A"/>
    <w:rsid w:val="3AE86AB3"/>
    <w:rsid w:val="3AF01941"/>
    <w:rsid w:val="3AF13B40"/>
    <w:rsid w:val="3B013DDA"/>
    <w:rsid w:val="3B111C96"/>
    <w:rsid w:val="3B181801"/>
    <w:rsid w:val="3B1B30D7"/>
    <w:rsid w:val="3B28531E"/>
    <w:rsid w:val="3B3742B4"/>
    <w:rsid w:val="3B3B31B7"/>
    <w:rsid w:val="3B4535CA"/>
    <w:rsid w:val="3B472350"/>
    <w:rsid w:val="3B60677A"/>
    <w:rsid w:val="3B7A3719"/>
    <w:rsid w:val="3BA336BA"/>
    <w:rsid w:val="3BBF7944"/>
    <w:rsid w:val="3BCC5297"/>
    <w:rsid w:val="3BD00198"/>
    <w:rsid w:val="3BD52EB9"/>
    <w:rsid w:val="3BEB4F70"/>
    <w:rsid w:val="3BF97BF5"/>
    <w:rsid w:val="3BFA1DF4"/>
    <w:rsid w:val="3BFE1B26"/>
    <w:rsid w:val="3C003E02"/>
    <w:rsid w:val="3C063688"/>
    <w:rsid w:val="3C074891"/>
    <w:rsid w:val="3C0F1D99"/>
    <w:rsid w:val="3C1D10AF"/>
    <w:rsid w:val="3C1D51B7"/>
    <w:rsid w:val="3C202EEF"/>
    <w:rsid w:val="3C2506B9"/>
    <w:rsid w:val="3C2B34B5"/>
    <w:rsid w:val="3C335C3C"/>
    <w:rsid w:val="3C356755"/>
    <w:rsid w:val="3C526A0A"/>
    <w:rsid w:val="3C535D05"/>
    <w:rsid w:val="3C5B6581"/>
    <w:rsid w:val="3C62254D"/>
    <w:rsid w:val="3C6A592B"/>
    <w:rsid w:val="3C6E4331"/>
    <w:rsid w:val="3C7249B6"/>
    <w:rsid w:val="3C761C60"/>
    <w:rsid w:val="3C803352"/>
    <w:rsid w:val="3C9035EC"/>
    <w:rsid w:val="3C97503C"/>
    <w:rsid w:val="3CB21257"/>
    <w:rsid w:val="3CBB7CB3"/>
    <w:rsid w:val="3CBC5735"/>
    <w:rsid w:val="3CCE25D6"/>
    <w:rsid w:val="3CD218F9"/>
    <w:rsid w:val="3CD817E2"/>
    <w:rsid w:val="3CED2681"/>
    <w:rsid w:val="3CF47A8D"/>
    <w:rsid w:val="3CF86493"/>
    <w:rsid w:val="3CFF5E1E"/>
    <w:rsid w:val="3D027AF4"/>
    <w:rsid w:val="3D17266E"/>
    <w:rsid w:val="3D1B2745"/>
    <w:rsid w:val="3D22462E"/>
    <w:rsid w:val="3D31661F"/>
    <w:rsid w:val="3D373021"/>
    <w:rsid w:val="3D3C5C83"/>
    <w:rsid w:val="3D527E27"/>
    <w:rsid w:val="3D59292C"/>
    <w:rsid w:val="3D5B369C"/>
    <w:rsid w:val="3D5D7415"/>
    <w:rsid w:val="3D5F4F3E"/>
    <w:rsid w:val="3D635B43"/>
    <w:rsid w:val="3D65451B"/>
    <w:rsid w:val="3D697A4C"/>
    <w:rsid w:val="3D6F51D8"/>
    <w:rsid w:val="3D760AE1"/>
    <w:rsid w:val="3D7C44EE"/>
    <w:rsid w:val="3D7D7AB7"/>
    <w:rsid w:val="3D891605"/>
    <w:rsid w:val="3DB70E50"/>
    <w:rsid w:val="3DBB3FD3"/>
    <w:rsid w:val="3DCA206F"/>
    <w:rsid w:val="3DD1395F"/>
    <w:rsid w:val="3DD2747B"/>
    <w:rsid w:val="3DE35197"/>
    <w:rsid w:val="3DED69EA"/>
    <w:rsid w:val="3DEF0FAA"/>
    <w:rsid w:val="3DEF482D"/>
    <w:rsid w:val="3DFC60C1"/>
    <w:rsid w:val="3E017963"/>
    <w:rsid w:val="3E0B2CF2"/>
    <w:rsid w:val="3E135D25"/>
    <w:rsid w:val="3E1D553B"/>
    <w:rsid w:val="3E201779"/>
    <w:rsid w:val="3E2550BF"/>
    <w:rsid w:val="3E32264F"/>
    <w:rsid w:val="3E3E45AC"/>
    <w:rsid w:val="3E4E5573"/>
    <w:rsid w:val="3E526AD0"/>
    <w:rsid w:val="3E593E1E"/>
    <w:rsid w:val="3E636CAD"/>
    <w:rsid w:val="3E756C84"/>
    <w:rsid w:val="3E817133"/>
    <w:rsid w:val="3EA34825"/>
    <w:rsid w:val="3EBA7779"/>
    <w:rsid w:val="3EC139D3"/>
    <w:rsid w:val="3EC22607"/>
    <w:rsid w:val="3ED24E20"/>
    <w:rsid w:val="3EDF4135"/>
    <w:rsid w:val="3EE01BB7"/>
    <w:rsid w:val="3EE06334"/>
    <w:rsid w:val="3EE13DB5"/>
    <w:rsid w:val="3EE5603F"/>
    <w:rsid w:val="3EF065CE"/>
    <w:rsid w:val="3EF178D3"/>
    <w:rsid w:val="3F04526F"/>
    <w:rsid w:val="3F071A76"/>
    <w:rsid w:val="3F0D3980"/>
    <w:rsid w:val="3F2029A0"/>
    <w:rsid w:val="3F251027"/>
    <w:rsid w:val="3F277DAD"/>
    <w:rsid w:val="3F3B19D7"/>
    <w:rsid w:val="3F4802E2"/>
    <w:rsid w:val="3F551B76"/>
    <w:rsid w:val="3F557FAE"/>
    <w:rsid w:val="3F5D0E4D"/>
    <w:rsid w:val="3F5D194E"/>
    <w:rsid w:val="3F5D4A04"/>
    <w:rsid w:val="3F636838"/>
    <w:rsid w:val="3F786788"/>
    <w:rsid w:val="3F7B2FDB"/>
    <w:rsid w:val="3F875848"/>
    <w:rsid w:val="3FA61F8B"/>
    <w:rsid w:val="3FB13A48"/>
    <w:rsid w:val="3FB62B14"/>
    <w:rsid w:val="3FCA3D33"/>
    <w:rsid w:val="3FDE6257"/>
    <w:rsid w:val="3FE931E1"/>
    <w:rsid w:val="3FEB7AEB"/>
    <w:rsid w:val="4001677D"/>
    <w:rsid w:val="40176267"/>
    <w:rsid w:val="40292E53"/>
    <w:rsid w:val="405014B2"/>
    <w:rsid w:val="40552625"/>
    <w:rsid w:val="40595BA0"/>
    <w:rsid w:val="40703903"/>
    <w:rsid w:val="40882E6C"/>
    <w:rsid w:val="408B1BF3"/>
    <w:rsid w:val="408C5D5A"/>
    <w:rsid w:val="40962182"/>
    <w:rsid w:val="4099698A"/>
    <w:rsid w:val="409C408B"/>
    <w:rsid w:val="40A27F80"/>
    <w:rsid w:val="40A9471F"/>
    <w:rsid w:val="40AC3F0F"/>
    <w:rsid w:val="40B52A37"/>
    <w:rsid w:val="40B604B8"/>
    <w:rsid w:val="40BC23C2"/>
    <w:rsid w:val="40C377CE"/>
    <w:rsid w:val="40D01062"/>
    <w:rsid w:val="40D21EC7"/>
    <w:rsid w:val="40DD0378"/>
    <w:rsid w:val="40DE3BFB"/>
    <w:rsid w:val="40E16D7E"/>
    <w:rsid w:val="40E35E83"/>
    <w:rsid w:val="41140732"/>
    <w:rsid w:val="4114428E"/>
    <w:rsid w:val="411E6BE3"/>
    <w:rsid w:val="412169AB"/>
    <w:rsid w:val="412B3CFA"/>
    <w:rsid w:val="412B5EF9"/>
    <w:rsid w:val="412D70FE"/>
    <w:rsid w:val="413466DE"/>
    <w:rsid w:val="41370C46"/>
    <w:rsid w:val="41390199"/>
    <w:rsid w:val="413C4351"/>
    <w:rsid w:val="414E1930"/>
    <w:rsid w:val="41547687"/>
    <w:rsid w:val="41555DFC"/>
    <w:rsid w:val="415A0DB4"/>
    <w:rsid w:val="415F544E"/>
    <w:rsid w:val="416A1BA2"/>
    <w:rsid w:val="416F7716"/>
    <w:rsid w:val="41764F49"/>
    <w:rsid w:val="418B1628"/>
    <w:rsid w:val="418C2A9A"/>
    <w:rsid w:val="41A73354"/>
    <w:rsid w:val="41AF045B"/>
    <w:rsid w:val="41B27457"/>
    <w:rsid w:val="41B525D9"/>
    <w:rsid w:val="41BE6C54"/>
    <w:rsid w:val="41C04416"/>
    <w:rsid w:val="41CC2DBB"/>
    <w:rsid w:val="41D81760"/>
    <w:rsid w:val="41E950DD"/>
    <w:rsid w:val="41EB388E"/>
    <w:rsid w:val="41FE1AD4"/>
    <w:rsid w:val="420A3368"/>
    <w:rsid w:val="42100EF9"/>
    <w:rsid w:val="421516F9"/>
    <w:rsid w:val="42165DE4"/>
    <w:rsid w:val="421B33FA"/>
    <w:rsid w:val="42274495"/>
    <w:rsid w:val="422C2B70"/>
    <w:rsid w:val="422E4822"/>
    <w:rsid w:val="42454447"/>
    <w:rsid w:val="4255690C"/>
    <w:rsid w:val="425A43EC"/>
    <w:rsid w:val="42605DDF"/>
    <w:rsid w:val="42911B9D"/>
    <w:rsid w:val="429441C6"/>
    <w:rsid w:val="429F385C"/>
    <w:rsid w:val="42BB357B"/>
    <w:rsid w:val="42BB7909"/>
    <w:rsid w:val="42C41CE4"/>
    <w:rsid w:val="42CB4E20"/>
    <w:rsid w:val="42D739B6"/>
    <w:rsid w:val="42DA1507"/>
    <w:rsid w:val="42EA799C"/>
    <w:rsid w:val="42F51E9D"/>
    <w:rsid w:val="42FC28F1"/>
    <w:rsid w:val="43023260"/>
    <w:rsid w:val="430F2F5F"/>
    <w:rsid w:val="433378D3"/>
    <w:rsid w:val="43365054"/>
    <w:rsid w:val="433842CC"/>
    <w:rsid w:val="433F20E0"/>
    <w:rsid w:val="43430AE7"/>
    <w:rsid w:val="434A21E9"/>
    <w:rsid w:val="434F017C"/>
    <w:rsid w:val="43536B83"/>
    <w:rsid w:val="43850656"/>
    <w:rsid w:val="43CE64CC"/>
    <w:rsid w:val="43D403D5"/>
    <w:rsid w:val="43DA67B6"/>
    <w:rsid w:val="43E30E9C"/>
    <w:rsid w:val="43EC5A7C"/>
    <w:rsid w:val="43FF6C9B"/>
    <w:rsid w:val="43FF7E42"/>
    <w:rsid w:val="44004F9E"/>
    <w:rsid w:val="443C1A06"/>
    <w:rsid w:val="44402F88"/>
    <w:rsid w:val="445E6341"/>
    <w:rsid w:val="44682E47"/>
    <w:rsid w:val="446B2576"/>
    <w:rsid w:val="447514E8"/>
    <w:rsid w:val="447A4D50"/>
    <w:rsid w:val="447C2011"/>
    <w:rsid w:val="448D14FC"/>
    <w:rsid w:val="44A142A6"/>
    <w:rsid w:val="44A4522B"/>
    <w:rsid w:val="44AC00B9"/>
    <w:rsid w:val="44AE67A8"/>
    <w:rsid w:val="44C30DC2"/>
    <w:rsid w:val="44C744E6"/>
    <w:rsid w:val="44D84400"/>
    <w:rsid w:val="44E05090"/>
    <w:rsid w:val="44E0760E"/>
    <w:rsid w:val="44E32A82"/>
    <w:rsid w:val="44E87F0C"/>
    <w:rsid w:val="44F468B0"/>
    <w:rsid w:val="45046549"/>
    <w:rsid w:val="45077CD9"/>
    <w:rsid w:val="450C6F50"/>
    <w:rsid w:val="450E6E58"/>
    <w:rsid w:val="45132AAF"/>
    <w:rsid w:val="451900C5"/>
    <w:rsid w:val="451A3F70"/>
    <w:rsid w:val="45206785"/>
    <w:rsid w:val="45216F7A"/>
    <w:rsid w:val="452B429C"/>
    <w:rsid w:val="452E1696"/>
    <w:rsid w:val="45300692"/>
    <w:rsid w:val="45333479"/>
    <w:rsid w:val="454C21C0"/>
    <w:rsid w:val="45560921"/>
    <w:rsid w:val="455E20DB"/>
    <w:rsid w:val="456255F2"/>
    <w:rsid w:val="456A1771"/>
    <w:rsid w:val="45725A27"/>
    <w:rsid w:val="45740942"/>
    <w:rsid w:val="458D4F3F"/>
    <w:rsid w:val="459E05CA"/>
    <w:rsid w:val="45A3734C"/>
    <w:rsid w:val="45A55DFD"/>
    <w:rsid w:val="45A73923"/>
    <w:rsid w:val="45B75FEC"/>
    <w:rsid w:val="45C27C01"/>
    <w:rsid w:val="45C43104"/>
    <w:rsid w:val="45F96148"/>
    <w:rsid w:val="460B12FA"/>
    <w:rsid w:val="460F7D00"/>
    <w:rsid w:val="4613720A"/>
    <w:rsid w:val="461865CE"/>
    <w:rsid w:val="461D1E37"/>
    <w:rsid w:val="463F1DAD"/>
    <w:rsid w:val="464E3068"/>
    <w:rsid w:val="46521A6E"/>
    <w:rsid w:val="46550474"/>
    <w:rsid w:val="46573978"/>
    <w:rsid w:val="465B237E"/>
    <w:rsid w:val="46614287"/>
    <w:rsid w:val="46626485"/>
    <w:rsid w:val="46670546"/>
    <w:rsid w:val="468034B7"/>
    <w:rsid w:val="46840182"/>
    <w:rsid w:val="46936C54"/>
    <w:rsid w:val="469446D6"/>
    <w:rsid w:val="46A240EA"/>
    <w:rsid w:val="46AC5600"/>
    <w:rsid w:val="46BC3993"/>
    <w:rsid w:val="46BD0F24"/>
    <w:rsid w:val="46BD331C"/>
    <w:rsid w:val="46CE3E5E"/>
    <w:rsid w:val="46D0453B"/>
    <w:rsid w:val="46D45C9C"/>
    <w:rsid w:val="46DA1A26"/>
    <w:rsid w:val="46E029D4"/>
    <w:rsid w:val="46EB3F0D"/>
    <w:rsid w:val="46F86597"/>
    <w:rsid w:val="46FA3181"/>
    <w:rsid w:val="471B36B5"/>
    <w:rsid w:val="4724769D"/>
    <w:rsid w:val="473C62ED"/>
    <w:rsid w:val="47431429"/>
    <w:rsid w:val="474C7708"/>
    <w:rsid w:val="474C7A42"/>
    <w:rsid w:val="47525B10"/>
    <w:rsid w:val="475F50A3"/>
    <w:rsid w:val="477A6F52"/>
    <w:rsid w:val="47834097"/>
    <w:rsid w:val="479C4FDD"/>
    <w:rsid w:val="47A67C0A"/>
    <w:rsid w:val="47BA7D3C"/>
    <w:rsid w:val="47C65D4C"/>
    <w:rsid w:val="47CA1B4A"/>
    <w:rsid w:val="47E75388"/>
    <w:rsid w:val="47F81D88"/>
    <w:rsid w:val="47FE22FB"/>
    <w:rsid w:val="48087ABB"/>
    <w:rsid w:val="480D7C89"/>
    <w:rsid w:val="480F5247"/>
    <w:rsid w:val="48171365"/>
    <w:rsid w:val="48243B68"/>
    <w:rsid w:val="4828061F"/>
    <w:rsid w:val="482F19B9"/>
    <w:rsid w:val="4830797A"/>
    <w:rsid w:val="48380E21"/>
    <w:rsid w:val="48390A7E"/>
    <w:rsid w:val="48483E3E"/>
    <w:rsid w:val="486D3062"/>
    <w:rsid w:val="486E5261"/>
    <w:rsid w:val="486E697A"/>
    <w:rsid w:val="487F6800"/>
    <w:rsid w:val="48884C46"/>
    <w:rsid w:val="4889130E"/>
    <w:rsid w:val="489F12B3"/>
    <w:rsid w:val="48A44149"/>
    <w:rsid w:val="48AA50C6"/>
    <w:rsid w:val="48BC2DE1"/>
    <w:rsid w:val="48D73982"/>
    <w:rsid w:val="48DC39AB"/>
    <w:rsid w:val="48E20AA3"/>
    <w:rsid w:val="48E44E8E"/>
    <w:rsid w:val="48E9432B"/>
    <w:rsid w:val="48EE1032"/>
    <w:rsid w:val="48EF2337"/>
    <w:rsid w:val="48F22F6E"/>
    <w:rsid w:val="48F54240"/>
    <w:rsid w:val="48FC3F85"/>
    <w:rsid w:val="490779DE"/>
    <w:rsid w:val="49260292"/>
    <w:rsid w:val="492C413F"/>
    <w:rsid w:val="493279A7"/>
    <w:rsid w:val="49331971"/>
    <w:rsid w:val="494168BE"/>
    <w:rsid w:val="49423962"/>
    <w:rsid w:val="49441A41"/>
    <w:rsid w:val="494574C2"/>
    <w:rsid w:val="49513989"/>
    <w:rsid w:val="495E69EE"/>
    <w:rsid w:val="49620FF1"/>
    <w:rsid w:val="4971160B"/>
    <w:rsid w:val="4974451A"/>
    <w:rsid w:val="497D2E9F"/>
    <w:rsid w:val="498B70B7"/>
    <w:rsid w:val="49935043"/>
    <w:rsid w:val="499814CB"/>
    <w:rsid w:val="499B244F"/>
    <w:rsid w:val="499E6C57"/>
    <w:rsid w:val="49A565E2"/>
    <w:rsid w:val="49A90C47"/>
    <w:rsid w:val="49AF6EF2"/>
    <w:rsid w:val="49B303BC"/>
    <w:rsid w:val="49B77EAC"/>
    <w:rsid w:val="49B87801"/>
    <w:rsid w:val="49D15412"/>
    <w:rsid w:val="49D1656A"/>
    <w:rsid w:val="49D942C7"/>
    <w:rsid w:val="49EA1AFC"/>
    <w:rsid w:val="49ED2CCD"/>
    <w:rsid w:val="49FD4A73"/>
    <w:rsid w:val="4A041E7F"/>
    <w:rsid w:val="4A0E6F0B"/>
    <w:rsid w:val="4A202529"/>
    <w:rsid w:val="4A2C2648"/>
    <w:rsid w:val="4A2F2CC3"/>
    <w:rsid w:val="4A345F75"/>
    <w:rsid w:val="4A4C47F2"/>
    <w:rsid w:val="4A542F03"/>
    <w:rsid w:val="4A5509E6"/>
    <w:rsid w:val="4A5B700A"/>
    <w:rsid w:val="4A641E98"/>
    <w:rsid w:val="4A6766A0"/>
    <w:rsid w:val="4A765636"/>
    <w:rsid w:val="4A8920D8"/>
    <w:rsid w:val="4A901A63"/>
    <w:rsid w:val="4A9F6403"/>
    <w:rsid w:val="4AA10A65"/>
    <w:rsid w:val="4AA62367"/>
    <w:rsid w:val="4AB1581B"/>
    <w:rsid w:val="4AC431B7"/>
    <w:rsid w:val="4AC666BA"/>
    <w:rsid w:val="4AC72371"/>
    <w:rsid w:val="4AC8224B"/>
    <w:rsid w:val="4AD457A8"/>
    <w:rsid w:val="4AD93E52"/>
    <w:rsid w:val="4AE95975"/>
    <w:rsid w:val="4AEB0E78"/>
    <w:rsid w:val="4AEB778B"/>
    <w:rsid w:val="4AF02D81"/>
    <w:rsid w:val="4AFC64BF"/>
    <w:rsid w:val="4AFD4615"/>
    <w:rsid w:val="4B043FA0"/>
    <w:rsid w:val="4B0C5FD6"/>
    <w:rsid w:val="4B2422D7"/>
    <w:rsid w:val="4B257098"/>
    <w:rsid w:val="4B275459"/>
    <w:rsid w:val="4B332897"/>
    <w:rsid w:val="4B38501D"/>
    <w:rsid w:val="4B3E507F"/>
    <w:rsid w:val="4B3F45FD"/>
    <w:rsid w:val="4B477F0D"/>
    <w:rsid w:val="4B4B2196"/>
    <w:rsid w:val="4B51409F"/>
    <w:rsid w:val="4B591E21"/>
    <w:rsid w:val="4B5B6BAD"/>
    <w:rsid w:val="4B5D2CD5"/>
    <w:rsid w:val="4B803312"/>
    <w:rsid w:val="4B83098E"/>
    <w:rsid w:val="4B845E03"/>
    <w:rsid w:val="4B881658"/>
    <w:rsid w:val="4BAB7C31"/>
    <w:rsid w:val="4BC028A6"/>
    <w:rsid w:val="4BE0268A"/>
    <w:rsid w:val="4BE90438"/>
    <w:rsid w:val="4BEC649C"/>
    <w:rsid w:val="4BF51653"/>
    <w:rsid w:val="4C0A6813"/>
    <w:rsid w:val="4C0E1ED4"/>
    <w:rsid w:val="4C203473"/>
    <w:rsid w:val="4C405DD4"/>
    <w:rsid w:val="4C480DB4"/>
    <w:rsid w:val="4C4A14AC"/>
    <w:rsid w:val="4C505D2B"/>
    <w:rsid w:val="4C520100"/>
    <w:rsid w:val="4C5216C4"/>
    <w:rsid w:val="4C5440D8"/>
    <w:rsid w:val="4C602A7D"/>
    <w:rsid w:val="4C644E61"/>
    <w:rsid w:val="4C6528E3"/>
    <w:rsid w:val="4C667968"/>
    <w:rsid w:val="4C787385"/>
    <w:rsid w:val="4C7E5A0B"/>
    <w:rsid w:val="4C855396"/>
    <w:rsid w:val="4C86669B"/>
    <w:rsid w:val="4C8F1529"/>
    <w:rsid w:val="4C982217"/>
    <w:rsid w:val="4CA0731E"/>
    <w:rsid w:val="4CB85844"/>
    <w:rsid w:val="4CCA390C"/>
    <w:rsid w:val="4CCA5EB6"/>
    <w:rsid w:val="4CD51C9D"/>
    <w:rsid w:val="4CD8739E"/>
    <w:rsid w:val="4CED0E58"/>
    <w:rsid w:val="4CF3344B"/>
    <w:rsid w:val="4CFF4044"/>
    <w:rsid w:val="4D012A8A"/>
    <w:rsid w:val="4D135D42"/>
    <w:rsid w:val="4D1E3A2B"/>
    <w:rsid w:val="4D3A507C"/>
    <w:rsid w:val="4D3C2946"/>
    <w:rsid w:val="4D4203D5"/>
    <w:rsid w:val="4D493511"/>
    <w:rsid w:val="4D4B6A9F"/>
    <w:rsid w:val="4D5B0EA9"/>
    <w:rsid w:val="4D677E3B"/>
    <w:rsid w:val="4D73233C"/>
    <w:rsid w:val="4D747AD7"/>
    <w:rsid w:val="4D750521"/>
    <w:rsid w:val="4D825639"/>
    <w:rsid w:val="4D830B3C"/>
    <w:rsid w:val="4D87403A"/>
    <w:rsid w:val="4D8A4C44"/>
    <w:rsid w:val="4D940DD6"/>
    <w:rsid w:val="4DA25B6E"/>
    <w:rsid w:val="4DA454B1"/>
    <w:rsid w:val="4DA55CFD"/>
    <w:rsid w:val="4DA91C75"/>
    <w:rsid w:val="4DAA76F7"/>
    <w:rsid w:val="4DB35E08"/>
    <w:rsid w:val="4DB87D11"/>
    <w:rsid w:val="4DBF769C"/>
    <w:rsid w:val="4DC617B7"/>
    <w:rsid w:val="4DD43DBE"/>
    <w:rsid w:val="4DE44058"/>
    <w:rsid w:val="4DE72DDF"/>
    <w:rsid w:val="4DE81AA9"/>
    <w:rsid w:val="4DE962E2"/>
    <w:rsid w:val="4DF82FB8"/>
    <w:rsid w:val="4DFA5A36"/>
    <w:rsid w:val="4E0D199A"/>
    <w:rsid w:val="4E0F0720"/>
    <w:rsid w:val="4E1C4782"/>
    <w:rsid w:val="4E1D54B7"/>
    <w:rsid w:val="4E1E674C"/>
    <w:rsid w:val="4E2373C0"/>
    <w:rsid w:val="4E3B72FE"/>
    <w:rsid w:val="4E4361B3"/>
    <w:rsid w:val="4E4B32B9"/>
    <w:rsid w:val="4E53210E"/>
    <w:rsid w:val="4E5401B4"/>
    <w:rsid w:val="4E5D59DB"/>
    <w:rsid w:val="4E5F63D0"/>
    <w:rsid w:val="4E6A1D33"/>
    <w:rsid w:val="4E7C7A4F"/>
    <w:rsid w:val="4E8D6872"/>
    <w:rsid w:val="4E8D6FCE"/>
    <w:rsid w:val="4E901F73"/>
    <w:rsid w:val="4EB62E28"/>
    <w:rsid w:val="4EBC40BC"/>
    <w:rsid w:val="4EC70B92"/>
    <w:rsid w:val="4ECB3051"/>
    <w:rsid w:val="4ECF5C98"/>
    <w:rsid w:val="4EDA2D48"/>
    <w:rsid w:val="4EE4617A"/>
    <w:rsid w:val="4EE64F00"/>
    <w:rsid w:val="4EEA762D"/>
    <w:rsid w:val="4EEC51FC"/>
    <w:rsid w:val="4EEF5810"/>
    <w:rsid w:val="4EF41C97"/>
    <w:rsid w:val="4EF8069D"/>
    <w:rsid w:val="4F043598"/>
    <w:rsid w:val="4F090797"/>
    <w:rsid w:val="4F2411C2"/>
    <w:rsid w:val="4F290E6D"/>
    <w:rsid w:val="4F316279"/>
    <w:rsid w:val="4F381487"/>
    <w:rsid w:val="4F3E3390"/>
    <w:rsid w:val="4F48708F"/>
    <w:rsid w:val="4F5A0E97"/>
    <w:rsid w:val="4F5A1A06"/>
    <w:rsid w:val="4F653250"/>
    <w:rsid w:val="4F6C0472"/>
    <w:rsid w:val="4F707062"/>
    <w:rsid w:val="4F7564B3"/>
    <w:rsid w:val="4F8172FD"/>
    <w:rsid w:val="4F8C48CB"/>
    <w:rsid w:val="4F9B4859"/>
    <w:rsid w:val="4F9F432E"/>
    <w:rsid w:val="4FA94C3E"/>
    <w:rsid w:val="4FC43269"/>
    <w:rsid w:val="4FC43323"/>
    <w:rsid w:val="4FDD1C15"/>
    <w:rsid w:val="4FE85264"/>
    <w:rsid w:val="4FF97471"/>
    <w:rsid w:val="501716A5"/>
    <w:rsid w:val="501E0C85"/>
    <w:rsid w:val="50313991"/>
    <w:rsid w:val="50396AAB"/>
    <w:rsid w:val="50494A56"/>
    <w:rsid w:val="504F7091"/>
    <w:rsid w:val="505446A7"/>
    <w:rsid w:val="5055041F"/>
    <w:rsid w:val="50583ADD"/>
    <w:rsid w:val="506E1504"/>
    <w:rsid w:val="50716C05"/>
    <w:rsid w:val="50816EA0"/>
    <w:rsid w:val="50865B9C"/>
    <w:rsid w:val="508F7229"/>
    <w:rsid w:val="50AB1369"/>
    <w:rsid w:val="50BC224C"/>
    <w:rsid w:val="50BC29F6"/>
    <w:rsid w:val="50C07885"/>
    <w:rsid w:val="50CD151D"/>
    <w:rsid w:val="50D521AD"/>
    <w:rsid w:val="50DC4E4F"/>
    <w:rsid w:val="50E0418D"/>
    <w:rsid w:val="50E23A41"/>
    <w:rsid w:val="50E336C1"/>
    <w:rsid w:val="5100482F"/>
    <w:rsid w:val="510A1382"/>
    <w:rsid w:val="51182B81"/>
    <w:rsid w:val="51273ADE"/>
    <w:rsid w:val="512B18B7"/>
    <w:rsid w:val="512E60BF"/>
    <w:rsid w:val="512F5D3F"/>
    <w:rsid w:val="51334ADB"/>
    <w:rsid w:val="513A40D0"/>
    <w:rsid w:val="51434617"/>
    <w:rsid w:val="514C72EB"/>
    <w:rsid w:val="516D3625"/>
    <w:rsid w:val="51802646"/>
    <w:rsid w:val="5184324A"/>
    <w:rsid w:val="51861FD1"/>
    <w:rsid w:val="518B2BD5"/>
    <w:rsid w:val="518D195B"/>
    <w:rsid w:val="518D3E9E"/>
    <w:rsid w:val="51981E3E"/>
    <w:rsid w:val="519F1876"/>
    <w:rsid w:val="51A41581"/>
    <w:rsid w:val="51A92185"/>
    <w:rsid w:val="51AC0B8B"/>
    <w:rsid w:val="51AD440F"/>
    <w:rsid w:val="51C82A3A"/>
    <w:rsid w:val="51D82CD4"/>
    <w:rsid w:val="51DA0248"/>
    <w:rsid w:val="51E3035D"/>
    <w:rsid w:val="51EC7777"/>
    <w:rsid w:val="51F42604"/>
    <w:rsid w:val="51F85787"/>
    <w:rsid w:val="5217603C"/>
    <w:rsid w:val="521B542A"/>
    <w:rsid w:val="52283D58"/>
    <w:rsid w:val="522C6DA2"/>
    <w:rsid w:val="52352944"/>
    <w:rsid w:val="523B4A14"/>
    <w:rsid w:val="524B3013"/>
    <w:rsid w:val="52514F1D"/>
    <w:rsid w:val="52524C16"/>
    <w:rsid w:val="5254009F"/>
    <w:rsid w:val="526037D7"/>
    <w:rsid w:val="52727066"/>
    <w:rsid w:val="52930DDE"/>
    <w:rsid w:val="52BB6C5F"/>
    <w:rsid w:val="52BD1148"/>
    <w:rsid w:val="52BE7ACF"/>
    <w:rsid w:val="52CC4866"/>
    <w:rsid w:val="52CF3C7C"/>
    <w:rsid w:val="52D0481B"/>
    <w:rsid w:val="52DD1244"/>
    <w:rsid w:val="52E10F88"/>
    <w:rsid w:val="52E65410"/>
    <w:rsid w:val="52E72E92"/>
    <w:rsid w:val="52ED4D9B"/>
    <w:rsid w:val="52F34726"/>
    <w:rsid w:val="530E2C43"/>
    <w:rsid w:val="53106254"/>
    <w:rsid w:val="5330458B"/>
    <w:rsid w:val="53316789"/>
    <w:rsid w:val="53370692"/>
    <w:rsid w:val="53397B84"/>
    <w:rsid w:val="533D7674"/>
    <w:rsid w:val="534A6576"/>
    <w:rsid w:val="534F73A8"/>
    <w:rsid w:val="535A6678"/>
    <w:rsid w:val="535E3DD5"/>
    <w:rsid w:val="536227DB"/>
    <w:rsid w:val="536956BA"/>
    <w:rsid w:val="536C3B48"/>
    <w:rsid w:val="537F430A"/>
    <w:rsid w:val="538D7DE7"/>
    <w:rsid w:val="53940A2C"/>
    <w:rsid w:val="53B446B2"/>
    <w:rsid w:val="53BA0C6B"/>
    <w:rsid w:val="53BC636D"/>
    <w:rsid w:val="53CE7B91"/>
    <w:rsid w:val="53D55AFF"/>
    <w:rsid w:val="53E10B2B"/>
    <w:rsid w:val="53E24B5F"/>
    <w:rsid w:val="53E762B8"/>
    <w:rsid w:val="53F10DC5"/>
    <w:rsid w:val="54051FE4"/>
    <w:rsid w:val="54071A30"/>
    <w:rsid w:val="54126534"/>
    <w:rsid w:val="541859EC"/>
    <w:rsid w:val="541C54DC"/>
    <w:rsid w:val="54227396"/>
    <w:rsid w:val="542C5727"/>
    <w:rsid w:val="5438153A"/>
    <w:rsid w:val="544C01DA"/>
    <w:rsid w:val="545F569A"/>
    <w:rsid w:val="54624E60"/>
    <w:rsid w:val="54672089"/>
    <w:rsid w:val="548947BC"/>
    <w:rsid w:val="5495528E"/>
    <w:rsid w:val="54A4666B"/>
    <w:rsid w:val="54B61E08"/>
    <w:rsid w:val="54BB2F47"/>
    <w:rsid w:val="54C10199"/>
    <w:rsid w:val="54E67898"/>
    <w:rsid w:val="54EC26AA"/>
    <w:rsid w:val="54ED50CA"/>
    <w:rsid w:val="54EE1F62"/>
    <w:rsid w:val="54FA5C25"/>
    <w:rsid w:val="54FB7029"/>
    <w:rsid w:val="55093E11"/>
    <w:rsid w:val="551534A6"/>
    <w:rsid w:val="55202DAA"/>
    <w:rsid w:val="5523023E"/>
    <w:rsid w:val="55230AEC"/>
    <w:rsid w:val="55384960"/>
    <w:rsid w:val="553B58E4"/>
    <w:rsid w:val="55502006"/>
    <w:rsid w:val="55560D8D"/>
    <w:rsid w:val="55661910"/>
    <w:rsid w:val="556A04C9"/>
    <w:rsid w:val="557434C0"/>
    <w:rsid w:val="558511DC"/>
    <w:rsid w:val="55854A5F"/>
    <w:rsid w:val="558639E2"/>
    <w:rsid w:val="55957545"/>
    <w:rsid w:val="55A41A91"/>
    <w:rsid w:val="55AF7E22"/>
    <w:rsid w:val="55BB16B6"/>
    <w:rsid w:val="55BB2AD2"/>
    <w:rsid w:val="55C027DF"/>
    <w:rsid w:val="55C909CB"/>
    <w:rsid w:val="55CF3842"/>
    <w:rsid w:val="55F14746"/>
    <w:rsid w:val="56026953"/>
    <w:rsid w:val="5604532D"/>
    <w:rsid w:val="5610333E"/>
    <w:rsid w:val="56376A81"/>
    <w:rsid w:val="564E44A8"/>
    <w:rsid w:val="56513437"/>
    <w:rsid w:val="56552F27"/>
    <w:rsid w:val="565D3B8A"/>
    <w:rsid w:val="56605D79"/>
    <w:rsid w:val="56625644"/>
    <w:rsid w:val="56685052"/>
    <w:rsid w:val="566D36D8"/>
    <w:rsid w:val="56727B5F"/>
    <w:rsid w:val="56893008"/>
    <w:rsid w:val="56956E1A"/>
    <w:rsid w:val="56AB6FEB"/>
    <w:rsid w:val="56AD44C1"/>
    <w:rsid w:val="56BD2275"/>
    <w:rsid w:val="56BD475C"/>
    <w:rsid w:val="56C24012"/>
    <w:rsid w:val="56C708EE"/>
    <w:rsid w:val="56C76E5C"/>
    <w:rsid w:val="56D44381"/>
    <w:rsid w:val="56D759ED"/>
    <w:rsid w:val="56D976B4"/>
    <w:rsid w:val="56DA628A"/>
    <w:rsid w:val="56DE3D4F"/>
    <w:rsid w:val="56DF6C95"/>
    <w:rsid w:val="56FD71C5"/>
    <w:rsid w:val="57013F4B"/>
    <w:rsid w:val="570E3A04"/>
    <w:rsid w:val="571760EF"/>
    <w:rsid w:val="571E12FD"/>
    <w:rsid w:val="572B3ADE"/>
    <w:rsid w:val="57432CFF"/>
    <w:rsid w:val="57470E3C"/>
    <w:rsid w:val="57601B83"/>
    <w:rsid w:val="57782C90"/>
    <w:rsid w:val="579655A5"/>
    <w:rsid w:val="57987942"/>
    <w:rsid w:val="579953C3"/>
    <w:rsid w:val="579B3D40"/>
    <w:rsid w:val="579C3E76"/>
    <w:rsid w:val="57B62775"/>
    <w:rsid w:val="57BA117B"/>
    <w:rsid w:val="57BD2100"/>
    <w:rsid w:val="57C54F8E"/>
    <w:rsid w:val="57C70491"/>
    <w:rsid w:val="57CA1416"/>
    <w:rsid w:val="57D44FE9"/>
    <w:rsid w:val="57D72CAA"/>
    <w:rsid w:val="57D91A30"/>
    <w:rsid w:val="57DB7DE8"/>
    <w:rsid w:val="57F1209E"/>
    <w:rsid w:val="57FA1ED8"/>
    <w:rsid w:val="57FA4163"/>
    <w:rsid w:val="580C5FE9"/>
    <w:rsid w:val="58111B8A"/>
    <w:rsid w:val="58156012"/>
    <w:rsid w:val="582165A1"/>
    <w:rsid w:val="582D36B9"/>
    <w:rsid w:val="583F4AFD"/>
    <w:rsid w:val="584077DE"/>
    <w:rsid w:val="58525E77"/>
    <w:rsid w:val="5860738B"/>
    <w:rsid w:val="58692219"/>
    <w:rsid w:val="58820BC4"/>
    <w:rsid w:val="58997DF1"/>
    <w:rsid w:val="58CA0FB8"/>
    <w:rsid w:val="58DD7FD9"/>
    <w:rsid w:val="58E453E6"/>
    <w:rsid w:val="58EF7EF3"/>
    <w:rsid w:val="58FA7DB6"/>
    <w:rsid w:val="59036C6A"/>
    <w:rsid w:val="5919648E"/>
    <w:rsid w:val="592E4385"/>
    <w:rsid w:val="59340194"/>
    <w:rsid w:val="5939706E"/>
    <w:rsid w:val="594D1592"/>
    <w:rsid w:val="596A0289"/>
    <w:rsid w:val="597E09E7"/>
    <w:rsid w:val="597F55E4"/>
    <w:rsid w:val="59810AE7"/>
    <w:rsid w:val="5996188C"/>
    <w:rsid w:val="59A3360E"/>
    <w:rsid w:val="59AF2530"/>
    <w:rsid w:val="59B30690"/>
    <w:rsid w:val="59BC7647"/>
    <w:rsid w:val="59BF05CC"/>
    <w:rsid w:val="59CD78E2"/>
    <w:rsid w:val="59D836F4"/>
    <w:rsid w:val="59E00B01"/>
    <w:rsid w:val="59FE3BCD"/>
    <w:rsid w:val="5A007FC9"/>
    <w:rsid w:val="5A01185B"/>
    <w:rsid w:val="5A0F3E83"/>
    <w:rsid w:val="5A1225D4"/>
    <w:rsid w:val="5A405EA0"/>
    <w:rsid w:val="5A4237C2"/>
    <w:rsid w:val="5A432DA3"/>
    <w:rsid w:val="5A4A5FB2"/>
    <w:rsid w:val="5A4F2439"/>
    <w:rsid w:val="5A594F47"/>
    <w:rsid w:val="5A6951E1"/>
    <w:rsid w:val="5A6F0A22"/>
    <w:rsid w:val="5A731374"/>
    <w:rsid w:val="5A744438"/>
    <w:rsid w:val="5A7E1904"/>
    <w:rsid w:val="5A833B8D"/>
    <w:rsid w:val="5A857090"/>
    <w:rsid w:val="5A8F5421"/>
    <w:rsid w:val="5ABD1D13"/>
    <w:rsid w:val="5ABE04EF"/>
    <w:rsid w:val="5AC06C30"/>
    <w:rsid w:val="5AC60BF9"/>
    <w:rsid w:val="5AD142B1"/>
    <w:rsid w:val="5AE5060C"/>
    <w:rsid w:val="5AE738B1"/>
    <w:rsid w:val="5AEA4836"/>
    <w:rsid w:val="5B0457AD"/>
    <w:rsid w:val="5B0F6FF4"/>
    <w:rsid w:val="5B1B0888"/>
    <w:rsid w:val="5B2F7529"/>
    <w:rsid w:val="5B3B333C"/>
    <w:rsid w:val="5B3F3F40"/>
    <w:rsid w:val="5B4B7D53"/>
    <w:rsid w:val="5B4D3256"/>
    <w:rsid w:val="5B607CF8"/>
    <w:rsid w:val="5B723495"/>
    <w:rsid w:val="5B762629"/>
    <w:rsid w:val="5B7F4D2A"/>
    <w:rsid w:val="5BC464CE"/>
    <w:rsid w:val="5BCC5A39"/>
    <w:rsid w:val="5BE80399"/>
    <w:rsid w:val="5BFC7B76"/>
    <w:rsid w:val="5BFF0AFB"/>
    <w:rsid w:val="5C1D674E"/>
    <w:rsid w:val="5C3979DB"/>
    <w:rsid w:val="5C3E3E63"/>
    <w:rsid w:val="5C533E08"/>
    <w:rsid w:val="5C5679F9"/>
    <w:rsid w:val="5C5703D7"/>
    <w:rsid w:val="5C6043D4"/>
    <w:rsid w:val="5C62144B"/>
    <w:rsid w:val="5C626621"/>
    <w:rsid w:val="5C7E4CC3"/>
    <w:rsid w:val="5C825851"/>
    <w:rsid w:val="5C836B56"/>
    <w:rsid w:val="5CA11989"/>
    <w:rsid w:val="5CA80090"/>
    <w:rsid w:val="5CA93512"/>
    <w:rsid w:val="5CA96D95"/>
    <w:rsid w:val="5CAA4817"/>
    <w:rsid w:val="5CBF734C"/>
    <w:rsid w:val="5CCB27CD"/>
    <w:rsid w:val="5CD34356"/>
    <w:rsid w:val="5CED0783"/>
    <w:rsid w:val="5CEE2982"/>
    <w:rsid w:val="5D1041BB"/>
    <w:rsid w:val="5D184E4B"/>
    <w:rsid w:val="5D2D156D"/>
    <w:rsid w:val="5D352CFB"/>
    <w:rsid w:val="5D3E4A7C"/>
    <w:rsid w:val="5D3E7289"/>
    <w:rsid w:val="5D42329A"/>
    <w:rsid w:val="5D487342"/>
    <w:rsid w:val="5D49561A"/>
    <w:rsid w:val="5D58763E"/>
    <w:rsid w:val="5D5E6B65"/>
    <w:rsid w:val="5D6B2F92"/>
    <w:rsid w:val="5D8D2FA6"/>
    <w:rsid w:val="5DA30A1C"/>
    <w:rsid w:val="5DAE4FBE"/>
    <w:rsid w:val="5DB86189"/>
    <w:rsid w:val="5DB94316"/>
    <w:rsid w:val="5DBA5079"/>
    <w:rsid w:val="5DBF512A"/>
    <w:rsid w:val="5DC8396A"/>
    <w:rsid w:val="5DD3777C"/>
    <w:rsid w:val="5DD62B9F"/>
    <w:rsid w:val="5DFE05C1"/>
    <w:rsid w:val="5DFF7C9E"/>
    <w:rsid w:val="5E0537CF"/>
    <w:rsid w:val="5E0771FD"/>
    <w:rsid w:val="5E1D0E75"/>
    <w:rsid w:val="5E1E0AF5"/>
    <w:rsid w:val="5E211941"/>
    <w:rsid w:val="5E2A4C99"/>
    <w:rsid w:val="5E2D6537"/>
    <w:rsid w:val="5E2F0501"/>
    <w:rsid w:val="5E327412"/>
    <w:rsid w:val="5E3C172A"/>
    <w:rsid w:val="5E444F23"/>
    <w:rsid w:val="5E4C006B"/>
    <w:rsid w:val="5E540FCF"/>
    <w:rsid w:val="5E6E797B"/>
    <w:rsid w:val="5E6F53FC"/>
    <w:rsid w:val="5E745F14"/>
    <w:rsid w:val="5E8A3EBC"/>
    <w:rsid w:val="5E940365"/>
    <w:rsid w:val="5EA52572"/>
    <w:rsid w:val="5EA80C86"/>
    <w:rsid w:val="5EAA6F92"/>
    <w:rsid w:val="5EC46E9C"/>
    <w:rsid w:val="5EFE6634"/>
    <w:rsid w:val="5F0279C4"/>
    <w:rsid w:val="5F0A527B"/>
    <w:rsid w:val="5F0C25F1"/>
    <w:rsid w:val="5F110489"/>
    <w:rsid w:val="5F196D9D"/>
    <w:rsid w:val="5F3E47D0"/>
    <w:rsid w:val="5F3F4774"/>
    <w:rsid w:val="5F5244A8"/>
    <w:rsid w:val="5F6E2DA1"/>
    <w:rsid w:val="5F732F80"/>
    <w:rsid w:val="5F8261BE"/>
    <w:rsid w:val="5F88394B"/>
    <w:rsid w:val="5F895B49"/>
    <w:rsid w:val="5F8A0B26"/>
    <w:rsid w:val="5F8A6636"/>
    <w:rsid w:val="5F8F54D4"/>
    <w:rsid w:val="5F93445D"/>
    <w:rsid w:val="5F950B4A"/>
    <w:rsid w:val="5F991667"/>
    <w:rsid w:val="5FA91901"/>
    <w:rsid w:val="5FAD0307"/>
    <w:rsid w:val="5FBF10D2"/>
    <w:rsid w:val="5FBF6023"/>
    <w:rsid w:val="5FD34CC4"/>
    <w:rsid w:val="5FDD1F3F"/>
    <w:rsid w:val="5FDD3055"/>
    <w:rsid w:val="5FE61094"/>
    <w:rsid w:val="5FE771E7"/>
    <w:rsid w:val="5FE926EA"/>
    <w:rsid w:val="5FF02075"/>
    <w:rsid w:val="5FF40A7C"/>
    <w:rsid w:val="60033294"/>
    <w:rsid w:val="601C2B39"/>
    <w:rsid w:val="60206354"/>
    <w:rsid w:val="60243AEA"/>
    <w:rsid w:val="602A56D2"/>
    <w:rsid w:val="602F17E7"/>
    <w:rsid w:val="60496758"/>
    <w:rsid w:val="604D57AA"/>
    <w:rsid w:val="605875AA"/>
    <w:rsid w:val="605E48A8"/>
    <w:rsid w:val="605E58D0"/>
    <w:rsid w:val="60600AEA"/>
    <w:rsid w:val="606F1089"/>
    <w:rsid w:val="60725AC7"/>
    <w:rsid w:val="607F4DDC"/>
    <w:rsid w:val="60824919"/>
    <w:rsid w:val="60835BF8"/>
    <w:rsid w:val="609D5BF6"/>
    <w:rsid w:val="609F6996"/>
    <w:rsid w:val="60AF11AF"/>
    <w:rsid w:val="60B552B6"/>
    <w:rsid w:val="60B62D38"/>
    <w:rsid w:val="60BB71C0"/>
    <w:rsid w:val="60BD3BA3"/>
    <w:rsid w:val="60C62FD2"/>
    <w:rsid w:val="60CD295D"/>
    <w:rsid w:val="60CE2A97"/>
    <w:rsid w:val="60CF14B0"/>
    <w:rsid w:val="60D158A0"/>
    <w:rsid w:val="60D55390"/>
    <w:rsid w:val="60E53887"/>
    <w:rsid w:val="611440D5"/>
    <w:rsid w:val="61445E1F"/>
    <w:rsid w:val="61595DC4"/>
    <w:rsid w:val="616C7377"/>
    <w:rsid w:val="61776447"/>
    <w:rsid w:val="617821BF"/>
    <w:rsid w:val="618A128A"/>
    <w:rsid w:val="618F6740"/>
    <w:rsid w:val="619C7B32"/>
    <w:rsid w:val="61AF0D51"/>
    <w:rsid w:val="61BE469E"/>
    <w:rsid w:val="61C807BC"/>
    <w:rsid w:val="61D14789"/>
    <w:rsid w:val="61D879D7"/>
    <w:rsid w:val="61F636C4"/>
    <w:rsid w:val="620174D7"/>
    <w:rsid w:val="62024F58"/>
    <w:rsid w:val="620C3034"/>
    <w:rsid w:val="62277716"/>
    <w:rsid w:val="6253185F"/>
    <w:rsid w:val="626C4988"/>
    <w:rsid w:val="626F590C"/>
    <w:rsid w:val="62747372"/>
    <w:rsid w:val="627C183B"/>
    <w:rsid w:val="627E55B4"/>
    <w:rsid w:val="62805827"/>
    <w:rsid w:val="62820D2A"/>
    <w:rsid w:val="62911344"/>
    <w:rsid w:val="62980CCF"/>
    <w:rsid w:val="629D5157"/>
    <w:rsid w:val="62A173E0"/>
    <w:rsid w:val="62AD0C74"/>
    <w:rsid w:val="62D0059F"/>
    <w:rsid w:val="62E31181"/>
    <w:rsid w:val="62F7456C"/>
    <w:rsid w:val="63133E9C"/>
    <w:rsid w:val="63155F18"/>
    <w:rsid w:val="631D6B7A"/>
    <w:rsid w:val="632308B3"/>
    <w:rsid w:val="63302147"/>
    <w:rsid w:val="63400ABB"/>
    <w:rsid w:val="634258E5"/>
    <w:rsid w:val="63471E49"/>
    <w:rsid w:val="634D6CB0"/>
    <w:rsid w:val="634D7439"/>
    <w:rsid w:val="634E31D8"/>
    <w:rsid w:val="636F0D32"/>
    <w:rsid w:val="63735A12"/>
    <w:rsid w:val="637E354B"/>
    <w:rsid w:val="63872B56"/>
    <w:rsid w:val="6390559E"/>
    <w:rsid w:val="639221EC"/>
    <w:rsid w:val="63997A9C"/>
    <w:rsid w:val="63AD0817"/>
    <w:rsid w:val="63AE2A15"/>
    <w:rsid w:val="63BF6533"/>
    <w:rsid w:val="63C24D92"/>
    <w:rsid w:val="63CC5849"/>
    <w:rsid w:val="63CF2051"/>
    <w:rsid w:val="63D27752"/>
    <w:rsid w:val="63D43E09"/>
    <w:rsid w:val="63E15DFA"/>
    <w:rsid w:val="63F20007"/>
    <w:rsid w:val="63FA2E95"/>
    <w:rsid w:val="63FB6398"/>
    <w:rsid w:val="64056CA7"/>
    <w:rsid w:val="640B266D"/>
    <w:rsid w:val="640D62B2"/>
    <w:rsid w:val="640E1B35"/>
    <w:rsid w:val="641414C0"/>
    <w:rsid w:val="641A0055"/>
    <w:rsid w:val="64430D0B"/>
    <w:rsid w:val="64552344"/>
    <w:rsid w:val="64833355"/>
    <w:rsid w:val="6484649B"/>
    <w:rsid w:val="64872E45"/>
    <w:rsid w:val="648839FD"/>
    <w:rsid w:val="649F3623"/>
    <w:rsid w:val="64A47AAA"/>
    <w:rsid w:val="64AC6408"/>
    <w:rsid w:val="64C51278"/>
    <w:rsid w:val="64CF6370"/>
    <w:rsid w:val="64D50279"/>
    <w:rsid w:val="64DE698B"/>
    <w:rsid w:val="64E42A92"/>
    <w:rsid w:val="64FB346E"/>
    <w:rsid w:val="64FD39BC"/>
    <w:rsid w:val="650C334B"/>
    <w:rsid w:val="650F715A"/>
    <w:rsid w:val="65262602"/>
    <w:rsid w:val="65312B91"/>
    <w:rsid w:val="653B34A1"/>
    <w:rsid w:val="653F24DE"/>
    <w:rsid w:val="65740183"/>
    <w:rsid w:val="6579460B"/>
    <w:rsid w:val="65806194"/>
    <w:rsid w:val="6585041D"/>
    <w:rsid w:val="65883BF7"/>
    <w:rsid w:val="658B5327"/>
    <w:rsid w:val="658E54A9"/>
    <w:rsid w:val="658F67AE"/>
    <w:rsid w:val="65953340"/>
    <w:rsid w:val="65A04C05"/>
    <w:rsid w:val="65B23DC5"/>
    <w:rsid w:val="65B30DFD"/>
    <w:rsid w:val="65C60E87"/>
    <w:rsid w:val="65D031BE"/>
    <w:rsid w:val="65D05019"/>
    <w:rsid w:val="65D2051C"/>
    <w:rsid w:val="65D73958"/>
    <w:rsid w:val="65DA7B27"/>
    <w:rsid w:val="65EA7DC1"/>
    <w:rsid w:val="66215D1D"/>
    <w:rsid w:val="66285F62"/>
    <w:rsid w:val="662B7800"/>
    <w:rsid w:val="663C4348"/>
    <w:rsid w:val="66501015"/>
    <w:rsid w:val="665C5C0C"/>
    <w:rsid w:val="66636F9A"/>
    <w:rsid w:val="66652982"/>
    <w:rsid w:val="667A63AC"/>
    <w:rsid w:val="669811DF"/>
    <w:rsid w:val="669F0B6A"/>
    <w:rsid w:val="66A03455"/>
    <w:rsid w:val="66AA2E1B"/>
    <w:rsid w:val="66B15F58"/>
    <w:rsid w:val="66BB1790"/>
    <w:rsid w:val="66C33328"/>
    <w:rsid w:val="66C979B7"/>
    <w:rsid w:val="66CA0DC7"/>
    <w:rsid w:val="66CD2666"/>
    <w:rsid w:val="66D24120"/>
    <w:rsid w:val="66E512DE"/>
    <w:rsid w:val="67022E0D"/>
    <w:rsid w:val="6709601B"/>
    <w:rsid w:val="671059A6"/>
    <w:rsid w:val="67230DC3"/>
    <w:rsid w:val="672A3FD1"/>
    <w:rsid w:val="672C7CD4"/>
    <w:rsid w:val="672D101A"/>
    <w:rsid w:val="672F4040"/>
    <w:rsid w:val="67325B5A"/>
    <w:rsid w:val="674412F8"/>
    <w:rsid w:val="674E6DCA"/>
    <w:rsid w:val="67656598"/>
    <w:rsid w:val="6768036B"/>
    <w:rsid w:val="676F1242"/>
    <w:rsid w:val="67726944"/>
    <w:rsid w:val="67A01A11"/>
    <w:rsid w:val="67A43959"/>
    <w:rsid w:val="67A91325"/>
    <w:rsid w:val="67E1027C"/>
    <w:rsid w:val="67EE3D0F"/>
    <w:rsid w:val="67F500C6"/>
    <w:rsid w:val="67F6499F"/>
    <w:rsid w:val="68120C78"/>
    <w:rsid w:val="68180AC9"/>
    <w:rsid w:val="681B135B"/>
    <w:rsid w:val="682664D1"/>
    <w:rsid w:val="68420814"/>
    <w:rsid w:val="68490BA5"/>
    <w:rsid w:val="68582403"/>
    <w:rsid w:val="686908C7"/>
    <w:rsid w:val="687C2679"/>
    <w:rsid w:val="68860A0A"/>
    <w:rsid w:val="68923629"/>
    <w:rsid w:val="689457A1"/>
    <w:rsid w:val="6897117D"/>
    <w:rsid w:val="689A54AC"/>
    <w:rsid w:val="68AB7945"/>
    <w:rsid w:val="68CB7079"/>
    <w:rsid w:val="68F50795"/>
    <w:rsid w:val="68FF2C52"/>
    <w:rsid w:val="692A5C95"/>
    <w:rsid w:val="692F5AF2"/>
    <w:rsid w:val="69335A4E"/>
    <w:rsid w:val="6941113D"/>
    <w:rsid w:val="6942558D"/>
    <w:rsid w:val="69470DF5"/>
    <w:rsid w:val="69655E7A"/>
    <w:rsid w:val="69811F27"/>
    <w:rsid w:val="69821BA7"/>
    <w:rsid w:val="699356C4"/>
    <w:rsid w:val="69A67375"/>
    <w:rsid w:val="69A8376D"/>
    <w:rsid w:val="69C161DD"/>
    <w:rsid w:val="69D22C2B"/>
    <w:rsid w:val="69EE4AD9"/>
    <w:rsid w:val="6A175CD2"/>
    <w:rsid w:val="6A34524E"/>
    <w:rsid w:val="6A3749C6"/>
    <w:rsid w:val="6A3E279B"/>
    <w:rsid w:val="6A426762"/>
    <w:rsid w:val="6A4C5F97"/>
    <w:rsid w:val="6A67569D"/>
    <w:rsid w:val="6A771266"/>
    <w:rsid w:val="6A7A68BC"/>
    <w:rsid w:val="6A8D335E"/>
    <w:rsid w:val="6A997170"/>
    <w:rsid w:val="6AA11FFE"/>
    <w:rsid w:val="6AA57CB8"/>
    <w:rsid w:val="6ABC062A"/>
    <w:rsid w:val="6AC91EBE"/>
    <w:rsid w:val="6AE05366"/>
    <w:rsid w:val="6AE517EE"/>
    <w:rsid w:val="6AEF20FE"/>
    <w:rsid w:val="6B0A3E88"/>
    <w:rsid w:val="6B0D3978"/>
    <w:rsid w:val="6B0E5024"/>
    <w:rsid w:val="6B1000B4"/>
    <w:rsid w:val="6B347157"/>
    <w:rsid w:val="6B3837F7"/>
    <w:rsid w:val="6B4D6DD6"/>
    <w:rsid w:val="6B5E682D"/>
    <w:rsid w:val="6B601CFA"/>
    <w:rsid w:val="6B9A4795"/>
    <w:rsid w:val="6B9D0F9D"/>
    <w:rsid w:val="6BA51E03"/>
    <w:rsid w:val="6BB65DBE"/>
    <w:rsid w:val="6BC172F1"/>
    <w:rsid w:val="6BC952E4"/>
    <w:rsid w:val="6BCE53EF"/>
    <w:rsid w:val="6BD623FB"/>
    <w:rsid w:val="6BEF0E44"/>
    <w:rsid w:val="6BF72930"/>
    <w:rsid w:val="6BFE2F92"/>
    <w:rsid w:val="6BFF1513"/>
    <w:rsid w:val="6C030941"/>
    <w:rsid w:val="6C0A02CC"/>
    <w:rsid w:val="6C0B435C"/>
    <w:rsid w:val="6C136D6D"/>
    <w:rsid w:val="6C152AE5"/>
    <w:rsid w:val="6C1769F6"/>
    <w:rsid w:val="6C423AF6"/>
    <w:rsid w:val="6C5B6DD1"/>
    <w:rsid w:val="6C60644C"/>
    <w:rsid w:val="6C621FDF"/>
    <w:rsid w:val="6C6973EC"/>
    <w:rsid w:val="6C6F46A5"/>
    <w:rsid w:val="6C793A09"/>
    <w:rsid w:val="6CA91F70"/>
    <w:rsid w:val="6CAB36D8"/>
    <w:rsid w:val="6CAF20DF"/>
    <w:rsid w:val="6CB4220A"/>
    <w:rsid w:val="6CC87405"/>
    <w:rsid w:val="6CE1032F"/>
    <w:rsid w:val="6D0240E7"/>
    <w:rsid w:val="6D036096"/>
    <w:rsid w:val="6D071DAB"/>
    <w:rsid w:val="6D155306"/>
    <w:rsid w:val="6D167504"/>
    <w:rsid w:val="6D172A07"/>
    <w:rsid w:val="6D275220"/>
    <w:rsid w:val="6D2A61A5"/>
    <w:rsid w:val="6D305B30"/>
    <w:rsid w:val="6D4E0963"/>
    <w:rsid w:val="6D503E66"/>
    <w:rsid w:val="6D5B21F7"/>
    <w:rsid w:val="6D702546"/>
    <w:rsid w:val="6D812437"/>
    <w:rsid w:val="6D8455BA"/>
    <w:rsid w:val="6D871DC2"/>
    <w:rsid w:val="6D8A2D46"/>
    <w:rsid w:val="6D9B2FE1"/>
    <w:rsid w:val="6D9E6164"/>
    <w:rsid w:val="6DA63570"/>
    <w:rsid w:val="6DBE71AC"/>
    <w:rsid w:val="6DD16EDF"/>
    <w:rsid w:val="6DD72E46"/>
    <w:rsid w:val="6DDE27D0"/>
    <w:rsid w:val="6DDE6F4D"/>
    <w:rsid w:val="6DDF49CF"/>
    <w:rsid w:val="6DE36C58"/>
    <w:rsid w:val="6DEB2489"/>
    <w:rsid w:val="6DED7568"/>
    <w:rsid w:val="6DF777CB"/>
    <w:rsid w:val="6E04138B"/>
    <w:rsid w:val="6E056E0D"/>
    <w:rsid w:val="6E1804E6"/>
    <w:rsid w:val="6E1C4834"/>
    <w:rsid w:val="6E2D74A0"/>
    <w:rsid w:val="6E2F772D"/>
    <w:rsid w:val="6E31797E"/>
    <w:rsid w:val="6E3808E1"/>
    <w:rsid w:val="6E492F1A"/>
    <w:rsid w:val="6E573394"/>
    <w:rsid w:val="6E5B1D9A"/>
    <w:rsid w:val="6E6E75D4"/>
    <w:rsid w:val="6E7042BE"/>
    <w:rsid w:val="6E8126B3"/>
    <w:rsid w:val="6E8421A4"/>
    <w:rsid w:val="6E89072E"/>
    <w:rsid w:val="6E891568"/>
    <w:rsid w:val="6E8C5DEC"/>
    <w:rsid w:val="6E9F158A"/>
    <w:rsid w:val="6EC262C6"/>
    <w:rsid w:val="6EC73F63"/>
    <w:rsid w:val="6ECC76A7"/>
    <w:rsid w:val="6ED317D6"/>
    <w:rsid w:val="6EE449F0"/>
    <w:rsid w:val="6EE75201"/>
    <w:rsid w:val="6EFA4222"/>
    <w:rsid w:val="6EFC51A7"/>
    <w:rsid w:val="6F03131A"/>
    <w:rsid w:val="6F0547B1"/>
    <w:rsid w:val="6F0B34B0"/>
    <w:rsid w:val="6F116045"/>
    <w:rsid w:val="6F2550CA"/>
    <w:rsid w:val="6F3A3986"/>
    <w:rsid w:val="6F4F2E3F"/>
    <w:rsid w:val="6F570FB3"/>
    <w:rsid w:val="6F572DF1"/>
    <w:rsid w:val="6F5D06C3"/>
    <w:rsid w:val="6F6E41E1"/>
    <w:rsid w:val="6F7F6679"/>
    <w:rsid w:val="6F9D7B2F"/>
    <w:rsid w:val="6FA355B4"/>
    <w:rsid w:val="6FA43036"/>
    <w:rsid w:val="6FE96534"/>
    <w:rsid w:val="6FEA08BF"/>
    <w:rsid w:val="6FFF244B"/>
    <w:rsid w:val="70065F63"/>
    <w:rsid w:val="700A07DC"/>
    <w:rsid w:val="700C1760"/>
    <w:rsid w:val="700F04E7"/>
    <w:rsid w:val="70105F68"/>
    <w:rsid w:val="70266E91"/>
    <w:rsid w:val="702E2F9A"/>
    <w:rsid w:val="703561A8"/>
    <w:rsid w:val="704C7447"/>
    <w:rsid w:val="70647BF1"/>
    <w:rsid w:val="706A537D"/>
    <w:rsid w:val="707729D9"/>
    <w:rsid w:val="707D2D28"/>
    <w:rsid w:val="7099044B"/>
    <w:rsid w:val="70B17CF0"/>
    <w:rsid w:val="70CD5313"/>
    <w:rsid w:val="70EA114F"/>
    <w:rsid w:val="70ED1C4A"/>
    <w:rsid w:val="70F30069"/>
    <w:rsid w:val="70F4008C"/>
    <w:rsid w:val="70FE5BF1"/>
    <w:rsid w:val="710B44B6"/>
    <w:rsid w:val="71127D51"/>
    <w:rsid w:val="71153587"/>
    <w:rsid w:val="71170D19"/>
    <w:rsid w:val="71332BBF"/>
    <w:rsid w:val="71384BB7"/>
    <w:rsid w:val="713C1E52"/>
    <w:rsid w:val="713E2ADE"/>
    <w:rsid w:val="71491244"/>
    <w:rsid w:val="71535E5D"/>
    <w:rsid w:val="71593474"/>
    <w:rsid w:val="71622092"/>
    <w:rsid w:val="716C2775"/>
    <w:rsid w:val="716F0EE9"/>
    <w:rsid w:val="716F71A9"/>
    <w:rsid w:val="71943B66"/>
    <w:rsid w:val="7198256C"/>
    <w:rsid w:val="71A82806"/>
    <w:rsid w:val="71A97DB6"/>
    <w:rsid w:val="71B15694"/>
    <w:rsid w:val="71BE59CD"/>
    <w:rsid w:val="71BF6659"/>
    <w:rsid w:val="71CF4C44"/>
    <w:rsid w:val="71E3006B"/>
    <w:rsid w:val="71EF5179"/>
    <w:rsid w:val="71F21981"/>
    <w:rsid w:val="71F47640"/>
    <w:rsid w:val="71F80EDE"/>
    <w:rsid w:val="71F85704"/>
    <w:rsid w:val="71FB1AAE"/>
    <w:rsid w:val="71FF3215"/>
    <w:rsid w:val="71FF7992"/>
    <w:rsid w:val="72001B41"/>
    <w:rsid w:val="72021D5D"/>
    <w:rsid w:val="720A37A4"/>
    <w:rsid w:val="720B1226"/>
    <w:rsid w:val="720F0703"/>
    <w:rsid w:val="7218633D"/>
    <w:rsid w:val="7231619E"/>
    <w:rsid w:val="72345C6E"/>
    <w:rsid w:val="724A458E"/>
    <w:rsid w:val="7274556F"/>
    <w:rsid w:val="72764159"/>
    <w:rsid w:val="727C6062"/>
    <w:rsid w:val="72A66EA6"/>
    <w:rsid w:val="72BF7DD0"/>
    <w:rsid w:val="72CB4D47"/>
    <w:rsid w:val="72D2576C"/>
    <w:rsid w:val="72D9097A"/>
    <w:rsid w:val="72D975AD"/>
    <w:rsid w:val="72F0605A"/>
    <w:rsid w:val="730C20CE"/>
    <w:rsid w:val="731068D5"/>
    <w:rsid w:val="731D1AF7"/>
    <w:rsid w:val="732E0084"/>
    <w:rsid w:val="73345810"/>
    <w:rsid w:val="733A771A"/>
    <w:rsid w:val="733F2189"/>
    <w:rsid w:val="734C186D"/>
    <w:rsid w:val="737D3686"/>
    <w:rsid w:val="738F4C25"/>
    <w:rsid w:val="738F6E24"/>
    <w:rsid w:val="73A6496A"/>
    <w:rsid w:val="73AC3271"/>
    <w:rsid w:val="73B61051"/>
    <w:rsid w:val="73C053F4"/>
    <w:rsid w:val="73C86084"/>
    <w:rsid w:val="73D31E97"/>
    <w:rsid w:val="73DC6F23"/>
    <w:rsid w:val="73F67ACD"/>
    <w:rsid w:val="73F73418"/>
    <w:rsid w:val="74024296"/>
    <w:rsid w:val="740D76F2"/>
    <w:rsid w:val="741B228B"/>
    <w:rsid w:val="7424513C"/>
    <w:rsid w:val="7445564D"/>
    <w:rsid w:val="744765D2"/>
    <w:rsid w:val="74566BED"/>
    <w:rsid w:val="7466715C"/>
    <w:rsid w:val="748972DE"/>
    <w:rsid w:val="748C3843"/>
    <w:rsid w:val="74936C9D"/>
    <w:rsid w:val="749C18DF"/>
    <w:rsid w:val="749F02E6"/>
    <w:rsid w:val="74A52E74"/>
    <w:rsid w:val="74B719EB"/>
    <w:rsid w:val="74B9560C"/>
    <w:rsid w:val="74C27E8A"/>
    <w:rsid w:val="74C74FEB"/>
    <w:rsid w:val="74F51705"/>
    <w:rsid w:val="74FF02FF"/>
    <w:rsid w:val="751F40B7"/>
    <w:rsid w:val="75232716"/>
    <w:rsid w:val="752D7B49"/>
    <w:rsid w:val="75357D54"/>
    <w:rsid w:val="753A26E2"/>
    <w:rsid w:val="753C2362"/>
    <w:rsid w:val="754C03FE"/>
    <w:rsid w:val="75555092"/>
    <w:rsid w:val="755B2C17"/>
    <w:rsid w:val="757921C7"/>
    <w:rsid w:val="75A4312B"/>
    <w:rsid w:val="75BD46DB"/>
    <w:rsid w:val="75BF3144"/>
    <w:rsid w:val="75CC7A53"/>
    <w:rsid w:val="75D572A1"/>
    <w:rsid w:val="75D75DE4"/>
    <w:rsid w:val="75DA01AB"/>
    <w:rsid w:val="75EA3234"/>
    <w:rsid w:val="75EB600B"/>
    <w:rsid w:val="75EF09CF"/>
    <w:rsid w:val="75F1440F"/>
    <w:rsid w:val="75F2660E"/>
    <w:rsid w:val="75F401A9"/>
    <w:rsid w:val="75FD0222"/>
    <w:rsid w:val="75FF0362"/>
    <w:rsid w:val="76224BDE"/>
    <w:rsid w:val="762C0D71"/>
    <w:rsid w:val="763E2BEB"/>
    <w:rsid w:val="76515048"/>
    <w:rsid w:val="765D1540"/>
    <w:rsid w:val="765E32DA"/>
    <w:rsid w:val="76607443"/>
    <w:rsid w:val="76741704"/>
    <w:rsid w:val="768F57A2"/>
    <w:rsid w:val="76A2766B"/>
    <w:rsid w:val="76AE47C2"/>
    <w:rsid w:val="76DE4B6E"/>
    <w:rsid w:val="76E86402"/>
    <w:rsid w:val="76F349BC"/>
    <w:rsid w:val="76FA12D1"/>
    <w:rsid w:val="770A5210"/>
    <w:rsid w:val="77166770"/>
    <w:rsid w:val="77176F12"/>
    <w:rsid w:val="772C0914"/>
    <w:rsid w:val="7733029F"/>
    <w:rsid w:val="77384726"/>
    <w:rsid w:val="775E4966"/>
    <w:rsid w:val="77602068"/>
    <w:rsid w:val="77663F71"/>
    <w:rsid w:val="77697AF5"/>
    <w:rsid w:val="77881F27"/>
    <w:rsid w:val="778F7334"/>
    <w:rsid w:val="77925931"/>
    <w:rsid w:val="77954B7B"/>
    <w:rsid w:val="77985A45"/>
    <w:rsid w:val="779B3146"/>
    <w:rsid w:val="779F1B4C"/>
    <w:rsid w:val="77B238DE"/>
    <w:rsid w:val="77BD4980"/>
    <w:rsid w:val="77C30F4A"/>
    <w:rsid w:val="77DE2936"/>
    <w:rsid w:val="77ED2F50"/>
    <w:rsid w:val="78014865"/>
    <w:rsid w:val="78127272"/>
    <w:rsid w:val="78160310"/>
    <w:rsid w:val="78212B0A"/>
    <w:rsid w:val="782D11B6"/>
    <w:rsid w:val="783223C0"/>
    <w:rsid w:val="783458C3"/>
    <w:rsid w:val="7836450F"/>
    <w:rsid w:val="7842045C"/>
    <w:rsid w:val="784B54E8"/>
    <w:rsid w:val="785173F2"/>
    <w:rsid w:val="78543BF9"/>
    <w:rsid w:val="7855070D"/>
    <w:rsid w:val="785B3584"/>
    <w:rsid w:val="786F17CF"/>
    <w:rsid w:val="78713799"/>
    <w:rsid w:val="787C70A1"/>
    <w:rsid w:val="788F4CD8"/>
    <w:rsid w:val="78981BAF"/>
    <w:rsid w:val="7898405D"/>
    <w:rsid w:val="78A425A0"/>
    <w:rsid w:val="78AB0D85"/>
    <w:rsid w:val="78AB5978"/>
    <w:rsid w:val="78AE7E54"/>
    <w:rsid w:val="78C2238C"/>
    <w:rsid w:val="78C80EDF"/>
    <w:rsid w:val="78C955FE"/>
    <w:rsid w:val="78CC6C21"/>
    <w:rsid w:val="78D244C8"/>
    <w:rsid w:val="78DB50B6"/>
    <w:rsid w:val="78E06AB0"/>
    <w:rsid w:val="78EE6B97"/>
    <w:rsid w:val="78FE54EF"/>
    <w:rsid w:val="792451CB"/>
    <w:rsid w:val="79287455"/>
    <w:rsid w:val="793230AC"/>
    <w:rsid w:val="79352A18"/>
    <w:rsid w:val="79393B8B"/>
    <w:rsid w:val="7949417E"/>
    <w:rsid w:val="795A5FDB"/>
    <w:rsid w:val="796055BB"/>
    <w:rsid w:val="79622AB2"/>
    <w:rsid w:val="79775EC9"/>
    <w:rsid w:val="797F7E64"/>
    <w:rsid w:val="79825532"/>
    <w:rsid w:val="79876FEC"/>
    <w:rsid w:val="79AB4A88"/>
    <w:rsid w:val="79CB512B"/>
    <w:rsid w:val="79D52DF1"/>
    <w:rsid w:val="79D7762B"/>
    <w:rsid w:val="79DB277C"/>
    <w:rsid w:val="79DD67B7"/>
    <w:rsid w:val="79E04592"/>
    <w:rsid w:val="79E37B88"/>
    <w:rsid w:val="79E7658E"/>
    <w:rsid w:val="79EA2C5F"/>
    <w:rsid w:val="79EE0E19"/>
    <w:rsid w:val="79FD0732"/>
    <w:rsid w:val="7A1173D2"/>
    <w:rsid w:val="7A2B747B"/>
    <w:rsid w:val="7A48546E"/>
    <w:rsid w:val="7A486C06"/>
    <w:rsid w:val="7A506EB7"/>
    <w:rsid w:val="7A583B82"/>
    <w:rsid w:val="7A5C3FCF"/>
    <w:rsid w:val="7A903524"/>
    <w:rsid w:val="7AA421C5"/>
    <w:rsid w:val="7AAB75D1"/>
    <w:rsid w:val="7AB77B60"/>
    <w:rsid w:val="7ABF29EE"/>
    <w:rsid w:val="7AD02C89"/>
    <w:rsid w:val="7AFD5155"/>
    <w:rsid w:val="7B0365AA"/>
    <w:rsid w:val="7B0B75EA"/>
    <w:rsid w:val="7B166C80"/>
    <w:rsid w:val="7B242D44"/>
    <w:rsid w:val="7B2833D7"/>
    <w:rsid w:val="7B2D3022"/>
    <w:rsid w:val="7B430CF1"/>
    <w:rsid w:val="7B452CBB"/>
    <w:rsid w:val="7B454A69"/>
    <w:rsid w:val="7B56651E"/>
    <w:rsid w:val="7B59516B"/>
    <w:rsid w:val="7B615DFB"/>
    <w:rsid w:val="7B6D3E0C"/>
    <w:rsid w:val="7B6F1AE6"/>
    <w:rsid w:val="7B7716E6"/>
    <w:rsid w:val="7B776EB0"/>
    <w:rsid w:val="7B88353D"/>
    <w:rsid w:val="7B897EB9"/>
    <w:rsid w:val="7BB400D0"/>
    <w:rsid w:val="7BDD1298"/>
    <w:rsid w:val="7BEC31E9"/>
    <w:rsid w:val="7BED153B"/>
    <w:rsid w:val="7BF344C5"/>
    <w:rsid w:val="7BF42DEB"/>
    <w:rsid w:val="7BFA6EF3"/>
    <w:rsid w:val="7C084414"/>
    <w:rsid w:val="7C1A4147"/>
    <w:rsid w:val="7C296138"/>
    <w:rsid w:val="7C3D44E4"/>
    <w:rsid w:val="7C5807CC"/>
    <w:rsid w:val="7C60616F"/>
    <w:rsid w:val="7C62561D"/>
    <w:rsid w:val="7C75463E"/>
    <w:rsid w:val="7C7B4EBA"/>
    <w:rsid w:val="7C937471"/>
    <w:rsid w:val="7C9570F1"/>
    <w:rsid w:val="7CAA0B47"/>
    <w:rsid w:val="7CAD6D69"/>
    <w:rsid w:val="7CAE2219"/>
    <w:rsid w:val="7CB244A3"/>
    <w:rsid w:val="7CB31F25"/>
    <w:rsid w:val="7CB9602C"/>
    <w:rsid w:val="7CD05C51"/>
    <w:rsid w:val="7CDB7433"/>
    <w:rsid w:val="7CE34539"/>
    <w:rsid w:val="7CF96E16"/>
    <w:rsid w:val="7CFE6580"/>
    <w:rsid w:val="7D183E47"/>
    <w:rsid w:val="7D2569E0"/>
    <w:rsid w:val="7D3A787F"/>
    <w:rsid w:val="7D3C6605"/>
    <w:rsid w:val="7D3D77C8"/>
    <w:rsid w:val="7D495EEB"/>
    <w:rsid w:val="7D543CAC"/>
    <w:rsid w:val="7D590D1B"/>
    <w:rsid w:val="7D6242BE"/>
    <w:rsid w:val="7D7F24B4"/>
    <w:rsid w:val="7D8B6384"/>
    <w:rsid w:val="7D8C2E23"/>
    <w:rsid w:val="7DBC23D7"/>
    <w:rsid w:val="7DC378FD"/>
    <w:rsid w:val="7DC4436B"/>
    <w:rsid w:val="7DCA7865"/>
    <w:rsid w:val="7DF734B5"/>
    <w:rsid w:val="7DF969B8"/>
    <w:rsid w:val="7E0A3FA9"/>
    <w:rsid w:val="7E0D0EDC"/>
    <w:rsid w:val="7E377B22"/>
    <w:rsid w:val="7E3808B5"/>
    <w:rsid w:val="7E3E74AD"/>
    <w:rsid w:val="7E435BD1"/>
    <w:rsid w:val="7E450CC9"/>
    <w:rsid w:val="7E4D6442"/>
    <w:rsid w:val="7E5F290D"/>
    <w:rsid w:val="7E5F5996"/>
    <w:rsid w:val="7E672870"/>
    <w:rsid w:val="7E6D67B0"/>
    <w:rsid w:val="7E865716"/>
    <w:rsid w:val="7E8A1B2B"/>
    <w:rsid w:val="7E947EBC"/>
    <w:rsid w:val="7EA45F4A"/>
    <w:rsid w:val="7ECB6D11"/>
    <w:rsid w:val="7EE22F44"/>
    <w:rsid w:val="7EE50A3C"/>
    <w:rsid w:val="7EE60311"/>
    <w:rsid w:val="7EEC2AC9"/>
    <w:rsid w:val="7EED054A"/>
    <w:rsid w:val="7EEF6163"/>
    <w:rsid w:val="7EF26089"/>
    <w:rsid w:val="7F124F07"/>
    <w:rsid w:val="7F1E29EB"/>
    <w:rsid w:val="7F203823"/>
    <w:rsid w:val="7F2E23E3"/>
    <w:rsid w:val="7F4F4108"/>
    <w:rsid w:val="7F5A6980"/>
    <w:rsid w:val="7F5F65D1"/>
    <w:rsid w:val="7F6C211D"/>
    <w:rsid w:val="7F724027"/>
    <w:rsid w:val="7F7F333C"/>
    <w:rsid w:val="7F8A16CD"/>
    <w:rsid w:val="7F932247"/>
    <w:rsid w:val="7F93455B"/>
    <w:rsid w:val="7FA2692E"/>
    <w:rsid w:val="7FBC791E"/>
    <w:rsid w:val="7FC05006"/>
    <w:rsid w:val="7FD14040"/>
    <w:rsid w:val="7FE4525F"/>
    <w:rsid w:val="7FE52CE1"/>
    <w:rsid w:val="7FED3970"/>
    <w:rsid w:val="7FF667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640" w:lineRule="exact"/>
      <w:ind w:firstLine="200" w:firstLineChars="200"/>
      <w:jc w:val="both"/>
    </w:pPr>
    <w:rPr>
      <w:rFonts w:ascii="Times New Roman" w:hAnsi="Times New Roman" w:eastAsia="仿宋_GB2312" w:cstheme="minorBidi"/>
      <w:kern w:val="2"/>
      <w:sz w:val="32"/>
      <w:szCs w:val="22"/>
      <w:lang w:val="en-US" w:eastAsia="zh-CN" w:bidi="ar-SA"/>
    </w:rPr>
  </w:style>
  <w:style w:type="paragraph" w:styleId="3">
    <w:name w:val="heading 1"/>
    <w:basedOn w:val="1"/>
    <w:next w:val="1"/>
    <w:qFormat/>
    <w:uiPriority w:val="9"/>
    <w:pPr>
      <w:keepNext/>
      <w:keepLines/>
      <w:numPr>
        <w:ilvl w:val="0"/>
        <w:numId w:val="1"/>
      </w:numPr>
      <w:spacing w:before="156" w:beforeLines="50" w:after="156" w:afterLines="50"/>
      <w:ind w:left="0" w:firstLine="0" w:firstLineChars="0"/>
      <w:jc w:val="center"/>
      <w:outlineLvl w:val="0"/>
    </w:pPr>
    <w:rPr>
      <w:rFonts w:eastAsia="黑体"/>
      <w:b/>
      <w:bCs/>
      <w:kern w:val="44"/>
      <w:sz w:val="36"/>
      <w:szCs w:val="44"/>
    </w:rPr>
  </w:style>
  <w:style w:type="paragraph" w:styleId="4">
    <w:name w:val="heading 2"/>
    <w:basedOn w:val="1"/>
    <w:next w:val="1"/>
    <w:link w:val="26"/>
    <w:unhideWhenUsed/>
    <w:qFormat/>
    <w:uiPriority w:val="9"/>
    <w:pPr>
      <w:keepNext/>
      <w:keepLines/>
      <w:numPr>
        <w:ilvl w:val="1"/>
        <w:numId w:val="1"/>
      </w:numPr>
      <w:adjustRightInd w:val="0"/>
      <w:spacing w:before="50" w:beforeLines="50" w:after="50" w:afterLines="50"/>
      <w:ind w:left="705" w:leftChars="110" w:firstLine="286" w:firstLineChars="89"/>
      <w:outlineLvl w:val="1"/>
    </w:pPr>
    <w:rPr>
      <w:rFonts w:eastAsia="楷体_GB2312" w:cstheme="majorBidi"/>
      <w:b/>
      <w:bCs/>
      <w:color w:val="auto"/>
      <w:szCs w:val="32"/>
    </w:rPr>
  </w:style>
  <w:style w:type="paragraph" w:styleId="5">
    <w:name w:val="heading 3"/>
    <w:basedOn w:val="1"/>
    <w:next w:val="1"/>
    <w:unhideWhenUsed/>
    <w:qFormat/>
    <w:uiPriority w:val="9"/>
    <w:pPr>
      <w:keepNext/>
      <w:keepLines/>
      <w:numPr>
        <w:ilvl w:val="2"/>
        <w:numId w:val="1"/>
      </w:numPr>
      <w:adjustRightInd w:val="0"/>
      <w:snapToGrid w:val="0"/>
      <w:ind w:left="0" w:firstLine="643"/>
      <w:outlineLvl w:val="2"/>
    </w:pPr>
    <w:rPr>
      <w:b/>
      <w:bCs/>
      <w:szCs w:val="32"/>
    </w:rPr>
  </w:style>
  <w:style w:type="paragraph" w:styleId="6">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2">
    <w:name w:val="Normal Indent"/>
    <w:basedOn w:val="1"/>
    <w:next w:val="1"/>
    <w:qFormat/>
    <w:uiPriority w:val="0"/>
    <w:pPr>
      <w:widowControl w:val="0"/>
      <w:adjustRightInd/>
      <w:snapToGrid/>
      <w:spacing w:after="0"/>
      <w:ind w:firstLine="200" w:firstLineChars="200"/>
      <w:jc w:val="both"/>
    </w:pPr>
    <w:rPr>
      <w:rFonts w:ascii="Times New Roman" w:hAnsi="Times New Roman" w:eastAsia="宋体" w:cs="Times New Roman"/>
      <w:kern w:val="2"/>
      <w:sz w:val="21"/>
      <w:szCs w:val="24"/>
      <w:lang w:bidi="ar-SA"/>
    </w:rPr>
  </w:style>
  <w:style w:type="paragraph" w:styleId="7">
    <w:name w:val="caption"/>
    <w:basedOn w:val="1"/>
    <w:next w:val="1"/>
    <w:link w:val="34"/>
    <w:unhideWhenUsed/>
    <w:qFormat/>
    <w:uiPriority w:val="0"/>
    <w:pPr>
      <w:adjustRightInd w:val="0"/>
      <w:snapToGrid w:val="0"/>
      <w:spacing w:line="240" w:lineRule="auto"/>
      <w:ind w:firstLine="0" w:firstLineChars="0"/>
      <w:jc w:val="center"/>
    </w:pPr>
    <w:rPr>
      <w:rFonts w:eastAsia="楷体"/>
      <w:sz w:val="28"/>
    </w:rPr>
  </w:style>
  <w:style w:type="paragraph" w:styleId="8">
    <w:name w:val="annotation text"/>
    <w:basedOn w:val="1"/>
    <w:qFormat/>
    <w:uiPriority w:val="0"/>
    <w:pPr>
      <w:jc w:val="left"/>
    </w:pPr>
  </w:style>
  <w:style w:type="paragraph" w:styleId="9">
    <w:name w:val="Salutation"/>
    <w:basedOn w:val="1"/>
    <w:next w:val="1"/>
    <w:unhideWhenUsed/>
    <w:qFormat/>
    <w:uiPriority w:val="99"/>
    <w:rPr>
      <w:rFonts w:cs="Times New Roman"/>
      <w:szCs w:val="32"/>
    </w:rPr>
  </w:style>
  <w:style w:type="paragraph" w:styleId="10">
    <w:name w:val="Body Text Indent"/>
    <w:basedOn w:val="1"/>
    <w:unhideWhenUsed/>
    <w:qFormat/>
    <w:uiPriority w:val="99"/>
    <w:pPr>
      <w:spacing w:after="120"/>
      <w:ind w:left="420" w:leftChars="200"/>
    </w:pPr>
  </w:style>
  <w:style w:type="paragraph" w:styleId="11">
    <w:name w:val="toc 3"/>
    <w:basedOn w:val="1"/>
    <w:next w:val="1"/>
    <w:qFormat/>
    <w:uiPriority w:val="0"/>
    <w:pPr>
      <w:tabs>
        <w:tab w:val="right" w:leader="dot" w:pos="8302"/>
      </w:tabs>
      <w:snapToGrid w:val="0"/>
      <w:spacing w:line="240" w:lineRule="auto"/>
      <w:ind w:firstLine="560" w:firstLineChars="200"/>
      <w:jc w:val="left"/>
    </w:pPr>
    <w:rPr>
      <w:rFonts w:ascii="Times New Roman" w:hAnsi="Times New Roman" w:eastAsia="仿宋_GB2312" w:cs="Calibri"/>
      <w:iCs/>
      <w:sz w:val="30"/>
      <w:szCs w:val="20"/>
    </w:rPr>
  </w:style>
  <w:style w:type="paragraph" w:styleId="12">
    <w:name w:val="footer"/>
    <w:basedOn w:val="1"/>
    <w:unhideWhenUsed/>
    <w:qFormat/>
    <w:uiPriority w:val="99"/>
    <w:pPr>
      <w:tabs>
        <w:tab w:val="center" w:pos="4153"/>
        <w:tab w:val="right" w:pos="8306"/>
      </w:tabs>
      <w:snapToGrid w:val="0"/>
      <w:jc w:val="left"/>
    </w:pPr>
    <w:rPr>
      <w:sz w:val="18"/>
      <w:szCs w:val="18"/>
    </w:rPr>
  </w:style>
  <w:style w:type="paragraph" w:styleId="13">
    <w:name w:val="header"/>
    <w:basedOn w:val="1"/>
    <w:unhideWhenUsed/>
    <w:qFormat/>
    <w:uiPriority w:val="99"/>
    <w:pPr>
      <w:tabs>
        <w:tab w:val="center" w:pos="4153"/>
        <w:tab w:val="right" w:pos="8306"/>
      </w:tabs>
      <w:snapToGrid w:val="0"/>
      <w:jc w:val="center"/>
    </w:pPr>
    <w:rPr>
      <w:sz w:val="18"/>
      <w:szCs w:val="18"/>
    </w:rPr>
  </w:style>
  <w:style w:type="paragraph" w:styleId="14">
    <w:name w:val="toc 1"/>
    <w:basedOn w:val="1"/>
    <w:next w:val="1"/>
    <w:qFormat/>
    <w:uiPriority w:val="0"/>
    <w:pPr>
      <w:ind w:firstLine="0" w:firstLineChars="0"/>
    </w:pPr>
    <w:rPr>
      <w:rFonts w:ascii="Times New Roman" w:hAnsi="Times New Roman" w:eastAsia="黑体"/>
    </w:rPr>
  </w:style>
  <w:style w:type="paragraph" w:styleId="15">
    <w:name w:val="footnote text"/>
    <w:basedOn w:val="1"/>
    <w:qFormat/>
    <w:uiPriority w:val="0"/>
    <w:pPr>
      <w:snapToGrid w:val="0"/>
      <w:jc w:val="left"/>
    </w:pPr>
    <w:rPr>
      <w:sz w:val="18"/>
    </w:rPr>
  </w:style>
  <w:style w:type="paragraph" w:styleId="16">
    <w:name w:val="table of figures"/>
    <w:basedOn w:val="1"/>
    <w:next w:val="1"/>
    <w:qFormat/>
    <w:uiPriority w:val="0"/>
    <w:pPr>
      <w:keepNext w:val="0"/>
      <w:keepLines w:val="0"/>
      <w:widowControl w:val="0"/>
      <w:suppressLineNumbers w:val="0"/>
      <w:ind w:left="200" w:leftChars="200" w:hanging="200" w:hangingChars="200"/>
      <w:jc w:val="both"/>
    </w:pPr>
    <w:rPr>
      <w:rFonts w:hint="default" w:ascii="Calibri" w:hAnsi="Calibri" w:eastAsia="宋体" w:cs="Times New Roman"/>
      <w:kern w:val="2"/>
      <w:sz w:val="21"/>
      <w:szCs w:val="21"/>
      <w:lang w:val="en-US" w:eastAsia="zh-CN" w:bidi="ar"/>
    </w:rPr>
  </w:style>
  <w:style w:type="paragraph" w:styleId="17">
    <w:name w:val="toc 2"/>
    <w:basedOn w:val="1"/>
    <w:next w:val="1"/>
    <w:qFormat/>
    <w:uiPriority w:val="0"/>
    <w:pPr>
      <w:tabs>
        <w:tab w:val="right" w:leader="dot" w:pos="9825"/>
      </w:tabs>
      <w:ind w:left="420" w:leftChars="200" w:firstLine="0" w:firstLineChars="0"/>
    </w:pPr>
    <w:rPr>
      <w:rFonts w:eastAsia="楷体_GB2312" w:cs="Times New Roman"/>
      <w:szCs w:val="32"/>
      <w:highlight w:val="none"/>
    </w:rPr>
  </w:style>
  <w:style w:type="paragraph" w:styleId="18">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9">
    <w:name w:val="Body Text First Indent 2"/>
    <w:basedOn w:val="10"/>
    <w:unhideWhenUsed/>
    <w:qFormat/>
    <w:uiPriority w:val="99"/>
    <w:pPr>
      <w:adjustRightInd w:val="0"/>
      <w:snapToGrid w:val="0"/>
      <w:spacing w:before="0" w:after="0" w:line="640" w:lineRule="exact"/>
      <w:ind w:left="0" w:leftChars="0" w:firstLine="600" w:firstLineChars="200"/>
      <w:jc w:val="both"/>
    </w:pPr>
    <w:rPr>
      <w:rFonts w:ascii="Times New Roman" w:hAnsi="Times New Roman" w:eastAsia="仿宋_GB2312" w:cs="黑体"/>
      <w:sz w:val="30"/>
      <w:szCs w:val="22"/>
      <w:lang w:val="en-US" w:eastAsia="zh-CN" w:bidi="ar-SA"/>
    </w:rPr>
  </w:style>
  <w:style w:type="table" w:styleId="21">
    <w:name w:val="Table Grid"/>
    <w:basedOn w:val="20"/>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rPr>
  </w:style>
  <w:style w:type="character" w:styleId="24">
    <w:name w:val="Emphasis"/>
    <w:basedOn w:val="22"/>
    <w:qFormat/>
    <w:uiPriority w:val="0"/>
    <w:rPr>
      <w:i/>
    </w:rPr>
  </w:style>
  <w:style w:type="character" w:styleId="25">
    <w:name w:val="footnote reference"/>
    <w:basedOn w:val="22"/>
    <w:qFormat/>
    <w:uiPriority w:val="0"/>
    <w:rPr>
      <w:vertAlign w:val="superscript"/>
    </w:rPr>
  </w:style>
  <w:style w:type="character" w:customStyle="1" w:styleId="26">
    <w:name w:val="标题 2 Char"/>
    <w:link w:val="4"/>
    <w:qFormat/>
    <w:uiPriority w:val="0"/>
    <w:rPr>
      <w:rFonts w:ascii="Times New Roman" w:hAnsi="Times New Roman" w:eastAsia="楷体_GB2312" w:cstheme="majorBidi"/>
      <w:b/>
      <w:bCs/>
      <w:color w:val="auto"/>
      <w:kern w:val="2"/>
      <w:sz w:val="32"/>
      <w:szCs w:val="32"/>
      <w:lang w:val="en-US" w:eastAsia="zh-CN" w:bidi="ar-SA"/>
    </w:rPr>
  </w:style>
  <w:style w:type="paragraph" w:customStyle="1" w:styleId="27">
    <w:name w:val="图格式"/>
    <w:basedOn w:val="1"/>
    <w:qFormat/>
    <w:uiPriority w:val="5"/>
    <w:pPr>
      <w:adjustRightInd w:val="0"/>
      <w:snapToGrid w:val="0"/>
      <w:spacing w:before="157" w:beforeLines="50" w:line="240" w:lineRule="auto"/>
      <w:ind w:firstLine="0" w:firstLineChars="0"/>
      <w:jc w:val="center"/>
    </w:pPr>
    <w:rPr>
      <w:rFonts w:eastAsia="宋体" w:cs="Times New Roman"/>
      <w:bCs/>
      <w:szCs w:val="24"/>
      <w:shd w:val="clear" w:color="auto" w:fill="FFFFFF"/>
    </w:rPr>
  </w:style>
  <w:style w:type="paragraph" w:customStyle="1" w:styleId="28">
    <w:name w:val="表格"/>
    <w:basedOn w:val="1"/>
    <w:qFormat/>
    <w:uiPriority w:val="0"/>
    <w:pPr>
      <w:adjustRightInd w:val="0"/>
      <w:snapToGrid w:val="0"/>
      <w:spacing w:line="240" w:lineRule="auto"/>
      <w:ind w:firstLine="0" w:firstLineChars="0"/>
      <w:jc w:val="center"/>
    </w:pPr>
    <w:rPr>
      <w:rFonts w:hint="eastAsia" w:ascii="Times New Roman" w:hAnsi="Times New Roman"/>
      <w:sz w:val="24"/>
    </w:rPr>
  </w:style>
  <w:style w:type="table" w:customStyle="1" w:styleId="29">
    <w:name w:val="Table Normal"/>
    <w:semiHidden/>
    <w:unhideWhenUsed/>
    <w:qFormat/>
    <w:uiPriority w:val="0"/>
    <w:tblPr>
      <w:tblCellMar>
        <w:top w:w="0" w:type="dxa"/>
        <w:left w:w="0" w:type="dxa"/>
        <w:bottom w:w="0" w:type="dxa"/>
        <w:right w:w="0" w:type="dxa"/>
      </w:tblCellMar>
    </w:tblPr>
  </w:style>
  <w:style w:type="table" w:customStyle="1" w:styleId="30">
    <w:name w:val="网格表 4 - 着色 11"/>
    <w:qFormat/>
    <w:uiPriority w:val="49"/>
    <w:pPr>
      <w:jc w:val="center"/>
    </w:pPr>
    <w:tblPr>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Pr>
    <w:tcPr>
      <w:vAlign w:val="center"/>
    </w:tcPr>
    <w:tblStylePr w:type="firstRow">
      <w:rPr>
        <w:b/>
        <w:bCs/>
        <w:color w:val="FFFFFF" w:themeColor="background1"/>
        <w14:textFill>
          <w14:solidFill>
            <w14:schemeClr w14:val="bg1"/>
          </w14:solidFill>
        </w14:textFill>
      </w:rPr>
      <w:tcPr>
        <w:tcBorders>
          <w:top w:val="single" w:color="4874CB" w:themeColor="accent1" w:sz="4" w:space="0"/>
          <w:left w:val="single" w:color="4874CB" w:themeColor="accent1" w:sz="4" w:space="0"/>
          <w:bottom w:val="single" w:color="4874CB" w:themeColor="accent1" w:sz="4" w:space="0"/>
          <w:right w:val="single" w:color="4874CB" w:themeColor="accent1" w:sz="4" w:space="0"/>
          <w:insideH w:val="nil"/>
          <w:insideV w:val="nil"/>
        </w:tcBorders>
        <w:shd w:val="clear" w:color="auto" w:fill="4874CB" w:themeFill="accent1"/>
      </w:tcPr>
    </w:tblStylePr>
    <w:tblStylePr w:type="lastRow">
      <w:rPr>
        <w:b/>
        <w:bCs/>
      </w:rPr>
      <w:tcPr>
        <w:tcBorders>
          <w:top w:val="double" w:color="4874CB" w:themeColor="accent1" w:sz="4" w:space="0"/>
        </w:tcBorders>
      </w:tcPr>
    </w:tblStylePr>
    <w:tblStylePr w:type="firstCol">
      <w:rPr>
        <w:b/>
        <w:bCs/>
      </w:rPr>
    </w:tblStylePr>
    <w:tblStylePr w:type="lastCol">
      <w:rPr>
        <w:b/>
        <w:bCs/>
      </w:rPr>
    </w:tblStylePr>
    <w:tblStylePr w:type="band1Vert">
      <w:tcPr>
        <w:shd w:val="clear" w:color="auto" w:fill="DAE3F4" w:themeFill="accent1" w:themeFillTint="33"/>
      </w:tcPr>
    </w:tblStylePr>
    <w:tblStylePr w:type="band1Horz">
      <w:tcPr>
        <w:shd w:val="clear" w:color="auto" w:fill="DAE3F4" w:themeFill="accent1" w:themeFillTint="33"/>
      </w:tcPr>
    </w:tblStylePr>
  </w:style>
  <w:style w:type="table" w:customStyle="1" w:styleId="31">
    <w:name w:val="网格型2"/>
    <w:basedOn w:val="2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2">
    <w:name w:val="表内容 新"/>
    <w:qFormat/>
    <w:uiPriority w:val="0"/>
    <w:pPr>
      <w:snapToGrid w:val="0"/>
      <w:spacing w:line="400" w:lineRule="exact"/>
      <w:jc w:val="center"/>
    </w:pPr>
    <w:rPr>
      <w:rFonts w:ascii="Times New Roman" w:hAnsi="Times New Roman" w:eastAsia="仿宋_GB2312" w:cstheme="minorBidi"/>
      <w:kern w:val="2"/>
      <w:sz w:val="24"/>
      <w:szCs w:val="28"/>
      <w:lang w:val="en-US" w:eastAsia="zh-CN" w:bidi="ar-SA"/>
    </w:rPr>
  </w:style>
  <w:style w:type="paragraph" w:customStyle="1" w:styleId="33">
    <w:name w:val="图内容"/>
    <w:qFormat/>
    <w:uiPriority w:val="0"/>
    <w:pPr>
      <w:snapToGrid w:val="0"/>
      <w:jc w:val="center"/>
    </w:pPr>
    <w:rPr>
      <w:rFonts w:ascii="Times New Roman" w:hAnsi="Times New Roman" w:eastAsia="仿宋_GB2312" w:cstheme="minorBidi"/>
      <w:kern w:val="2"/>
      <w:sz w:val="24"/>
      <w:szCs w:val="28"/>
      <w:lang w:val="en-US" w:eastAsia="zh-CN" w:bidi="ar-SA"/>
    </w:rPr>
  </w:style>
  <w:style w:type="character" w:customStyle="1" w:styleId="34">
    <w:name w:val="题注 Char"/>
    <w:link w:val="7"/>
    <w:qFormat/>
    <w:uiPriority w:val="0"/>
    <w:rPr>
      <w:rFonts w:eastAsia="楷体"/>
      <w:sz w:val="28"/>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header" Target="header3.xml"/><Relationship Id="rId89" Type="http://schemas.openxmlformats.org/officeDocument/2006/relationships/customXml" Target="../customXml/item2.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66.png"/><Relationship Id="rId85" Type="http://schemas.openxmlformats.org/officeDocument/2006/relationships/image" Target="media/image65.jpeg"/><Relationship Id="rId84" Type="http://schemas.openxmlformats.org/officeDocument/2006/relationships/image" Target="media/image64.jpeg"/><Relationship Id="rId83" Type="http://schemas.openxmlformats.org/officeDocument/2006/relationships/image" Target="media/image63.jpeg"/><Relationship Id="rId82" Type="http://schemas.openxmlformats.org/officeDocument/2006/relationships/image" Target="media/image62.jpeg"/><Relationship Id="rId81" Type="http://schemas.openxmlformats.org/officeDocument/2006/relationships/image" Target="media/image61.jpeg"/><Relationship Id="rId80" Type="http://schemas.openxmlformats.org/officeDocument/2006/relationships/image" Target="media/image60.jpeg"/><Relationship Id="rId8" Type="http://schemas.openxmlformats.org/officeDocument/2006/relationships/footer" Target="footer2.xml"/><Relationship Id="rId79" Type="http://schemas.openxmlformats.org/officeDocument/2006/relationships/image" Target="media/image59.jpeg"/><Relationship Id="rId78" Type="http://schemas.openxmlformats.org/officeDocument/2006/relationships/image" Target="media/image58.jpeg"/><Relationship Id="rId77" Type="http://schemas.openxmlformats.org/officeDocument/2006/relationships/image" Target="media/image57.jpeg"/><Relationship Id="rId76" Type="http://schemas.openxmlformats.org/officeDocument/2006/relationships/image" Target="media/image56.jpeg"/><Relationship Id="rId75" Type="http://schemas.openxmlformats.org/officeDocument/2006/relationships/image" Target="media/image55.jpeg"/><Relationship Id="rId74" Type="http://schemas.openxmlformats.org/officeDocument/2006/relationships/image" Target="media/image54.jpeg"/><Relationship Id="rId73" Type="http://schemas.openxmlformats.org/officeDocument/2006/relationships/image" Target="media/image53.jpeg"/><Relationship Id="rId72" Type="http://schemas.openxmlformats.org/officeDocument/2006/relationships/image" Target="media/image52.jpeg"/><Relationship Id="rId71" Type="http://schemas.openxmlformats.org/officeDocument/2006/relationships/image" Target="media/image51.jpeg"/><Relationship Id="rId70" Type="http://schemas.openxmlformats.org/officeDocument/2006/relationships/image" Target="media/image50.jpeg"/><Relationship Id="rId7" Type="http://schemas.openxmlformats.org/officeDocument/2006/relationships/footer" Target="footer1.xml"/><Relationship Id="rId69" Type="http://schemas.openxmlformats.org/officeDocument/2006/relationships/image" Target="media/image49.jpeg"/><Relationship Id="rId68" Type="http://schemas.openxmlformats.org/officeDocument/2006/relationships/image" Target="media/image48.jpeg"/><Relationship Id="rId67" Type="http://schemas.openxmlformats.org/officeDocument/2006/relationships/image" Target="media/image47.jpeg"/><Relationship Id="rId66" Type="http://schemas.openxmlformats.org/officeDocument/2006/relationships/image" Target="media/image46.jpeg"/><Relationship Id="rId65" Type="http://schemas.openxmlformats.org/officeDocument/2006/relationships/image" Target="media/image45.jpeg"/><Relationship Id="rId64" Type="http://schemas.openxmlformats.org/officeDocument/2006/relationships/image" Target="media/image44.jpeg"/><Relationship Id="rId63" Type="http://schemas.openxmlformats.org/officeDocument/2006/relationships/image" Target="media/image43.jpeg"/><Relationship Id="rId62" Type="http://schemas.openxmlformats.org/officeDocument/2006/relationships/image" Target="media/image42.jpeg"/><Relationship Id="rId61" Type="http://schemas.openxmlformats.org/officeDocument/2006/relationships/image" Target="media/image41.jpeg"/><Relationship Id="rId60" Type="http://schemas.openxmlformats.org/officeDocument/2006/relationships/image" Target="media/image40.jpeg"/><Relationship Id="rId6" Type="http://schemas.openxmlformats.org/officeDocument/2006/relationships/header" Target="header2.xml"/><Relationship Id="rId59" Type="http://schemas.openxmlformats.org/officeDocument/2006/relationships/image" Target="media/image39.jpeg"/><Relationship Id="rId58" Type="http://schemas.openxmlformats.org/officeDocument/2006/relationships/image" Target="media/image38.jpeg"/><Relationship Id="rId57" Type="http://schemas.openxmlformats.org/officeDocument/2006/relationships/image" Target="media/image37.png"/><Relationship Id="rId56" Type="http://schemas.openxmlformats.org/officeDocument/2006/relationships/image" Target="media/image36.jpeg"/><Relationship Id="rId55" Type="http://schemas.openxmlformats.org/officeDocument/2006/relationships/image" Target="media/image35.jpeg"/><Relationship Id="rId54" Type="http://schemas.openxmlformats.org/officeDocument/2006/relationships/image" Target="media/image34.jpeg"/><Relationship Id="rId53" Type="http://schemas.openxmlformats.org/officeDocument/2006/relationships/image" Target="media/image33.jpeg"/><Relationship Id="rId52" Type="http://schemas.openxmlformats.org/officeDocument/2006/relationships/image" Target="media/image32.png"/><Relationship Id="rId51" Type="http://schemas.openxmlformats.org/officeDocument/2006/relationships/image" Target="media/image31.jpeg"/><Relationship Id="rId50" Type="http://schemas.openxmlformats.org/officeDocument/2006/relationships/image" Target="media/image30.png"/><Relationship Id="rId5" Type="http://schemas.openxmlformats.org/officeDocument/2006/relationships/header" Target="header1.xml"/><Relationship Id="rId49" Type="http://schemas.openxmlformats.org/officeDocument/2006/relationships/image" Target="media/image29.png"/><Relationship Id="rId48" Type="http://schemas.openxmlformats.org/officeDocument/2006/relationships/image" Target="media/image28.jpe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jpeg"/><Relationship Id="rId43" Type="http://schemas.openxmlformats.org/officeDocument/2006/relationships/image" Target="media/image23.jpeg"/><Relationship Id="rId42" Type="http://schemas.openxmlformats.org/officeDocument/2006/relationships/image" Target="media/image22.jpeg"/><Relationship Id="rId41" Type="http://schemas.openxmlformats.org/officeDocument/2006/relationships/image" Target="media/image21.png"/><Relationship Id="rId40" Type="http://schemas.openxmlformats.org/officeDocument/2006/relationships/image" Target="media/image20.jpeg"/><Relationship Id="rId4" Type="http://schemas.openxmlformats.org/officeDocument/2006/relationships/endnotes" Target="endnotes.xml"/><Relationship Id="rId39" Type="http://schemas.openxmlformats.org/officeDocument/2006/relationships/chart" Target="charts/chart1.xml"/><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jpeg"/><Relationship Id="rId32" Type="http://schemas.openxmlformats.org/officeDocument/2006/relationships/image" Target="media/image13.jpeg"/><Relationship Id="rId31" Type="http://schemas.openxmlformats.org/officeDocument/2006/relationships/image" Target="media/image12.png"/><Relationship Id="rId30" Type="http://schemas.openxmlformats.org/officeDocument/2006/relationships/image" Target="media/image11.jpeg"/><Relationship Id="rId3" Type="http://schemas.openxmlformats.org/officeDocument/2006/relationships/footnotes" Target="footnotes.xml"/><Relationship Id="rId29" Type="http://schemas.openxmlformats.org/officeDocument/2006/relationships/image" Target="media/image10.jpeg"/><Relationship Id="rId28" Type="http://schemas.openxmlformats.org/officeDocument/2006/relationships/image" Target="media/image9.png"/><Relationship Id="rId27" Type="http://schemas.openxmlformats.org/officeDocument/2006/relationships/image" Target="media/image8.jpeg"/><Relationship Id="rId26" Type="http://schemas.openxmlformats.org/officeDocument/2006/relationships/image" Target="media/image7.png"/><Relationship Id="rId25" Type="http://schemas.openxmlformats.org/officeDocument/2006/relationships/image" Target="media/image6.png"/><Relationship Id="rId24" Type="http://schemas.openxmlformats.org/officeDocument/2006/relationships/image" Target="media/image5.png"/><Relationship Id="rId23" Type="http://schemas.openxmlformats.org/officeDocument/2006/relationships/image" Target="media/image4.jpeg"/><Relationship Id="rId22" Type="http://schemas.openxmlformats.org/officeDocument/2006/relationships/image" Target="media/image3.png"/><Relationship Id="rId21" Type="http://schemas.openxmlformats.org/officeDocument/2006/relationships/image" Target="media/image2.jpe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header" Target="header10.xml"/><Relationship Id="rId17" Type="http://schemas.openxmlformats.org/officeDocument/2006/relationships/header" Target="header9.xml"/><Relationship Id="rId16" Type="http://schemas.openxmlformats.org/officeDocument/2006/relationships/header" Target="header8.xml"/><Relationship Id="rId15" Type="http://schemas.openxmlformats.org/officeDocument/2006/relationships/header" Target="header7.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BaiduSyncdisk\&#24037;&#20316;\2025\4&#20048;&#23665;&#20844;&#38081;&#27700;&#31354;&#31034;&#33539;\&#25968;&#25454;&#23545;&#2760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[数据对比.xlsx]Sheet3!$J$3</c:f>
              <c:strCache>
                <c:ptCount val="1"/>
                <c:pt idx="0">
                  <c:v>到达货量（万吨）</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12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[数据对比.xlsx]Sheet3!$I$4:$I$14</c:f>
              <c:strCache>
                <c:ptCount val="11"/>
                <c:pt idx="0">
                  <c:v>沙湾</c:v>
                </c:pt>
                <c:pt idx="1">
                  <c:v>燕岗</c:v>
                </c:pt>
                <c:pt idx="2">
                  <c:v>燕岗南</c:v>
                </c:pt>
                <c:pt idx="3">
                  <c:v>夹江</c:v>
                </c:pt>
                <c:pt idx="4">
                  <c:v>九里</c:v>
                </c:pt>
                <c:pt idx="5">
                  <c:v>峨边</c:v>
                </c:pt>
                <c:pt idx="6">
                  <c:v>马村</c:v>
                </c:pt>
                <c:pt idx="7">
                  <c:v>金口河</c:v>
                </c:pt>
                <c:pt idx="8">
                  <c:v>双福</c:v>
                </c:pt>
                <c:pt idx="9">
                  <c:v>峨眉</c:v>
                </c:pt>
                <c:pt idx="10">
                  <c:v>乐山港</c:v>
                </c:pt>
              </c:strCache>
            </c:strRef>
          </c:cat>
          <c:val>
            <c:numRef>
              <c:f>[数据对比.xlsx]Sheet3!$J$4:$J$14</c:f>
              <c:numCache>
                <c:formatCode>General</c:formatCode>
                <c:ptCount val="11"/>
                <c:pt idx="0">
                  <c:v>490.6</c:v>
                </c:pt>
                <c:pt idx="1">
                  <c:v>185.7</c:v>
                </c:pt>
                <c:pt idx="2">
                  <c:v>253.8</c:v>
                </c:pt>
                <c:pt idx="3">
                  <c:v>188.8</c:v>
                </c:pt>
                <c:pt idx="4">
                  <c:v>136.6</c:v>
                </c:pt>
                <c:pt idx="5">
                  <c:v>21.4</c:v>
                </c:pt>
                <c:pt idx="6">
                  <c:v>58.5</c:v>
                </c:pt>
                <c:pt idx="7">
                  <c:v>5.2</c:v>
                </c:pt>
                <c:pt idx="8">
                  <c:v>1.5</c:v>
                </c:pt>
                <c:pt idx="9">
                  <c:v>0</c:v>
                </c:pt>
                <c:pt idx="10">
                  <c:v>28.6</c:v>
                </c:pt>
              </c:numCache>
            </c:numRef>
          </c:val>
        </c:ser>
        <c:ser>
          <c:idx val="1"/>
          <c:order val="1"/>
          <c:tx>
            <c:strRef>
              <c:f>[数据对比.xlsx]Sheet3!$K$3</c:f>
              <c:strCache>
                <c:ptCount val="1"/>
                <c:pt idx="0">
                  <c:v>发送货量（万吨）</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12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[数据对比.xlsx]Sheet3!$I$4:$I$14</c:f>
              <c:strCache>
                <c:ptCount val="11"/>
                <c:pt idx="0">
                  <c:v>沙湾</c:v>
                </c:pt>
                <c:pt idx="1">
                  <c:v>燕岗</c:v>
                </c:pt>
                <c:pt idx="2">
                  <c:v>燕岗南</c:v>
                </c:pt>
                <c:pt idx="3">
                  <c:v>夹江</c:v>
                </c:pt>
                <c:pt idx="4">
                  <c:v>九里</c:v>
                </c:pt>
                <c:pt idx="5">
                  <c:v>峨边</c:v>
                </c:pt>
                <c:pt idx="6">
                  <c:v>马村</c:v>
                </c:pt>
                <c:pt idx="7">
                  <c:v>金口河</c:v>
                </c:pt>
                <c:pt idx="8">
                  <c:v>双福</c:v>
                </c:pt>
                <c:pt idx="9">
                  <c:v>峨眉</c:v>
                </c:pt>
                <c:pt idx="10">
                  <c:v>乐山港</c:v>
                </c:pt>
              </c:strCache>
            </c:strRef>
          </c:cat>
          <c:val>
            <c:numRef>
              <c:f>[数据对比.xlsx]Sheet3!$K$4:$K$14</c:f>
              <c:numCache>
                <c:formatCode>General</c:formatCode>
                <c:ptCount val="11"/>
                <c:pt idx="0">
                  <c:v>124</c:v>
                </c:pt>
                <c:pt idx="1">
                  <c:v>121.4</c:v>
                </c:pt>
                <c:pt idx="2">
                  <c:v>0</c:v>
                </c:pt>
                <c:pt idx="3">
                  <c:v>7</c:v>
                </c:pt>
                <c:pt idx="4">
                  <c:v>34.6</c:v>
                </c:pt>
                <c:pt idx="5">
                  <c:v>38</c:v>
                </c:pt>
                <c:pt idx="6">
                  <c:v>0</c:v>
                </c:pt>
                <c:pt idx="7">
                  <c:v>49.5</c:v>
                </c:pt>
                <c:pt idx="8">
                  <c:v>0.4</c:v>
                </c:pt>
                <c:pt idx="9">
                  <c:v>1</c:v>
                </c:pt>
                <c:pt idx="10">
                  <c:v>0</c:v>
                </c:pt>
              </c:numCache>
            </c:numRef>
          </c:val>
        </c:ser>
        <c:dLbls>
          <c:showLegendKey val="0"/>
          <c:showVal val="0"/>
          <c:showCatName val="0"/>
          <c:showSerName val="0"/>
          <c:showPercent val="0"/>
          <c:showBubbleSize val="0"/>
        </c:dLbls>
        <c:gapWidth val="246"/>
        <c:overlap val="-28"/>
        <c:axId val="85697881"/>
        <c:axId val="130175294"/>
      </c:barChart>
      <c:catAx>
        <c:axId val="8569788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crossAx val="130175294"/>
        <c:crosses val="autoZero"/>
        <c:auto val="1"/>
        <c:lblAlgn val="ctr"/>
        <c:lblOffset val="100"/>
        <c:noMultiLvlLbl val="0"/>
      </c:catAx>
      <c:valAx>
        <c:axId val="130175294"/>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crossAx val="85697881"/>
        <c:crosses val="autoZero"/>
        <c:crossBetween val="between"/>
      </c:valAx>
      <c:spPr>
        <a:noFill/>
        <a:ln>
          <a:noFill/>
        </a:ln>
        <a:effectLst/>
      </c:spPr>
    </c:plotArea>
    <c:legend>
      <c:legendPos val="b"/>
      <c:legendEntry>
        <c:idx val="0"/>
        <c:txPr>
          <a:bodyPr rot="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sz="1200"/>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3fddf103-c7bb-45da-9ccd-8ec6c4b2d925</errorID>
      <errorWord>二○二五</errorWord>
      <group>L1_Knowledge</group>
      <groupName>知识性问题</groupName>
      <ability>L2_Knowledge</ability>
      <abilityName>其他知识</abilityName>
      <candidateList>
        <item>二〇二五</item>
      </candidateList>
      <explain/>
      <paraID>75A580EA</paraID>
      <start>0</start>
      <end>4</end>
      <status>unmodified</status>
      <modifiedWord/>
      <trackRevisions>false</trackRevisions>
    </reviewItem>
    <reviewItem>
      <errorID>d0d969e8-e712-4002-b586-2056546fa7ec</errorID>
      <errorWord>更好服务</errorWord>
      <group>L1_Word</group>
      <groupName>字词问题</groupName>
      <ability>L2_Typo</ability>
      <abilityName>字词错误</abilityName>
      <candidateList>
        <item>更好地服务</item>
      </candidateList>
      <explain/>
      <paraID>60FB4A5A</paraID>
      <start>337</start>
      <end>341</end>
      <status>unmodified</status>
      <modifiedWord/>
      <trackRevisions>false</trackRevisions>
    </reviewItem>
    <reviewItem>
      <errorID>bf068a19-7d58-417c-9f2d-4c0a4821704e</errorID>
      <errorWord>现代工业产业体系</errorWord>
      <group>L1_Political</group>
      <groupName>政治性问题</groupName>
      <ability>L2_Keyword</ability>
      <abilityName>固定表述</abilityName>
      <candidateList>
        <item>现代化产业体系</item>
      </candidateList>
      <explain>词汇“现代化产业体系”在特定场景下为固定表述形式，请确认此处的“现代工业产业体系”是否存在不当。</explain>
      <paraID>3008556E</paraID>
      <start>119</start>
      <end>127</end>
      <status>unmodified</status>
      <modifiedWord/>
      <trackRevisions>false</trackRevisions>
    </reviewItem>
    <reviewItem>
      <errorID>c594d91f-27e5-417e-8f92-85cfac4e9255</errorID>
      <errorWord>、和</errorWord>
      <group>L1_Punc</group>
      <groupName>标点问题</groupName>
      <ability>L2_Punc</ability>
      <abilityName>标点符号检查</abilityName>
      <candidateList>
        <item>和</item>
      </candidateList>
      <explain>“及”“和”“等”连词前不宜使用顿号，建议删除（或使用逗号）。</explain>
      <paraID>7D9AD49D</paraID>
      <start>13</start>
      <end>15</end>
      <status>unmodified</status>
      <modifiedWord/>
      <trackRevisions>false</trackRevisions>
    </reviewItem>
    <reviewItem>
      <errorID>2c1f7b7b-3c47-404f-b17a-889ebf33028b</errorID>
      <errorWord>英尺</errorWord>
      <group>L1_Knowledge</group>
      <groupName>知识性问题</groupName>
      <ability>L2_Knowledge</ability>
      <abilityName>其他知识</abilityName>
      <candidateList/>
      <explain>非法定单位</explain>
      <paraID>4D41CF8B</paraID>
      <start>37</start>
      <end>39</end>
      <status>unmodified</status>
      <modifiedWord/>
      <trackRevisions>false</trackRevisions>
    </reviewItem>
    <reviewItem>
      <errorID>de39a3b0-ecf2-4e0b-ae75-6ecdb56ac1dc</errorID>
      <errorWord>英尺</errorWord>
      <group>L1_Knowledge</group>
      <groupName>知识性问题</groupName>
      <ability>L2_Knowledge</ability>
      <abilityName>其他知识</abilityName>
      <candidateList/>
      <explain>非法定单位</explain>
      <paraID>33CD1AB5</paraID>
      <start>2</start>
      <end>4</end>
      <status>unmodified</status>
      <modifiedWord/>
      <trackRevisions>false</trackRevisions>
    </reviewItem>
    <reviewItem>
      <errorID>0b48ae9b-0492-47c5-be9f-b3ddaa891876</errorID>
      <errorWord>14万-15万</errorWord>
      <group>L1_Knowledge</group>
      <groupName>知识性问题</groupName>
      <ability>L2_Knowledge</ability>
      <abilityName>其他知识</abilityName>
      <candidateList>
        <item>14万—15万</item>
      </candidateList>
      <explain>1. “14万-15万”中的单位“万”仅出现在后一个数字上，容易引起歧义；根据《现代汉语标点符号数字用法规范手册》，数字表示范围两边需要使用统一的格式。2.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 9B5F0BE</paraID>
      <start>157</start>
      <end>164</end>
      <status>unmodified</status>
      <modifiedWord/>
      <trackRevisions>false</trackRevisions>
    </reviewItem>
    <reviewItem>
      <errorID>04a6274f-3060-490c-b600-e0eee2eb1ff1</errorID>
      <errorWord>17万-18万</errorWord>
      <group>L1_Knowledge</group>
      <groupName>知识性问题</groupName>
      <ability>L2_Knowledge</ability>
      <abilityName>其他知识</abilityName>
      <candidateList>
        <item>17万—18万</item>
      </candidateList>
      <explain>1. “17万-18万”中的单位“万”仅出现在后一个数字上，容易引起歧义；根据《现代汉语标点符号数字用法规范手册》，数字表示范围两边需要使用统一的格式。2.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 9B5F0BE</paraID>
      <start>184</start>
      <end>191</end>
      <status>unmodified</status>
      <modifiedWord/>
      <trackRevisions>false</trackRevisions>
    </reviewItem>
    <reviewItem>
      <errorID>cccc7dac-2195-4302-a04c-7ca7d287ba7f</errorID>
      <errorWord>繁琐</errorWord>
      <group>L1_Word</group>
      <groupName>字词问题</groupName>
      <ability>L2_Typo</ability>
      <abilityName>字词错误</abilityName>
      <candidateList>
        <item>烦琐</item>
      </candidateList>
      <explain/>
      <paraID>7BD33FB4</paraID>
      <start>83</start>
      <end>85</end>
      <status>unmodified</status>
      <modifiedWord/>
      <trackRevisions>false</trackRevisions>
    </reviewItem>
    <reviewItem>
      <errorID>c259f1f5-801d-40cc-b213-7da6d703667b</errorID>
      <errorWord>现代工业产业体系</errorWord>
      <group>L1_Political</group>
      <groupName>政治性问题</groupName>
      <ability>L2_Keyword</ability>
      <abilityName>固定表述</abilityName>
      <candidateList>
        <item>现代化产业体系</item>
      </candidateList>
      <explain>词汇“现代化产业体系”在特定场景下为固定表述形式，请确认此处的“现代工业产业体系”是否存在不当。</explain>
      <paraID>7777DB71</paraID>
      <start>53</start>
      <end>61</end>
      <status>unmodified</status>
      <modifiedWord/>
      <trackRevisions>false</trackRevisions>
    </reviewItem>
    <reviewItem>
      <errorID>2c39e874-ff19-4322-a2e1-e4a600387ef4</errorID>
      <errorWord>峨边县</errorWord>
      <group>L1_Knowledge</group>
      <groupName>知识性问题</groupName>
      <ability>L2_Location</ability>
      <abilityName>地名检查</abilityName>
      <candidateList>
        <item>峨边彝族自治县</item>
      </candidateList>
      <explain>自治区州县缩写不规范。《地名管理条例》第十八条规定，标识牌、公共平台发布的信息、各类公文证件、学习类公开出版物、地图、法律法规规定等场景范围内必须使用标准地名。</explain>
      <paraID>198B6C58</paraID>
      <start>251</start>
      <end>254</end>
      <status>unmodified</status>
      <modifiedWord/>
      <trackRevisions>false</trackRevisions>
    </reviewItem>
    <reviewItem>
      <errorID>76b7bdfa-99ef-4390-80bf-2c19052b5d29</errorID>
      <errorWord>现代制造业体系</errorWord>
      <group>L1_Political</group>
      <groupName>政治性问题</groupName>
      <ability>L2_Keyword</ability>
      <abilityName>固定表述</abilityName>
      <candidateList>
        <item>现代化产业体系</item>
      </candidateList>
      <explain>词汇“现代化产业体系”在特定场景下为固定表述形式，请确认此处的“现代制造业体系”是否存在不当。</explain>
      <paraID>3A6AE962</paraID>
      <start>82</start>
      <end>89</end>
      <status>unmodified</status>
      <modifiedWord/>
      <trackRevisions>false</trackRevisions>
    </reviewItem>
    <reviewItem>
      <errorID>f7d6650c-ea84-408b-8791-f3555aa4d116</errorID>
      <errorWord>重庆</errorWord>
      <group>L1_Political</group>
      <groupName>政治性问题</groupName>
      <ability>L2_Unpolitical</ability>
      <abilityName>政治敏感错误</abilityName>
      <candidateList/>
      <explain>省级行政单位不能与国家并列。</explain>
      <paraID>16940BA6</paraID>
      <start>139</start>
      <end>141</end>
      <status>unmodified</status>
      <modifiedWord/>
      <trackRevisions>false</trackRevisions>
    </reviewItem>
    <reviewItem>
      <errorID>5c0bed4f-d506-476e-b58d-b083659b678b</errorID>
      <errorWord>，</errorWord>
      <group>L1_Word</group>
      <groupName>字词问题</groupName>
      <ability>L2_Typo</ability>
      <abilityName>字词错误</abilityName>
      <candidateList>
        <item>，由</item>
      </candidateList>
      <explain/>
      <paraID>24CE509C</paraID>
      <start>77</start>
      <end>78</end>
      <status>unmodified</status>
      <modifiedWord/>
      <trackRevisions>false</trackRevisions>
    </reviewItem>
    <reviewItem>
      <errorID>faaaeaa2-c494-475f-9079-195c63abd7c5</errorID>
      <errorWord>供应</errorWord>
      <group>L1_Word</group>
      <groupName>字词问题</groupName>
      <ability>L2_Typo</ability>
      <abilityName>字词错误</abilityName>
      <candidateList>
        <item>提供</item>
      </candidateList>
      <explain>“供应～服务”搭配不当，建议修改为“提供～服务”。</explain>
      <paraID>762F8F03</paraID>
      <start>313</start>
      <end>315</end>
      <status>unmodified</status>
      <modifiedWord/>
      <trackRevisions>false</trackRevisions>
    </reviewItem>
    <reviewItem>
      <errorID>4adbab68-cb71-4d7f-8048-88984a11f7ef</errorID>
      <errorWord>、和</errorWord>
      <group>L1_Punc</group>
      <groupName>标点问题</groupName>
      <ability>L2_Punc</ability>
      <abilityName>标点符号检查</abilityName>
      <candidateList>
        <item>和</item>
      </candidateList>
      <explain>“及”“和”“等”连词前不宜使用顿号，建议删除（或使用逗号）。</explain>
      <paraID>371273D4</paraID>
      <start>42</start>
      <end>44</end>
      <status>unmodified</status>
      <modifiedWord/>
      <trackRevisions>false</trackRevisions>
    </reviewItem>
    <reviewItem>
      <errorID>94c02b51-5487-4a50-a2fd-be8a02bc9ee9</errorID>
      <errorWord>圈经</errorWord>
      <group>L1_Word</group>
      <groupName>字词问题</groupName>
      <ability>L2_Typo</ability>
      <abilityName>字词错误</abilityName>
      <candidateList>
        <item>圈</item>
      </candidateList>
      <explain/>
      <paraID> ED5A981</paraID>
      <start>6</start>
      <end>8</end>
      <status>unmodified</status>
      <modifiedWord/>
      <trackRevisions>false</trackRevisions>
    </reviewItem>
    <reviewItem>
      <errorID>d9b7fbe4-3dbf-4aa3-bd53-2fdb43e7d430</errorID>
      <errorWord>现代工业产业体系</errorWord>
      <group>L1_Political</group>
      <groupName>政治性问题</groupName>
      <ability>L2_Keyword</ability>
      <abilityName>固定表述</abilityName>
      <candidateList>
        <item>现代化产业体系</item>
      </candidateList>
      <explain>词汇“现代化产业体系”在特定场景下为固定表述形式，请确认此处的“现代工业产业体系”是否存在不当。</explain>
      <paraID>30235B95</paraID>
      <start>9</start>
      <end>17</end>
      <status>unmodified</status>
      <modifiedWord/>
      <trackRevisions>false</trackRevisions>
    </reviewItem>
    <reviewItem>
      <errorID>6047e132-37ef-4b68-b627-5b875515085c</errorID>
      <errorWord>前期</errorWord>
      <group>L1_Word</group>
      <groupName>字词问题</groupName>
      <ability>L2_Typo</ability>
      <abilityName>字词错误</abilityName>
      <candidateList>
        <item>前</item>
      </candidateList>
      <explain>❶〈名〉方位词。在正面的（指空间，跟“后”相对）：～门｜村～村后。❷往前走：勇往直～｜畏缩不～。❸〈名〉方位词。次序靠近头里的（跟“后”相对）：～排｜他的成绩在班里总是～三名。❹〈名〉方位词。过去的；较早的（指时间，跟“后”相对）：～天｜从～｜～几年｜～功尽弃｜～所未有｜～无古人，后无来者。❺〈名〉方位词。</explain>
      <paraID>64DAC13E</paraID>
      <start>104</start>
      <end>106</end>
      <status>unmodified</status>
      <modifiedWord/>
      <trackRevisions>false</trackRevisions>
    </reviewItem>
    <reviewItem>
      <errorID>af77919f-6e8d-4231-8037-d21c8bc94e9b</errorID>
      <errorWord>港口</errorWord>
      <group>L1_Word</group>
      <groupName>字词问题</groupName>
      <ability>L2_Typo</ability>
      <abilityName>字词错误</abilityName>
      <candidateList>
        <item>港</item>
      </candidateList>
      <explain/>
      <paraID>48FDE80B</paraID>
      <start>187</start>
      <end>189</end>
      <status>unmodified</status>
      <modifiedWord/>
      <trackRevisions>false</trackRevisions>
    </reviewItem>
    <reviewItem>
      <errorID>21185e6a-feff-4ddc-823c-66a356598b87</errorID>
      <errorWord>产业园经</errorWord>
      <group>L1_Word</group>
      <groupName>字词问题</groupName>
      <ability>L2_Typo</ability>
      <abilityName>字词错误</abilityName>
      <candidateList>
        <item>产业园</item>
      </candidateList>
      <explain/>
      <paraID>525FFF5F</paraID>
      <start>7</start>
      <end>11</end>
      <status>unmodified</status>
      <modifiedWord/>
      <trackRevisions>false</trackRevisions>
    </reviewItem>
    <reviewItem>
      <errorID>901a5057-f5d3-4397-bafe-20d0cf818168</errorID>
      <errorWord>噪音</errorWord>
      <group>L1_Word</group>
      <groupName>字词问题</groupName>
      <ability>L2_Alias</ability>
      <abilityName>也作/曾用词</abilityName>
      <candidateList>
        <item>噪声</item>
      </candidateList>
      <explain>词汇[噪音]为不规范表述或旧称，其规范书面表述为[噪声]。</explain>
      <paraID>2AD3D49D</paraID>
      <start>57</start>
      <end>59</end>
      <status>unmodified</status>
      <modifiedWord/>
      <trackRevisions>false</trackRevisions>
    </reviewItem>
    <reviewItem>
      <errorID>1840fa6b-012b-4588-bb7e-e8160b0dd792</errorID>
      <errorWord>噪音</errorWord>
      <group>L1_Word</group>
      <groupName>字词问题</groupName>
      <ability>L2_Alias</ability>
      <abilityName>也作/曾用词</abilityName>
      <candidateList>
        <item>噪声</item>
      </candidateList>
      <explain>词汇[噪音]为不规范表述或旧称，其规范书面表述为[噪声]。</explain>
      <paraID>2AD3D49D</paraID>
      <start>79</start>
      <end>81</end>
      <status>unmodified</status>
      <modifiedWord/>
      <trackRevisions>false</trackRevisions>
    </reviewItem>
    <reviewItem>
      <errorID>ec94ba0b-f914-463b-844b-ea3d7aa89c00</errorID>
      <errorWord>针对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329EB65A</paraID>
      <start>54</start>
      <end>56</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33db3ba-b085-4492-a164-db2da016a103}">
  <ds:schemaRefs/>
</ds:datastoreItem>
</file>

<file path=docProps/app.xml><?xml version="1.0" encoding="utf-8"?>
<Properties xmlns="http://schemas.openxmlformats.org/officeDocument/2006/extended-properties" xmlns:vt="http://schemas.openxmlformats.org/officeDocument/2006/docPropsVTypes">
  <Template>Normal.dotm</Template>
  <Pages>92</Pages>
  <Words>63034</Words>
  <Characters>66854</Characters>
  <Lines>0</Lines>
  <Paragraphs>0</Paragraphs>
  <TotalTime>0</TotalTime>
  <ScaleCrop>false</ScaleCrop>
  <LinksUpToDate>false</LinksUpToDate>
  <CharactersWithSpaces>67777</CharactersWithSpaces>
  <Application>WPS Office_11.8.2.12085_F1E327BC-269C-435d-A152-05C5408002CA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2025-05-14T07:31:00Z</dcterms:created>
  <dc:creator>LYH</dc:creator>
  <cp:lastModifiedBy>7</cp:lastModifiedBy>
  <dcterms:modified xsi:type="dcterms:W3CDTF">2026-02-06T09:43:41Z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2052-11.8.2.12085</vt:lpwstr>
  </property>
  <property fmtid="{D5CDD505-2E9C-101B-9397-08002B2CF9AE}" pid="3" name="ICV">
    <vt:lpwstr>2860944A8D4648C2ACB81E19FA630842_13</vt:lpwstr>
  </property>
  <property fmtid="{D5CDD505-2E9C-101B-9397-08002B2CF9AE}" pid="4" name="KSOTemplateDocerSaveRecord">
    <vt:lpwstr>eyJoZGlkIjoiYjQyZjAxZGEyYjQxMjE2ODJmMGM0ZWFkMmI3MjVjNjMiLCJ1c2VySWQiOiIxNDg0MjA3NjY3In0=</vt:lpwstr>
  </property>
</Properties>
</file>