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371" w:type="dxa"/>
        <w:jc w:val="center"/>
        <w:tblLayout w:type="fixed"/>
        <w:tblCellMar>
          <w:top w:w="0" w:type="dxa"/>
          <w:left w:w="0" w:type="dxa"/>
          <w:bottom w:w="0" w:type="dxa"/>
          <w:right w:w="0" w:type="dxa"/>
        </w:tblCellMar>
      </w:tblPr>
      <w:tblGrid>
        <w:gridCol w:w="623"/>
        <w:gridCol w:w="853"/>
        <w:gridCol w:w="6394"/>
        <w:gridCol w:w="1901"/>
        <w:gridCol w:w="2868"/>
        <w:gridCol w:w="1732"/>
      </w:tblGrid>
      <w:tr>
        <w:tblPrEx>
          <w:tblCellMar>
            <w:top w:w="0" w:type="dxa"/>
            <w:left w:w="0" w:type="dxa"/>
            <w:bottom w:w="0" w:type="dxa"/>
            <w:right w:w="0" w:type="dxa"/>
          </w:tblCellMar>
        </w:tblPrEx>
        <w:trPr>
          <w:trHeight w:val="557" w:hRule="atLeast"/>
          <w:jc w:val="center"/>
        </w:trPr>
        <w:tc>
          <w:tcPr>
            <w:tcW w:w="14371" w:type="dxa"/>
            <w:gridSpan w:val="6"/>
            <w:tcBorders>
              <w:top w:val="nil"/>
              <w:left w:val="nil"/>
              <w:bottom w:val="nil"/>
              <w:right w:val="nil"/>
            </w:tcBorders>
            <w:noWrap/>
            <w:tcMar>
              <w:top w:w="15" w:type="dxa"/>
              <w:left w:w="15" w:type="dxa"/>
              <w:right w:w="15" w:type="dxa"/>
            </w:tcMar>
            <w:vAlign w:val="center"/>
          </w:tcPr>
          <w:p>
            <w:pPr>
              <w:rPr>
                <w:rFonts w:hint="eastAsia" w:ascii="黑体" w:hAnsi="黑体" w:eastAsia="黑体"/>
                <w:sz w:val="32"/>
                <w:szCs w:val="32"/>
              </w:rPr>
            </w:pPr>
            <w:r>
              <w:rPr>
                <w:rFonts w:hint="eastAsia" w:ascii="黑体" w:hAnsi="黑体" w:eastAsia="黑体"/>
                <w:sz w:val="32"/>
                <w:szCs w:val="32"/>
              </w:rPr>
              <w:t>附件</w:t>
            </w:r>
            <w:bookmarkStart w:id="0" w:name="_GoBack"/>
            <w:bookmarkEnd w:id="0"/>
          </w:p>
        </w:tc>
      </w:tr>
      <w:tr>
        <w:tblPrEx>
          <w:tblCellMar>
            <w:top w:w="0" w:type="dxa"/>
            <w:left w:w="0" w:type="dxa"/>
            <w:bottom w:w="0" w:type="dxa"/>
            <w:right w:w="0" w:type="dxa"/>
          </w:tblCellMar>
        </w:tblPrEx>
        <w:trPr>
          <w:trHeight w:val="957" w:hRule="atLeast"/>
          <w:jc w:val="center"/>
        </w:trPr>
        <w:tc>
          <w:tcPr>
            <w:tcW w:w="14371" w:type="dxa"/>
            <w:gridSpan w:val="6"/>
            <w:vMerge w:val="restart"/>
            <w:tcBorders>
              <w:top w:val="nil"/>
              <w:left w:val="nil"/>
              <w:bottom w:val="nil"/>
              <w:right w:val="nil"/>
            </w:tcBorders>
            <w:noWrap/>
            <w:tcMar>
              <w:top w:w="15" w:type="dxa"/>
              <w:left w:w="15" w:type="dxa"/>
              <w:right w:w="15" w:type="dxa"/>
            </w:tcMar>
            <w:vAlign w:val="center"/>
          </w:tcPr>
          <w:p>
            <w:pPr>
              <w:adjustRightInd w:val="0"/>
              <w:snapToGrid w:val="0"/>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乐山市人民政府2020年度法治政府建设重点工作任务台账</w:t>
            </w:r>
          </w:p>
        </w:tc>
      </w:tr>
      <w:tr>
        <w:tblPrEx>
          <w:tblCellMar>
            <w:top w:w="0" w:type="dxa"/>
            <w:left w:w="0" w:type="dxa"/>
            <w:bottom w:w="0" w:type="dxa"/>
            <w:right w:w="0" w:type="dxa"/>
          </w:tblCellMar>
        </w:tblPrEx>
        <w:trPr>
          <w:trHeight w:val="312" w:hRule="atLeast"/>
          <w:jc w:val="center"/>
        </w:trPr>
        <w:tc>
          <w:tcPr>
            <w:tcW w:w="14371" w:type="dxa"/>
            <w:gridSpan w:val="6"/>
            <w:vMerge w:val="continue"/>
            <w:tcBorders>
              <w:top w:val="nil"/>
              <w:left w:val="nil"/>
              <w:bottom w:val="single" w:color="auto" w:sz="4" w:space="0"/>
              <w:right w:val="nil"/>
            </w:tcBorders>
            <w:noWrap/>
            <w:tcMar>
              <w:top w:w="15" w:type="dxa"/>
              <w:left w:w="15" w:type="dxa"/>
              <w:right w:w="15" w:type="dxa"/>
            </w:tcMar>
            <w:vAlign w:val="center"/>
          </w:tcPr>
          <w:p>
            <w:pPr>
              <w:rPr>
                <w:rFonts w:hint="eastAsia" w:ascii="仿宋_GB2312" w:eastAsia="仿宋_GB2312"/>
                <w:sz w:val="24"/>
              </w:rPr>
            </w:pPr>
          </w:p>
        </w:tc>
      </w:tr>
      <w:tr>
        <w:tblPrEx>
          <w:tblCellMar>
            <w:top w:w="0" w:type="dxa"/>
            <w:left w:w="0" w:type="dxa"/>
            <w:bottom w:w="0" w:type="dxa"/>
            <w:right w:w="0" w:type="dxa"/>
          </w:tblCellMar>
        </w:tblPrEx>
        <w:trPr>
          <w:trHeight w:val="635"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sz w:val="24"/>
              </w:rPr>
            </w:pPr>
            <w:r>
              <w:rPr>
                <w:rFonts w:hint="eastAsia" w:ascii="黑体" w:hAnsi="黑体" w:eastAsia="黑体"/>
                <w:sz w:val="24"/>
              </w:rPr>
              <w:t>序号</w:t>
            </w:r>
          </w:p>
        </w:tc>
        <w:tc>
          <w:tcPr>
            <w:tcW w:w="8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sz w:val="24"/>
              </w:rPr>
            </w:pPr>
            <w:r>
              <w:rPr>
                <w:rFonts w:hint="eastAsia" w:ascii="黑体" w:hAnsi="黑体" w:eastAsia="黑体"/>
                <w:sz w:val="24"/>
              </w:rPr>
              <w:t>工作任务</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sz w:val="24"/>
              </w:rPr>
            </w:pPr>
            <w:r>
              <w:rPr>
                <w:rFonts w:hint="eastAsia" w:ascii="黑体" w:hAnsi="黑体" w:eastAsia="黑体"/>
                <w:sz w:val="24"/>
              </w:rPr>
              <w:t>牵头单位</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sz w:val="24"/>
              </w:rPr>
            </w:pPr>
            <w:r>
              <w:rPr>
                <w:rFonts w:hint="eastAsia" w:ascii="黑体" w:hAnsi="黑体" w:eastAsia="黑体"/>
                <w:sz w:val="24"/>
              </w:rPr>
              <w:t>责任单位</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sz w:val="24"/>
              </w:rPr>
            </w:pPr>
            <w:r>
              <w:rPr>
                <w:rFonts w:hint="eastAsia" w:ascii="黑体" w:hAnsi="黑体" w:eastAsia="黑体"/>
                <w:sz w:val="24"/>
              </w:rPr>
              <w:t>完成时限</w:t>
            </w:r>
          </w:p>
        </w:tc>
      </w:tr>
      <w:tr>
        <w:tblPrEx>
          <w:tblCellMar>
            <w:top w:w="0" w:type="dxa"/>
            <w:left w:w="0" w:type="dxa"/>
            <w:bottom w:w="0" w:type="dxa"/>
            <w:right w:w="0" w:type="dxa"/>
          </w:tblCellMar>
        </w:tblPrEx>
        <w:trPr>
          <w:trHeight w:val="619" w:hRule="atLeast"/>
          <w:jc w:val="center"/>
        </w:trPr>
        <w:tc>
          <w:tcPr>
            <w:tcW w:w="1437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黑体" w:hAnsi="黑体" w:eastAsia="黑体"/>
                <w:sz w:val="28"/>
                <w:szCs w:val="28"/>
              </w:rPr>
            </w:pPr>
            <w:r>
              <w:rPr>
                <w:rFonts w:hint="eastAsia" w:ascii="黑体" w:hAnsi="黑体" w:eastAsia="黑体"/>
                <w:sz w:val="28"/>
                <w:szCs w:val="28"/>
              </w:rPr>
              <w:t>一、持续加强法治政府制度体系建设</w:t>
            </w:r>
          </w:p>
        </w:tc>
      </w:tr>
      <w:tr>
        <w:tblPrEx>
          <w:tblCellMar>
            <w:top w:w="0" w:type="dxa"/>
            <w:left w:w="0" w:type="dxa"/>
            <w:bottom w:w="0" w:type="dxa"/>
            <w:right w:w="0" w:type="dxa"/>
          </w:tblCellMar>
        </w:tblPrEx>
        <w:trPr>
          <w:trHeight w:val="1081"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1</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健全公共卫生法制体系</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严格执行传染病防治法及实施条例、野生动物保护法、突发公共卫生事件应急条例等法律法规，依法实施疫情防控及应急处理措施，严厉打击危害疫情防控的各类违法行为。</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市卫生健康委</w:t>
            </w:r>
            <w:r>
              <w:rPr>
                <w:rFonts w:hint="eastAsia" w:ascii="仿宋_GB2312" w:eastAsia="仿宋_GB2312"/>
                <w:sz w:val="24"/>
              </w:rPr>
              <w:br w:type="textWrapping"/>
            </w:r>
            <w:r>
              <w:rPr>
                <w:rFonts w:hint="eastAsia" w:ascii="仿宋_GB2312" w:eastAsia="仿宋_GB2312"/>
                <w:sz w:val="24"/>
              </w:rPr>
              <w:t>市公安局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382"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2</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结合疾控体系和重大疫情防控救治体系改革，建立各行各业卫生技术支撑和社会卫生员制度。规范市、县级卫生应急队伍建设，强化卫生应急信息管理，提升卫生应急处置能力。</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ind w:firstLine="210"/>
              <w:rPr>
                <w:rFonts w:hint="eastAsia" w:ascii="仿宋_GB2312" w:eastAsia="仿宋_GB2312"/>
                <w:sz w:val="24"/>
              </w:rPr>
            </w:pPr>
            <w:r>
              <w:rPr>
                <w:rFonts w:hint="eastAsia" w:ascii="仿宋_GB2312" w:eastAsia="仿宋_GB2312"/>
                <w:sz w:val="24"/>
              </w:rPr>
              <w:t>市卫生健康委</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387"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3</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探索建立疫情防控期间矛盾纠纷快速调处机制，为困难群众提供法律援助。</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市卫生健康委</w:t>
            </w:r>
          </w:p>
          <w:p>
            <w:pPr>
              <w:rPr>
                <w:rFonts w:hint="eastAsia" w:ascii="仿宋_GB2312" w:eastAsia="仿宋_GB2312"/>
                <w:sz w:val="24"/>
              </w:rPr>
            </w:pPr>
            <w:r>
              <w:rPr>
                <w:rFonts w:hint="eastAsia" w:ascii="仿宋_GB2312" w:eastAsia="仿宋_GB2312"/>
                <w:sz w:val="24"/>
              </w:rPr>
              <w:t>市司法局</w:t>
            </w:r>
          </w:p>
          <w:p>
            <w:pPr>
              <w:rPr>
                <w:rFonts w:hint="eastAsia" w:ascii="仿宋_GB2312" w:eastAsia="仿宋_GB2312"/>
                <w:sz w:val="24"/>
              </w:rPr>
            </w:pPr>
            <w:r>
              <w:rPr>
                <w:rFonts w:hint="eastAsia" w:ascii="仿宋_GB2312" w:eastAsia="仿宋_GB2312"/>
                <w:sz w:val="24"/>
              </w:rPr>
              <w:t>市公安局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ind w:firstLine="210"/>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532"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4</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组织实施“防控疫情、法治同行”专项法治宣传活动，加强传染病防治、应急管理、野生动物保护、卫生检疫等法律法规的宣传。</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市卫生健康委</w:t>
            </w:r>
            <w:r>
              <w:rPr>
                <w:rFonts w:hint="eastAsia" w:ascii="仿宋_GB2312" w:eastAsia="仿宋_GB2312"/>
                <w:sz w:val="24"/>
              </w:rPr>
              <w:br w:type="textWrapping"/>
            </w: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220"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5</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完善政府立法和依法决策</w:t>
            </w:r>
          </w:p>
          <w:p>
            <w:pPr>
              <w:rPr>
                <w:rFonts w:hint="eastAsia" w:ascii="仿宋_GB2312" w:eastAsia="仿宋_GB2312"/>
                <w:sz w:val="24"/>
              </w:rPr>
            </w:pPr>
            <w:r>
              <w:rPr>
                <w:rFonts w:hint="eastAsia" w:ascii="仿宋_GB2312" w:eastAsia="仿宋_GB2312"/>
                <w:sz w:val="24"/>
              </w:rPr>
              <w:t>机制</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进一步完善政府立法相关配套制度，健全政府立法立项、起草、论证、协调工作机制。</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2020年9月底</w:t>
            </w:r>
          </w:p>
        </w:tc>
      </w:tr>
      <w:tr>
        <w:tblPrEx>
          <w:tblCellMar>
            <w:top w:w="0" w:type="dxa"/>
            <w:left w:w="0" w:type="dxa"/>
            <w:bottom w:w="0" w:type="dxa"/>
            <w:right w:w="0" w:type="dxa"/>
          </w:tblCellMar>
        </w:tblPrEx>
        <w:trPr>
          <w:trHeight w:val="2000"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6</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全面落实市政府2020年立法工作计划。</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市生态环境局</w:t>
            </w:r>
          </w:p>
          <w:p>
            <w:pPr>
              <w:rPr>
                <w:rFonts w:hint="eastAsia" w:ascii="仿宋_GB2312" w:eastAsia="仿宋_GB2312"/>
                <w:sz w:val="24"/>
              </w:rPr>
            </w:pPr>
            <w:r>
              <w:rPr>
                <w:rFonts w:hint="eastAsia" w:ascii="仿宋_GB2312" w:eastAsia="仿宋_GB2312"/>
                <w:sz w:val="24"/>
              </w:rPr>
              <w:t>市住房城乡建设局</w:t>
            </w:r>
          </w:p>
          <w:p>
            <w:pPr>
              <w:rPr>
                <w:rFonts w:hint="eastAsia" w:ascii="仿宋_GB2312" w:eastAsia="仿宋_GB2312"/>
                <w:sz w:val="24"/>
              </w:rPr>
            </w:pPr>
            <w:r>
              <w:rPr>
                <w:rFonts w:hint="eastAsia" w:ascii="仿宋_GB2312" w:eastAsia="仿宋_GB2312"/>
                <w:sz w:val="24"/>
              </w:rPr>
              <w:t>市文化广电旅游局</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698"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7</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深入贯彻落实《重大行政决策程序暂行条例》，坚持重大行政决策必须经合法性审查，未经合法性审查或经审查不合法的，不提交决策机关讨论。</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重大行政决策</w:t>
            </w:r>
          </w:p>
          <w:p>
            <w:pPr>
              <w:rPr>
                <w:rFonts w:hint="eastAsia" w:ascii="仿宋_GB2312" w:eastAsia="仿宋_GB2312"/>
                <w:sz w:val="24"/>
              </w:rPr>
            </w:pPr>
            <w:r>
              <w:rPr>
                <w:rFonts w:hint="eastAsia" w:ascii="仿宋_GB2312" w:eastAsia="仿宋_GB2312"/>
                <w:sz w:val="24"/>
              </w:rPr>
              <w:t>承办部门</w:t>
            </w:r>
          </w:p>
          <w:p>
            <w:pPr>
              <w:rPr>
                <w:rFonts w:hint="eastAsia" w:ascii="仿宋_GB2312" w:eastAsia="仿宋_GB2312"/>
                <w:sz w:val="24"/>
              </w:rPr>
            </w:pPr>
            <w:r>
              <w:rPr>
                <w:rFonts w:hint="eastAsia" w:ascii="仿宋_GB2312" w:eastAsia="仿宋_GB2312"/>
                <w:sz w:val="24"/>
              </w:rPr>
              <w:t>各县（市、区）人民政府</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841"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8</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强化规章和行政规范性文件管理</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贯彻落实《中共中央办公厅关于解决形式主义突出问题为基层减负的通知》，进一步精简文件数量、控制文件篇幅，着力提高文件起草质量。</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988"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9</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全面落实行政规范性文件合法性审核制度，按照“谁起草谁清理、谁实施谁清理”的原则，加强对规章和行政规范性文件的清理和备案监督工作。</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736" w:hRule="atLeast"/>
          <w:jc w:val="center"/>
        </w:trPr>
        <w:tc>
          <w:tcPr>
            <w:tcW w:w="1437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黑体" w:hAnsi="黑体" w:eastAsia="黑体"/>
                <w:sz w:val="28"/>
                <w:szCs w:val="28"/>
              </w:rPr>
              <w:t>二、全力营造法治化营商环境</w:t>
            </w:r>
          </w:p>
        </w:tc>
      </w:tr>
      <w:tr>
        <w:tblPrEx>
          <w:tblCellMar>
            <w:top w:w="0" w:type="dxa"/>
            <w:left w:w="0" w:type="dxa"/>
            <w:bottom w:w="0" w:type="dxa"/>
            <w:right w:w="0" w:type="dxa"/>
          </w:tblCellMar>
        </w:tblPrEx>
        <w:trPr>
          <w:trHeight w:val="2334"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10</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强化政策支撑</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贯彻落实《优化营商环境条例》和各项助推民营经济发展的政策措施，对标国内先进和国际一流，制定相关领域改革举措，扎实开展全市营商环境指标提升专项行动和全省营商环境评价和迎检工作。</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市发展改革委</w:t>
            </w:r>
          </w:p>
          <w:p>
            <w:pPr>
              <w:rPr>
                <w:rFonts w:hint="eastAsia" w:ascii="仿宋_GB2312" w:eastAsia="仿宋_GB2312"/>
                <w:sz w:val="24"/>
              </w:rPr>
            </w:pPr>
            <w:r>
              <w:rPr>
                <w:rFonts w:hint="eastAsia" w:ascii="仿宋_GB2312" w:eastAsia="仿宋_GB2312"/>
                <w:sz w:val="24"/>
              </w:rPr>
              <w:t>市营商环境局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2464"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11</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全面清理涉及营商环境的现行规章、规范性文件和其他政策文件，及时修改或废止涉及地方保护、市场壁垒等与现行法律法规、规章和国务院有关规定不一致的文件。</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市发展改革委</w:t>
            </w:r>
            <w:r>
              <w:rPr>
                <w:rFonts w:hint="eastAsia" w:ascii="仿宋_GB2312" w:eastAsia="仿宋_GB2312"/>
                <w:sz w:val="24"/>
              </w:rPr>
              <w:br w:type="textWrapping"/>
            </w: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2933"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12</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全面落实公平竞争审查制度，按照“谁制定、谁审查”原则，全面覆盖，对涉及市场主体经济活动的政策措施进行审查，确保应审尽审。</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市市场监管局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市经济信息化局</w:t>
            </w:r>
            <w:r>
              <w:rPr>
                <w:rFonts w:hint="eastAsia" w:ascii="仿宋_GB2312" w:eastAsia="仿宋_GB2312"/>
                <w:sz w:val="24"/>
              </w:rPr>
              <w:br w:type="textWrapping"/>
            </w:r>
            <w:r>
              <w:rPr>
                <w:rFonts w:hint="eastAsia" w:ascii="仿宋_GB2312" w:eastAsia="仿宋_GB2312"/>
                <w:sz w:val="24"/>
              </w:rPr>
              <w:t>市商务局</w:t>
            </w:r>
            <w:r>
              <w:rPr>
                <w:rFonts w:hint="eastAsia" w:ascii="仿宋_GB2312" w:eastAsia="仿宋_GB2312"/>
                <w:sz w:val="24"/>
              </w:rPr>
              <w:br w:type="textWrapping"/>
            </w:r>
            <w:r>
              <w:rPr>
                <w:rFonts w:hint="eastAsia" w:ascii="仿宋_GB2312" w:eastAsia="仿宋_GB2312"/>
                <w:sz w:val="24"/>
              </w:rPr>
              <w:t>市知识产权服务促进中心</w:t>
            </w:r>
            <w:r>
              <w:rPr>
                <w:rFonts w:hint="eastAsia" w:ascii="仿宋_GB2312" w:eastAsia="仿宋_GB2312"/>
                <w:sz w:val="24"/>
              </w:rPr>
              <w:br w:type="textWrapping"/>
            </w: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901"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13</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优化政务服务</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 xml:space="preserve">全面实行“一窗分类办理”，按照《四川省政务服务“一窗受理”工作服务规范（试行）》推进“一窗分类办理”工作。 </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市营商环境局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076"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仿宋_GB2312" w:eastAsia="仿宋_GB2312"/>
                <w:sz w:val="24"/>
              </w:rPr>
              <w:t>14</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指导各级各部门使用省一体化政务服务平台，承接拓展相关功能，应用平台开展办件。</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市营商环境局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2067"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15</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指导各地各部门统一使用全省政务服务“好差评”的评价系统，实现政务服务事项全覆盖、评价对象全覆盖、服务渠道全覆盖。加强评价引导，在线上线下醒目位置设置政务服务“好差评”评价提醒标志，积极引导企业和群众参与政务服务“好差评”评价。</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市营商环境局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市营商环境局</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374"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16</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建立完善全市统一的电子证照库，推进电子证照在政务服务中的现场应用。</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市数字经济局</w:t>
            </w:r>
          </w:p>
          <w:p>
            <w:pPr>
              <w:rPr>
                <w:rFonts w:hint="eastAsia" w:ascii="仿宋_GB2312" w:eastAsia="仿宋_GB2312"/>
                <w:sz w:val="24"/>
              </w:rPr>
            </w:pPr>
            <w:r>
              <w:rPr>
                <w:rFonts w:hint="eastAsia" w:ascii="仿宋_GB2312" w:eastAsia="仿宋_GB2312"/>
                <w:sz w:val="24"/>
              </w:rPr>
              <w:t>市营商环境局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756"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17</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推进“放管服”改革向乡村延伸，提升乡村服务惠民能力。</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市营商环境局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市政府办公室</w:t>
            </w:r>
          </w:p>
          <w:p>
            <w:pPr>
              <w:rPr>
                <w:rFonts w:hint="eastAsia" w:ascii="仿宋_GB2312" w:eastAsia="仿宋_GB2312"/>
                <w:sz w:val="24"/>
              </w:rPr>
            </w:pPr>
            <w:r>
              <w:rPr>
                <w:rFonts w:hint="eastAsia" w:ascii="仿宋_GB2312" w:eastAsia="仿宋_GB2312"/>
                <w:sz w:val="24"/>
              </w:rPr>
              <w:t>市数字经济局</w:t>
            </w:r>
          </w:p>
          <w:p>
            <w:pPr>
              <w:rPr>
                <w:rFonts w:hint="eastAsia" w:ascii="仿宋_GB2312" w:eastAsia="仿宋_GB2312"/>
                <w:sz w:val="24"/>
              </w:rPr>
            </w:pPr>
            <w:r>
              <w:rPr>
                <w:rFonts w:hint="eastAsia" w:ascii="仿宋_GB2312" w:eastAsia="仿宋_GB2312"/>
                <w:sz w:val="24"/>
              </w:rPr>
              <w:t>市民政局</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710"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18</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推动公共资源交易标准化建设，实现公共资源交易不见面开标、异地远程评标，交易全流程电子化监控。</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市公共资源交易服务中心</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843"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19</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创新监管措施</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推行“双随机、一公开”监管，制定随机抽查计划和涉企现场检查事项清单，探索建立重点监管清单制度。</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市市场监管局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2319"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加强反垄断执法监管，开展反不正当竞争重点领域专项治理，持续加大对“保健”、互联网、民生等重点领域和重点行业的监管力度。推进完善统一开放、竞争有序的市场体系</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市市场监管局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217"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21</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按照“清单之外不得另设门槛和隐性限制”要求，持续推动破除市场准入隐性壁垒。</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市市场监管局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530"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22</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加快社会信用体系建设，着力构建以信用为基础的新型监管机制。</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市发展改革委</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376"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23</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加强对安全生产监督检查计划编制、报批、备案、调整变更、实施等相关情况的监督和通报。</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市应急局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376"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24</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加强法律服务</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聚焦疫情对企业经营的影响，积极为企业复工复产提供法律服务。</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市市场监管局</w:t>
            </w:r>
            <w:r>
              <w:rPr>
                <w:rFonts w:hint="eastAsia" w:ascii="仿宋_GB2312" w:eastAsia="仿宋_GB2312"/>
                <w:sz w:val="24"/>
              </w:rPr>
              <w:br w:type="textWrapping"/>
            </w:r>
            <w:r>
              <w:rPr>
                <w:rFonts w:hint="eastAsia" w:ascii="仿宋_GB2312" w:eastAsia="仿宋_GB2312"/>
                <w:sz w:val="24"/>
              </w:rPr>
              <w:t>市经济信息化局</w:t>
            </w:r>
            <w:r>
              <w:rPr>
                <w:rFonts w:hint="eastAsia" w:ascii="仿宋_GB2312" w:eastAsia="仿宋_GB2312"/>
                <w:sz w:val="24"/>
              </w:rPr>
              <w:br w:type="textWrapping"/>
            </w:r>
            <w:r>
              <w:rPr>
                <w:rFonts w:hint="eastAsia" w:ascii="仿宋_GB2312" w:eastAsia="仿宋_GB2312"/>
                <w:spacing w:val="-10"/>
                <w:sz w:val="24"/>
              </w:rPr>
              <w:t>市经济合作外事局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067"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25</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整合律师、公证、司法鉴定、基层法律服务、仲裁、人民调解、法律援助等法律服务资源，开展民营企业“法治体检”。</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756"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26</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健全外来企业投诉、民营企业维权投诉处理机制，指导和帮助企业更好地维护自身合法权益。</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211"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27</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完善贸易救济预警机制，引导企业防范国际贸易摩擦风险，提高应对国际贸易环境变化的综合能力。</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市商务局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448" w:hRule="atLeast"/>
          <w:jc w:val="center"/>
        </w:trPr>
        <w:tc>
          <w:tcPr>
            <w:tcW w:w="1437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黑体" w:hAnsi="黑体" w:eastAsia="黑体"/>
                <w:sz w:val="28"/>
                <w:szCs w:val="28"/>
              </w:rPr>
              <w:t>三、扎实推进严格规范公正文明执法</w:t>
            </w:r>
          </w:p>
        </w:tc>
      </w:tr>
      <w:tr>
        <w:tblPrEx>
          <w:tblCellMar>
            <w:top w:w="0" w:type="dxa"/>
            <w:left w:w="0" w:type="dxa"/>
            <w:bottom w:w="0" w:type="dxa"/>
            <w:right w:w="0" w:type="dxa"/>
          </w:tblCellMar>
        </w:tblPrEx>
        <w:trPr>
          <w:trHeight w:val="2155"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28</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深化综合行政执法改革</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认真执行省政府关于市场监管、生态环境保护、文化市场、交通运输、农业等5个领域执法事项的指导目录。</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市委编办</w:t>
            </w:r>
          </w:p>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市生态环境局</w:t>
            </w:r>
            <w:r>
              <w:rPr>
                <w:rFonts w:hint="eastAsia" w:ascii="仿宋_GB2312" w:eastAsia="仿宋_GB2312"/>
                <w:sz w:val="24"/>
              </w:rPr>
              <w:br w:type="textWrapping"/>
            </w:r>
            <w:r>
              <w:rPr>
                <w:rFonts w:hint="eastAsia" w:ascii="仿宋_GB2312" w:eastAsia="仿宋_GB2312"/>
                <w:sz w:val="24"/>
              </w:rPr>
              <w:t>市交通运输局</w:t>
            </w:r>
            <w:r>
              <w:rPr>
                <w:rFonts w:hint="eastAsia" w:ascii="仿宋_GB2312" w:eastAsia="仿宋_GB2312"/>
                <w:sz w:val="24"/>
              </w:rPr>
              <w:br w:type="textWrapping"/>
            </w:r>
            <w:r>
              <w:rPr>
                <w:rFonts w:hint="eastAsia" w:ascii="仿宋_GB2312" w:eastAsia="仿宋_GB2312"/>
                <w:sz w:val="24"/>
              </w:rPr>
              <w:t>市农业农村局</w:t>
            </w:r>
            <w:r>
              <w:rPr>
                <w:rFonts w:hint="eastAsia" w:ascii="仿宋_GB2312" w:eastAsia="仿宋_GB2312"/>
                <w:sz w:val="24"/>
              </w:rPr>
              <w:br w:type="textWrapping"/>
            </w:r>
            <w:r>
              <w:rPr>
                <w:rFonts w:hint="eastAsia" w:ascii="仿宋_GB2312" w:eastAsia="仿宋_GB2312"/>
                <w:sz w:val="24"/>
              </w:rPr>
              <w:t>市文化广电旅游局</w:t>
            </w:r>
            <w:r>
              <w:rPr>
                <w:rFonts w:hint="eastAsia" w:ascii="仿宋_GB2312" w:eastAsia="仿宋_GB2312"/>
                <w:sz w:val="24"/>
              </w:rPr>
              <w:br w:type="textWrapping"/>
            </w:r>
            <w:r>
              <w:rPr>
                <w:rFonts w:hint="eastAsia" w:ascii="仿宋_GB2312" w:eastAsia="仿宋_GB2312"/>
                <w:sz w:val="24"/>
              </w:rPr>
              <w:t>市市场监管局</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532"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29</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进一步完善园区、开发区行政执法体制机制，建立健全乡镇（街道）统一指挥协调的工作机制，推动经济发达镇和具备条件的乡镇（街道）实行“一支队伍管执法”。</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市委编办</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r>
              <w:rPr>
                <w:rFonts w:hint="eastAsia" w:ascii="仿宋_GB2312" w:eastAsia="仿宋_GB2312"/>
                <w:sz w:val="24"/>
              </w:rPr>
              <w:br w:type="textWrapping"/>
            </w:r>
            <w:r>
              <w:rPr>
                <w:rFonts w:hint="eastAsia" w:ascii="仿宋_GB2312" w:eastAsia="仿宋_GB2312"/>
                <w:sz w:val="24"/>
              </w:rPr>
              <w:t>市级行政执法部门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220" w:hRule="atLeast"/>
          <w:jc w:val="center"/>
        </w:trPr>
        <w:tc>
          <w:tcPr>
            <w:tcW w:w="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30</w:t>
            </w:r>
          </w:p>
        </w:tc>
        <w:tc>
          <w:tcPr>
            <w:tcW w:w="853"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推进行政执法规范化建设</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全面推行行政执法“三项制度”，贯彻执行修订后的《四川省行政执法公示规定》《四川省行政执法全过程记录规定》《四川省重大执法决定法制审核办法》。</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市级行政执法部门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2020年9月底</w:t>
            </w:r>
          </w:p>
        </w:tc>
      </w:tr>
      <w:tr>
        <w:tblPrEx>
          <w:tblCellMar>
            <w:top w:w="0" w:type="dxa"/>
            <w:left w:w="0" w:type="dxa"/>
            <w:bottom w:w="0" w:type="dxa"/>
            <w:right w:w="0" w:type="dxa"/>
          </w:tblCellMar>
        </w:tblPrEx>
        <w:trPr>
          <w:trHeight w:val="1228" w:hRule="atLeast"/>
          <w:jc w:val="center"/>
        </w:trPr>
        <w:tc>
          <w:tcPr>
            <w:tcW w:w="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31</w:t>
            </w:r>
          </w:p>
        </w:tc>
        <w:tc>
          <w:tcPr>
            <w:tcW w:w="853"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推动执行行政执法用语、行政执法案件编号、重大执法决定法制审核事项等地方标准。</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p>
            <w:pPr>
              <w:rPr>
                <w:rFonts w:hint="eastAsia" w:ascii="仿宋_GB2312" w:eastAsia="仿宋_GB2312"/>
                <w:sz w:val="24"/>
              </w:rPr>
            </w:pPr>
            <w:r>
              <w:rPr>
                <w:rFonts w:hint="eastAsia" w:ascii="仿宋_GB2312" w:eastAsia="仿宋_GB2312"/>
                <w:sz w:val="24"/>
              </w:rPr>
              <w:t>市市场监管局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市级行政执法部门</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297" w:hRule="atLeast"/>
          <w:jc w:val="center"/>
        </w:trPr>
        <w:tc>
          <w:tcPr>
            <w:tcW w:w="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 xml:space="preserve">32 </w:t>
            </w:r>
          </w:p>
        </w:tc>
        <w:tc>
          <w:tcPr>
            <w:tcW w:w="853"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 xml:space="preserve"> 推动《四川省安全生产行政执法与刑事司法衔接工作实施办法》的贯彻落实，推动与公安、检察院、法院建立联席会议长效机制，分工协作，密切配合，依法严厉打击安全生产领域涉嫌犯罪案件。</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市应急局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2385" w:hRule="atLeast"/>
          <w:jc w:val="center"/>
        </w:trPr>
        <w:tc>
          <w:tcPr>
            <w:tcW w:w="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33</w:t>
            </w:r>
          </w:p>
        </w:tc>
        <w:tc>
          <w:tcPr>
            <w:tcW w:w="853"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加强行政执法监督</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贯彻落实新修订的《四川省行政执法监督条例》，进一步压实行政执法监督主体责任，重点加强疫情期间行政执法人员严格规范公正文明执法情况的监督检查。</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市公安局</w:t>
            </w:r>
            <w:r>
              <w:rPr>
                <w:rFonts w:hint="eastAsia" w:ascii="仿宋_GB2312" w:eastAsia="仿宋_GB2312"/>
                <w:sz w:val="24"/>
              </w:rPr>
              <w:br w:type="textWrapping"/>
            </w:r>
            <w:r>
              <w:rPr>
                <w:rFonts w:hint="eastAsia" w:ascii="仿宋_GB2312" w:eastAsia="仿宋_GB2312"/>
                <w:sz w:val="24"/>
              </w:rPr>
              <w:t>市自然资源局</w:t>
            </w:r>
            <w:r>
              <w:rPr>
                <w:rFonts w:hint="eastAsia" w:ascii="仿宋_GB2312" w:eastAsia="仿宋_GB2312"/>
                <w:sz w:val="24"/>
              </w:rPr>
              <w:br w:type="textWrapping"/>
            </w:r>
            <w:r>
              <w:rPr>
                <w:rFonts w:hint="eastAsia" w:ascii="仿宋_GB2312" w:eastAsia="仿宋_GB2312"/>
                <w:sz w:val="24"/>
              </w:rPr>
              <w:t>市生态环境局</w:t>
            </w:r>
            <w:r>
              <w:rPr>
                <w:rFonts w:hint="eastAsia" w:ascii="仿宋_GB2312" w:eastAsia="仿宋_GB2312"/>
                <w:sz w:val="24"/>
              </w:rPr>
              <w:br w:type="textWrapping"/>
            </w:r>
            <w:r>
              <w:rPr>
                <w:rFonts w:hint="eastAsia" w:ascii="仿宋_GB2312" w:eastAsia="仿宋_GB2312"/>
                <w:sz w:val="24"/>
              </w:rPr>
              <w:t>市交通运输局</w:t>
            </w:r>
            <w:r>
              <w:rPr>
                <w:rFonts w:hint="eastAsia" w:ascii="仿宋_GB2312" w:eastAsia="仿宋_GB2312"/>
                <w:sz w:val="24"/>
              </w:rPr>
              <w:br w:type="textWrapping"/>
            </w:r>
            <w:r>
              <w:rPr>
                <w:rFonts w:hint="eastAsia" w:ascii="仿宋_GB2312" w:eastAsia="仿宋_GB2312"/>
                <w:sz w:val="24"/>
              </w:rPr>
              <w:t>市应急局</w:t>
            </w:r>
            <w:r>
              <w:rPr>
                <w:rFonts w:hint="eastAsia" w:ascii="仿宋_GB2312" w:eastAsia="仿宋_GB2312"/>
                <w:sz w:val="24"/>
              </w:rPr>
              <w:br w:type="textWrapping"/>
            </w:r>
            <w:r>
              <w:rPr>
                <w:rFonts w:hint="eastAsia" w:ascii="仿宋_GB2312" w:eastAsia="仿宋_GB2312"/>
                <w:sz w:val="24"/>
              </w:rPr>
              <w:t>市市场监管局</w:t>
            </w:r>
            <w:r>
              <w:rPr>
                <w:rFonts w:hint="eastAsia" w:ascii="仿宋_GB2312" w:eastAsia="仿宋_GB2312"/>
                <w:sz w:val="24"/>
              </w:rPr>
              <w:br w:type="textWrapping"/>
            </w:r>
            <w:r>
              <w:rPr>
                <w:rFonts w:hint="eastAsia" w:ascii="仿宋_GB2312" w:eastAsia="仿宋_GB2312"/>
                <w:sz w:val="24"/>
              </w:rPr>
              <w:t>市级行政执法部门</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266" w:hRule="atLeast"/>
          <w:jc w:val="center"/>
        </w:trPr>
        <w:tc>
          <w:tcPr>
            <w:tcW w:w="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34</w:t>
            </w:r>
          </w:p>
        </w:tc>
        <w:tc>
          <w:tcPr>
            <w:tcW w:w="853"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组织开展全市行政执法社会满意度调查，对人民群众最不满意的行政执法突出问题进行承诺整改，提升行政执法水平。</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市级行政执法部门</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2020年10月底</w:t>
            </w:r>
          </w:p>
        </w:tc>
      </w:tr>
      <w:tr>
        <w:tblPrEx>
          <w:tblCellMar>
            <w:top w:w="0" w:type="dxa"/>
            <w:left w:w="0" w:type="dxa"/>
            <w:bottom w:w="0" w:type="dxa"/>
            <w:right w:w="0" w:type="dxa"/>
          </w:tblCellMar>
        </w:tblPrEx>
        <w:trPr>
          <w:trHeight w:val="1266" w:hRule="atLeast"/>
          <w:jc w:val="center"/>
        </w:trPr>
        <w:tc>
          <w:tcPr>
            <w:tcW w:w="6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35</w:t>
            </w:r>
          </w:p>
        </w:tc>
        <w:tc>
          <w:tcPr>
            <w:tcW w:w="853"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健全投诉举报处理机制，对群众和企业反映强烈的不作为、乱作为、简单粗暴以及过度执法等问题，接到举报后要及时转送有关执法机关处理。做到行政执法活动可投诉、可追溯、可监督。</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市级行政执法部门</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2020年10月底</w:t>
            </w:r>
          </w:p>
        </w:tc>
      </w:tr>
      <w:tr>
        <w:tblPrEx>
          <w:tblCellMar>
            <w:top w:w="0" w:type="dxa"/>
            <w:left w:w="0" w:type="dxa"/>
            <w:bottom w:w="0" w:type="dxa"/>
            <w:right w:w="0" w:type="dxa"/>
          </w:tblCellMar>
        </w:tblPrEx>
        <w:trPr>
          <w:trHeight w:val="736" w:hRule="atLeast"/>
          <w:jc w:val="center"/>
        </w:trPr>
        <w:tc>
          <w:tcPr>
            <w:tcW w:w="1437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黑体" w:hAnsi="黑体" w:eastAsia="黑体"/>
                <w:sz w:val="28"/>
                <w:szCs w:val="28"/>
              </w:rPr>
              <w:t>四、不断加大行政权力监督力度</w:t>
            </w:r>
          </w:p>
        </w:tc>
      </w:tr>
      <w:tr>
        <w:tblPrEx>
          <w:tblCellMar>
            <w:top w:w="0" w:type="dxa"/>
            <w:left w:w="0" w:type="dxa"/>
            <w:bottom w:w="0" w:type="dxa"/>
            <w:right w:w="0" w:type="dxa"/>
          </w:tblCellMar>
        </w:tblPrEx>
        <w:trPr>
          <w:trHeight w:val="930"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36</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自觉接受监督</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认真执行向本级人大及其常委会报告工作制度、接受询问和质询制度、报备政府规章制度。</w:t>
            </w:r>
          </w:p>
        </w:tc>
        <w:tc>
          <w:tcPr>
            <w:tcW w:w="190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286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849"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37</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按规定向政协通报有关情况，为民主党派、政协委员履职提供便利、创造条件。</w:t>
            </w:r>
          </w:p>
        </w:tc>
        <w:tc>
          <w:tcPr>
            <w:tcW w:w="190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286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r>
      <w:tr>
        <w:tblPrEx>
          <w:tblCellMar>
            <w:top w:w="0" w:type="dxa"/>
            <w:left w:w="0" w:type="dxa"/>
            <w:bottom w:w="0" w:type="dxa"/>
            <w:right w:w="0" w:type="dxa"/>
          </w:tblCellMar>
        </w:tblPrEx>
        <w:trPr>
          <w:trHeight w:val="1436"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38</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依法执行人民法院生效裁判，落实行政机关依法出庭应诉制度和人民法院司法建议、人民检察院检察建议反馈制度，深化府院联席会议制度。进一步完善行政与司法良性互动机制。</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485"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39</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深化政务公开</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认真执行我省政务公开地方标准，2020年底前基层政务公开标准化规范化工作，大力推动重大建设项目批准与实施、公共资源配置、社会公益事业建设等重点领域政府信息公开。</w:t>
            </w:r>
          </w:p>
        </w:tc>
        <w:tc>
          <w:tcPr>
            <w:tcW w:w="190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市政府办公室</w:t>
            </w:r>
          </w:p>
        </w:tc>
        <w:tc>
          <w:tcPr>
            <w:tcW w:w="286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216"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40</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加强全市政府网站与政务新媒体科学管理，推动各级政府网站与政务新媒体优质规范、健康有序发展。</w:t>
            </w:r>
          </w:p>
        </w:tc>
        <w:tc>
          <w:tcPr>
            <w:tcW w:w="190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286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r>
      <w:tr>
        <w:tblPrEx>
          <w:tblCellMar>
            <w:top w:w="0" w:type="dxa"/>
            <w:left w:w="0" w:type="dxa"/>
            <w:bottom w:w="0" w:type="dxa"/>
            <w:right w:w="0" w:type="dxa"/>
          </w:tblCellMar>
        </w:tblPrEx>
        <w:trPr>
          <w:trHeight w:val="1078"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41</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依托各级行政机关网站已有“政府信息公开”“政务公开”栏目，规范政府信息公开专栏建设。持续做好政府公报工作。</w:t>
            </w:r>
          </w:p>
        </w:tc>
        <w:tc>
          <w:tcPr>
            <w:tcW w:w="190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286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r>
      <w:tr>
        <w:tblPrEx>
          <w:tblCellMar>
            <w:top w:w="0" w:type="dxa"/>
            <w:left w:w="0" w:type="dxa"/>
            <w:bottom w:w="0" w:type="dxa"/>
            <w:right w:w="0" w:type="dxa"/>
          </w:tblCellMar>
        </w:tblPrEx>
        <w:trPr>
          <w:trHeight w:val="1112"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42</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依法做好疫情报告和发布工作，按照法定内容、程序、方式、时限及时准确报告疫情信息。</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市政府办公室</w:t>
            </w:r>
          </w:p>
          <w:p>
            <w:pPr>
              <w:rPr>
                <w:rFonts w:hint="eastAsia" w:ascii="仿宋_GB2312" w:eastAsia="仿宋_GB2312"/>
                <w:sz w:val="24"/>
              </w:rPr>
            </w:pPr>
            <w:r>
              <w:rPr>
                <w:rFonts w:hint="eastAsia" w:ascii="仿宋_GB2312" w:eastAsia="仿宋_GB2312"/>
                <w:sz w:val="24"/>
              </w:rPr>
              <w:t>市卫生健康委</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787" w:hRule="atLeast"/>
          <w:jc w:val="center"/>
        </w:trPr>
        <w:tc>
          <w:tcPr>
            <w:tcW w:w="1437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黑体" w:hAnsi="黑体" w:eastAsia="黑体"/>
                <w:sz w:val="28"/>
                <w:szCs w:val="28"/>
              </w:rPr>
              <w:t>五、依法有效化解矛盾纠纷</w:t>
            </w:r>
          </w:p>
        </w:tc>
      </w:tr>
      <w:tr>
        <w:tblPrEx>
          <w:tblCellMar>
            <w:top w:w="0" w:type="dxa"/>
            <w:left w:w="0" w:type="dxa"/>
            <w:bottom w:w="0" w:type="dxa"/>
            <w:right w:w="0" w:type="dxa"/>
          </w:tblCellMar>
        </w:tblPrEx>
        <w:trPr>
          <w:trHeight w:val="1671"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43</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健全纠纷多元化解机制</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贯彻落实《四川省纠纷多元化解条例》，结合乡镇行政区划调整改革，进一步加强纠纷调解人才队伍建设，提高纠纷预防和化解能力。</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662"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44</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坚持和发展新时代“枫桥经验”，完善人民调解、行政调解、司法调解衔接联动工作机制，强化疫情期间矛盾纠纷化解工作。深入开展律师调解，规范提升德古调解工作。</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p>
            <w:pPr>
              <w:rPr>
                <w:rFonts w:hint="eastAsia" w:ascii="仿宋_GB2312" w:eastAsia="仿宋_GB2312"/>
                <w:sz w:val="24"/>
              </w:rPr>
            </w:pPr>
            <w:r>
              <w:rPr>
                <w:rFonts w:hint="eastAsia" w:ascii="仿宋_GB2312" w:eastAsia="仿宋_GB2312"/>
                <w:sz w:val="24"/>
              </w:rPr>
              <w:t>市公安局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 xml:space="preserve"> 各县（市、区）人民政府    </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2788"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45</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抓好行政裁决工作，重点做好自然资源权属争议、知识产权侵权纠纷和补偿争议、政府采购活动争议等方面的行政裁决工作。加强仲裁规范化、标准化建设。</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r>
              <w:rPr>
                <w:rFonts w:hint="eastAsia" w:ascii="仿宋_GB2312" w:eastAsia="仿宋_GB2312"/>
                <w:sz w:val="24"/>
              </w:rPr>
              <w:br w:type="textWrapping"/>
            </w:r>
            <w:r>
              <w:rPr>
                <w:rFonts w:hint="eastAsia" w:ascii="仿宋_GB2312" w:eastAsia="仿宋_GB2312"/>
                <w:sz w:val="24"/>
              </w:rPr>
              <w:t>市财政局</w:t>
            </w:r>
            <w:r>
              <w:rPr>
                <w:rFonts w:hint="eastAsia" w:ascii="仿宋_GB2312" w:eastAsia="仿宋_GB2312"/>
                <w:sz w:val="24"/>
              </w:rPr>
              <w:br w:type="textWrapping"/>
            </w:r>
            <w:r>
              <w:rPr>
                <w:rFonts w:hint="eastAsia" w:ascii="仿宋_GB2312" w:eastAsia="仿宋_GB2312"/>
                <w:sz w:val="24"/>
              </w:rPr>
              <w:t>市自然资源局</w:t>
            </w:r>
            <w:r>
              <w:rPr>
                <w:rFonts w:hint="eastAsia" w:ascii="仿宋_GB2312" w:eastAsia="仿宋_GB2312"/>
                <w:sz w:val="24"/>
              </w:rPr>
              <w:br w:type="textWrapping"/>
            </w:r>
            <w:r>
              <w:rPr>
                <w:rFonts w:hint="eastAsia" w:ascii="仿宋_GB2312" w:eastAsia="仿宋_GB2312"/>
                <w:spacing w:val="-8"/>
                <w:sz w:val="24"/>
              </w:rPr>
              <w:t>市住房城乡建设局</w:t>
            </w:r>
            <w:r>
              <w:rPr>
                <w:rFonts w:hint="eastAsia" w:ascii="仿宋_GB2312" w:eastAsia="仿宋_GB2312"/>
                <w:sz w:val="24"/>
              </w:rPr>
              <w:br w:type="textWrapping"/>
            </w:r>
            <w:r>
              <w:rPr>
                <w:rFonts w:hint="eastAsia" w:ascii="仿宋_GB2312" w:eastAsia="仿宋_GB2312"/>
                <w:sz w:val="24"/>
              </w:rPr>
              <w:t>市退役军人局</w:t>
            </w:r>
            <w:r>
              <w:rPr>
                <w:rFonts w:hint="eastAsia" w:ascii="仿宋_GB2312" w:eastAsia="仿宋_GB2312"/>
                <w:sz w:val="24"/>
              </w:rPr>
              <w:br w:type="textWrapping"/>
            </w:r>
            <w:r>
              <w:rPr>
                <w:rFonts w:hint="eastAsia" w:ascii="仿宋_GB2312" w:eastAsia="仿宋_GB2312"/>
                <w:sz w:val="24"/>
              </w:rPr>
              <w:t>市知识产权服务促进中心</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532"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46</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推进涉法涉诉信访法治化建设，制定依法分类处理信访诉求清单。</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市信访局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935"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47</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加强行政复议和行政应诉工作</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贯彻落实国家行政复议体制改革决策部署，深化“府院”共治，充分发挥“府院”联席机制的重要作用，进一步提升全市行政复议工作水平。</w:t>
            </w:r>
          </w:p>
        </w:tc>
        <w:tc>
          <w:tcPr>
            <w:tcW w:w="190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567"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48</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规范行政复议案件审理程序，完善行政复议案件监督机制。</w:t>
            </w:r>
          </w:p>
        </w:tc>
        <w:tc>
          <w:tcPr>
            <w:tcW w:w="190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286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r>
      <w:tr>
        <w:tblPrEx>
          <w:tblCellMar>
            <w:top w:w="0" w:type="dxa"/>
            <w:left w:w="0" w:type="dxa"/>
            <w:bottom w:w="0" w:type="dxa"/>
            <w:right w:w="0" w:type="dxa"/>
          </w:tblCellMar>
        </w:tblPrEx>
        <w:trPr>
          <w:trHeight w:val="904"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49</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规范行政复议档案管理，加强行政复议信息化建设，行政复议案件在线办理率100%。</w:t>
            </w:r>
          </w:p>
        </w:tc>
        <w:tc>
          <w:tcPr>
            <w:tcW w:w="190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286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r>
      <w:tr>
        <w:tblPrEx>
          <w:tblCellMar>
            <w:top w:w="0" w:type="dxa"/>
            <w:left w:w="0" w:type="dxa"/>
            <w:bottom w:w="0" w:type="dxa"/>
            <w:right w:w="0" w:type="dxa"/>
          </w:tblCellMar>
        </w:tblPrEx>
        <w:trPr>
          <w:trHeight w:val="770"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50</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加强行政复议队伍建设，强化业务学习培训，提升办案能力。</w:t>
            </w:r>
          </w:p>
        </w:tc>
        <w:tc>
          <w:tcPr>
            <w:tcW w:w="190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286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r>
      <w:tr>
        <w:tblPrEx>
          <w:tblCellMar>
            <w:top w:w="0" w:type="dxa"/>
            <w:left w:w="0" w:type="dxa"/>
            <w:bottom w:w="0" w:type="dxa"/>
            <w:right w:w="0" w:type="dxa"/>
          </w:tblCellMar>
        </w:tblPrEx>
        <w:trPr>
          <w:trHeight w:val="1021"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51</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加强行政应诉工作，不断推动行政机关负责人出庭应诉和旁听审理制度，提高行政应诉能力。</w:t>
            </w:r>
          </w:p>
        </w:tc>
        <w:tc>
          <w:tcPr>
            <w:tcW w:w="190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286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r>
      <w:tr>
        <w:tblPrEx>
          <w:tblCellMar>
            <w:top w:w="0" w:type="dxa"/>
            <w:left w:w="0" w:type="dxa"/>
            <w:bottom w:w="0" w:type="dxa"/>
            <w:right w:w="0" w:type="dxa"/>
          </w:tblCellMar>
        </w:tblPrEx>
        <w:trPr>
          <w:trHeight w:val="736" w:hRule="atLeast"/>
          <w:jc w:val="center"/>
        </w:trPr>
        <w:tc>
          <w:tcPr>
            <w:tcW w:w="1437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黑体" w:hAnsi="黑体" w:eastAsia="黑体"/>
                <w:sz w:val="28"/>
                <w:szCs w:val="28"/>
              </w:rPr>
              <w:t xml:space="preserve">六、积极推进城乡基层依法治理 </w:t>
            </w:r>
          </w:p>
        </w:tc>
      </w:tr>
      <w:tr>
        <w:tblPrEx>
          <w:tblCellMar>
            <w:top w:w="0" w:type="dxa"/>
            <w:left w:w="0" w:type="dxa"/>
            <w:bottom w:w="0" w:type="dxa"/>
            <w:right w:w="0" w:type="dxa"/>
          </w:tblCellMar>
        </w:tblPrEx>
        <w:trPr>
          <w:trHeight w:val="1235"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52</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清理规范乡镇职权</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厘清县乡两级职责权限，建立乡镇（街道）权力清单、责任清单和服务清单，实行动态管理，打通优化政务服务落实到基层的“最后一公里”。</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303"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53</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指导以县（市、区）为单位梳理村（社区）“两委”依法依规履行职责事项清单和依法协助政府工作事项清单，建立完善村级民事代办制度。</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市民政局</w:t>
            </w:r>
            <w:r>
              <w:rPr>
                <w:rFonts w:hint="eastAsia" w:ascii="仿宋_GB2312" w:eastAsia="仿宋_GB2312"/>
                <w:sz w:val="24"/>
              </w:rPr>
              <w:br w:type="textWrapping"/>
            </w:r>
            <w:r>
              <w:rPr>
                <w:rFonts w:hint="eastAsia" w:ascii="仿宋_GB2312" w:eastAsia="仿宋_GB2312"/>
                <w:sz w:val="24"/>
              </w:rPr>
              <w:t>市农业农村局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032"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54</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推动乡镇应急机构规范化和应急管理能力标准化建设。</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市应急局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181"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55</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持续推进法治宣传教育</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贯彻落实《乐山市法治宣传教育第七个五年规划（2016—2020年）》，做好督导检查和总结验收工作。</w:t>
            </w:r>
          </w:p>
        </w:tc>
        <w:tc>
          <w:tcPr>
            <w:tcW w:w="190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市司法局</w:t>
            </w:r>
          </w:p>
        </w:tc>
        <w:tc>
          <w:tcPr>
            <w:tcW w:w="286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2198"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56</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严格落实“谁执法谁普法”普法责任制，进一步修订完善普法责任清单，落实普法责任制的考核检查，推进普法与执法有机融合。加强普法工作，营造全社会关心、支持和参与法治政府建设的良好氛围。</w:t>
            </w:r>
          </w:p>
        </w:tc>
        <w:tc>
          <w:tcPr>
            <w:tcW w:w="190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286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r>
      <w:tr>
        <w:tblPrEx>
          <w:tblCellMar>
            <w:top w:w="0" w:type="dxa"/>
            <w:left w:w="0" w:type="dxa"/>
            <w:bottom w:w="0" w:type="dxa"/>
            <w:right w:w="0" w:type="dxa"/>
          </w:tblCellMar>
        </w:tblPrEx>
        <w:trPr>
          <w:trHeight w:val="1961"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57</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建立村（社区）“两委”成员集中学法制度。</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市民政局</w:t>
            </w:r>
          </w:p>
          <w:p>
            <w:pPr>
              <w:rPr>
                <w:rFonts w:hint="eastAsia" w:ascii="仿宋_GB2312" w:eastAsia="仿宋_GB2312"/>
                <w:sz w:val="24"/>
              </w:rPr>
            </w:pPr>
            <w:r>
              <w:rPr>
                <w:rFonts w:hint="eastAsia" w:ascii="仿宋_GB2312" w:eastAsia="仿宋_GB2312"/>
                <w:sz w:val="24"/>
              </w:rPr>
              <w:t>市农村农业局</w:t>
            </w:r>
          </w:p>
          <w:p>
            <w:pPr>
              <w:rPr>
                <w:rFonts w:hint="eastAsia" w:ascii="仿宋_GB2312" w:eastAsia="仿宋_GB2312"/>
                <w:sz w:val="24"/>
              </w:rPr>
            </w:pPr>
            <w:r>
              <w:rPr>
                <w:rFonts w:hint="eastAsia" w:ascii="仿宋_GB2312" w:eastAsia="仿宋_GB2312"/>
                <w:sz w:val="24"/>
              </w:rPr>
              <w:t>市级有关部门</w:t>
            </w:r>
          </w:p>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558"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58</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提高基层法律服务水平</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结合乡镇行政区划调整改革，统筹推进司法所立户列编和规范化建设。</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r>
              <w:rPr>
                <w:rFonts w:hint="eastAsia" w:ascii="仿宋_GB2312" w:eastAsia="仿宋_GB2312"/>
                <w:sz w:val="24"/>
              </w:rPr>
              <w:br w:type="textWrapping"/>
            </w:r>
            <w:r>
              <w:rPr>
                <w:rFonts w:hint="eastAsia" w:ascii="仿宋_GB2312" w:eastAsia="仿宋_GB2312"/>
                <w:sz w:val="24"/>
              </w:rPr>
              <w:t>市委编办</w:t>
            </w:r>
            <w:r>
              <w:rPr>
                <w:rFonts w:hint="eastAsia" w:ascii="仿宋_GB2312" w:eastAsia="仿宋_GB2312"/>
                <w:sz w:val="24"/>
              </w:rPr>
              <w:br w:type="textWrapping"/>
            </w:r>
            <w:r>
              <w:rPr>
                <w:rFonts w:hint="eastAsia" w:ascii="仿宋_GB2312" w:eastAsia="仿宋_GB2312"/>
                <w:sz w:val="24"/>
              </w:rPr>
              <w:t>市发展改革委</w:t>
            </w:r>
            <w:r>
              <w:rPr>
                <w:rFonts w:hint="eastAsia" w:ascii="仿宋_GB2312" w:eastAsia="仿宋_GB2312"/>
                <w:sz w:val="24"/>
              </w:rPr>
              <w:br w:type="textWrapping"/>
            </w:r>
            <w:r>
              <w:rPr>
                <w:rFonts w:hint="eastAsia" w:ascii="仿宋_GB2312" w:eastAsia="仿宋_GB2312"/>
                <w:sz w:val="24"/>
              </w:rPr>
              <w:t xml:space="preserve">市财政局   </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702"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59</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加强乡镇（街道）公共法律服务，加强基层公职律师队伍建设，鼓励公职律师担任乡镇法律顾问，积极服务基层依法治理工作。鼓励有条件的地方根据需要设立法律顾问和公职律师，健全基层发展治理重大决策征求法律顾问意见机制。</w:t>
            </w:r>
          </w:p>
        </w:tc>
        <w:tc>
          <w:tcPr>
            <w:tcW w:w="19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736" w:hRule="atLeast"/>
          <w:jc w:val="center"/>
        </w:trPr>
        <w:tc>
          <w:tcPr>
            <w:tcW w:w="1437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eastAsia="仿宋_GB2312"/>
                <w:sz w:val="24"/>
              </w:rPr>
            </w:pPr>
            <w:r>
              <w:rPr>
                <w:rFonts w:hint="eastAsia" w:ascii="黑体" w:hAnsi="黑体" w:eastAsia="黑体"/>
                <w:sz w:val="28"/>
                <w:szCs w:val="28"/>
              </w:rPr>
              <w:t xml:space="preserve">七、健全完善工作落实保障机制 </w:t>
            </w:r>
          </w:p>
        </w:tc>
      </w:tr>
      <w:tr>
        <w:tblPrEx>
          <w:tblCellMar>
            <w:top w:w="0" w:type="dxa"/>
            <w:left w:w="0" w:type="dxa"/>
            <w:bottom w:w="0" w:type="dxa"/>
            <w:right w:w="0" w:type="dxa"/>
          </w:tblCellMar>
        </w:tblPrEx>
        <w:trPr>
          <w:trHeight w:val="1555"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60</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压实工作责任</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严格落实法治政府建设第一责任人职责，进一步提升政府工作法治化水平。</w:t>
            </w:r>
          </w:p>
        </w:tc>
        <w:tc>
          <w:tcPr>
            <w:tcW w:w="190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207"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61</w:t>
            </w:r>
          </w:p>
        </w:tc>
        <w:tc>
          <w:tcPr>
            <w:tcW w:w="85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根据省委依法治省办工作安排，开展法治政府建设专项督察，强化工作责任落实。</w:t>
            </w:r>
          </w:p>
        </w:tc>
        <w:tc>
          <w:tcPr>
            <w:tcW w:w="190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p>
        </w:tc>
        <w:tc>
          <w:tcPr>
            <w:tcW w:w="28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2020年底前</w:t>
            </w:r>
          </w:p>
        </w:tc>
      </w:tr>
      <w:tr>
        <w:tblPrEx>
          <w:tblCellMar>
            <w:top w:w="0" w:type="dxa"/>
            <w:left w:w="0" w:type="dxa"/>
            <w:bottom w:w="0" w:type="dxa"/>
            <w:right w:w="0" w:type="dxa"/>
          </w:tblCellMar>
        </w:tblPrEx>
        <w:trPr>
          <w:trHeight w:val="1379"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62</w:t>
            </w:r>
          </w:p>
        </w:tc>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强化评估考核</w:t>
            </w:r>
          </w:p>
        </w:tc>
        <w:tc>
          <w:tcPr>
            <w:tcW w:w="63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认真学习总结国家第一批法治政府建设示范创建单位的经验做法，选树推广推进法治政府建设创新实践先进典型。</w:t>
            </w:r>
          </w:p>
        </w:tc>
        <w:tc>
          <w:tcPr>
            <w:tcW w:w="190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市司法局</w:t>
            </w:r>
          </w:p>
        </w:tc>
        <w:tc>
          <w:tcPr>
            <w:tcW w:w="286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市级有关部门</w:t>
            </w:r>
            <w:r>
              <w:rPr>
                <w:rFonts w:hint="eastAsia" w:ascii="仿宋_GB2312" w:eastAsia="仿宋_GB2312"/>
                <w:sz w:val="24"/>
              </w:rPr>
              <w:br w:type="textWrapping"/>
            </w:r>
            <w:r>
              <w:rPr>
                <w:rFonts w:hint="eastAsia" w:ascii="仿宋_GB2312" w:eastAsia="仿宋_GB2312"/>
                <w:sz w:val="24"/>
              </w:rPr>
              <w:t>各县（市、区）人民政府</w:t>
            </w:r>
          </w:p>
        </w:tc>
        <w:tc>
          <w:tcPr>
            <w:tcW w:w="173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2020年10月底</w:t>
            </w:r>
          </w:p>
        </w:tc>
      </w:tr>
      <w:tr>
        <w:tblPrEx>
          <w:tblCellMar>
            <w:top w:w="0" w:type="dxa"/>
            <w:left w:w="0" w:type="dxa"/>
            <w:bottom w:w="0" w:type="dxa"/>
            <w:right w:w="0" w:type="dxa"/>
          </w:tblCellMar>
        </w:tblPrEx>
        <w:trPr>
          <w:trHeight w:val="1694" w:hRule="atLeast"/>
          <w:jc w:val="center"/>
        </w:trPr>
        <w:tc>
          <w:tcPr>
            <w:tcW w:w="62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63</w:t>
            </w:r>
          </w:p>
        </w:tc>
        <w:tc>
          <w:tcPr>
            <w:tcW w:w="853" w:type="dxa"/>
            <w:vMerge w:val="continue"/>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对全省贯彻落实中共中央、国务院《法治政府建设实施纲要（2015—2020年）》《四川省法治政府建设实施方案（2016—2020年）》的情况进行总结评估。</w:t>
            </w:r>
          </w:p>
        </w:tc>
        <w:tc>
          <w:tcPr>
            <w:tcW w:w="1901" w:type="dxa"/>
            <w:vMerge w:val="continue"/>
            <w:tcBorders>
              <w:top w:val="single" w:color="auto" w:sz="4" w:space="0"/>
              <w:left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p>
        </w:tc>
        <w:tc>
          <w:tcPr>
            <w:tcW w:w="2868" w:type="dxa"/>
            <w:vMerge w:val="continue"/>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continue"/>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p>
        </w:tc>
      </w:tr>
      <w:tr>
        <w:tblPrEx>
          <w:tblCellMar>
            <w:top w:w="0" w:type="dxa"/>
            <w:left w:w="0" w:type="dxa"/>
            <w:bottom w:w="0" w:type="dxa"/>
            <w:right w:w="0" w:type="dxa"/>
          </w:tblCellMar>
        </w:tblPrEx>
        <w:trPr>
          <w:trHeight w:val="1376" w:hRule="atLeast"/>
          <w:jc w:val="center"/>
        </w:trPr>
        <w:tc>
          <w:tcPr>
            <w:tcW w:w="6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64</w:t>
            </w:r>
          </w:p>
        </w:tc>
        <w:tc>
          <w:tcPr>
            <w:tcW w:w="8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p>
        </w:tc>
        <w:tc>
          <w:tcPr>
            <w:tcW w:w="6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r>
              <w:rPr>
                <w:rFonts w:hint="eastAsia" w:ascii="仿宋_GB2312" w:eastAsia="仿宋_GB2312"/>
                <w:sz w:val="24"/>
              </w:rPr>
              <w:t>进一步完善本年度依法行政目标绩效考核方案，优化考核指标，充分发挥考核对法治政府建设的重要推动作用。</w:t>
            </w:r>
          </w:p>
        </w:tc>
        <w:tc>
          <w:tcPr>
            <w:tcW w:w="1901"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p>
        </w:tc>
        <w:tc>
          <w:tcPr>
            <w:tcW w:w="2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p>
        </w:tc>
        <w:tc>
          <w:tcPr>
            <w:tcW w:w="173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eastAsia="仿宋_GB2312"/>
                <w:sz w:val="24"/>
              </w:rPr>
            </w:pPr>
          </w:p>
        </w:tc>
      </w:tr>
    </w:tbl>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9E60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DengYaqi</dc:creator>
  <cp:lastModifiedBy>DengYaqi</cp:lastModifiedBy>
  <dcterms:modified xsi:type="dcterms:W3CDTF">2020-06-23T07:27:13Z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