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80" w:lineRule="exact"/>
        <w:rPr>
          <w:rFonts w:hint="eastAsia" w:ascii="黑体" w:hAnsi="黑体" w:eastAsia="黑体"/>
          <w:snapToGrid w:val="0"/>
          <w:kern w:val="0"/>
          <w:sz w:val="32"/>
          <w:szCs w:val="32"/>
        </w:rPr>
      </w:pPr>
      <w:r>
        <w:rPr>
          <w:rFonts w:hint="eastAsia" w:ascii="黑体" w:hAnsi="黑体" w:eastAsia="黑体"/>
          <w:snapToGrid w:val="0"/>
          <w:kern w:val="0"/>
          <w:sz w:val="32"/>
          <w:szCs w:val="32"/>
        </w:rPr>
        <w:t>附件</w:t>
      </w:r>
    </w:p>
    <w:p>
      <w:pPr>
        <w:autoSpaceDE w:val="0"/>
        <w:autoSpaceDN w:val="0"/>
        <w:adjustRightInd w:val="0"/>
        <w:snapToGrid w:val="0"/>
        <w:spacing w:line="580" w:lineRule="exact"/>
        <w:jc w:val="center"/>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rPr>
        <w:t>乐山市城乡生活垃圾处理设施建设项目汇总表</w:t>
      </w:r>
    </w:p>
    <w:p>
      <w:pPr>
        <w:autoSpaceDE w:val="0"/>
        <w:autoSpaceDN w:val="0"/>
        <w:adjustRightInd w:val="0"/>
        <w:snapToGrid w:val="0"/>
        <w:spacing w:line="200" w:lineRule="exact"/>
        <w:jc w:val="center"/>
        <w:rPr>
          <w:rFonts w:hint="eastAsia" w:ascii="方正小标宋简体" w:eastAsia="方正小标宋简体"/>
          <w:snapToGrid w:val="0"/>
          <w:kern w:val="0"/>
          <w:sz w:val="44"/>
          <w:szCs w:val="44"/>
        </w:rPr>
      </w:pPr>
    </w:p>
    <w:tbl>
      <w:tblPr>
        <w:tblStyle w:val="3"/>
        <w:tblW w:w="15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2150"/>
        <w:gridCol w:w="681"/>
        <w:gridCol w:w="1000"/>
        <w:gridCol w:w="1043"/>
        <w:gridCol w:w="1128"/>
        <w:gridCol w:w="1192"/>
        <w:gridCol w:w="1192"/>
        <w:gridCol w:w="936"/>
        <w:gridCol w:w="1128"/>
        <w:gridCol w:w="936"/>
        <w:gridCol w:w="1128"/>
        <w:gridCol w:w="93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17" w:type="dxa"/>
            <w:vMerge w:val="restart"/>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项目类型</w:t>
            </w:r>
          </w:p>
        </w:tc>
        <w:tc>
          <w:tcPr>
            <w:tcW w:w="2150" w:type="dxa"/>
            <w:vMerge w:val="restart"/>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项目名称</w:t>
            </w:r>
          </w:p>
        </w:tc>
        <w:tc>
          <w:tcPr>
            <w:tcW w:w="681" w:type="dxa"/>
            <w:vMerge w:val="restart"/>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项目</w:t>
            </w:r>
            <w:r>
              <w:rPr>
                <w:rFonts w:hint="eastAsia" w:ascii="黑体" w:hAnsi="黑体" w:eastAsia="黑体" w:cs="宋体"/>
                <w:kern w:val="0"/>
                <w:sz w:val="24"/>
              </w:rPr>
              <w:br w:type="textWrapping"/>
            </w:r>
            <w:r>
              <w:rPr>
                <w:rFonts w:hint="eastAsia" w:ascii="黑体" w:hAnsi="黑体" w:eastAsia="黑体" w:cs="宋体"/>
                <w:kern w:val="0"/>
                <w:sz w:val="24"/>
              </w:rPr>
              <w:t>个数</w:t>
            </w:r>
          </w:p>
        </w:tc>
        <w:tc>
          <w:tcPr>
            <w:tcW w:w="1000" w:type="dxa"/>
            <w:vMerge w:val="restart"/>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规模或建设内容</w:t>
            </w:r>
          </w:p>
        </w:tc>
        <w:tc>
          <w:tcPr>
            <w:tcW w:w="1043" w:type="dxa"/>
            <w:vMerge w:val="restart"/>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总投资</w:t>
            </w:r>
            <w:r>
              <w:rPr>
                <w:rFonts w:hint="eastAsia" w:ascii="黑体" w:hAnsi="黑体" w:eastAsia="黑体" w:cs="宋体"/>
                <w:kern w:val="0"/>
                <w:sz w:val="24"/>
              </w:rPr>
              <w:br w:type="textWrapping"/>
            </w:r>
            <w:r>
              <w:rPr>
                <w:rFonts w:hint="eastAsia" w:ascii="黑体" w:hAnsi="黑体" w:eastAsia="黑体" w:cs="宋体"/>
                <w:kern w:val="0"/>
                <w:sz w:val="24"/>
              </w:rPr>
              <w:t>（万元）</w:t>
            </w:r>
          </w:p>
        </w:tc>
        <w:tc>
          <w:tcPr>
            <w:tcW w:w="1128" w:type="dxa"/>
            <w:vMerge w:val="restart"/>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项目</w:t>
            </w:r>
            <w:r>
              <w:rPr>
                <w:rFonts w:hint="eastAsia" w:ascii="黑体" w:hAnsi="黑体" w:eastAsia="黑体" w:cs="宋体"/>
                <w:kern w:val="0"/>
                <w:sz w:val="24"/>
              </w:rPr>
              <w:br w:type="textWrapping"/>
            </w:r>
            <w:r>
              <w:rPr>
                <w:rFonts w:hint="eastAsia" w:ascii="黑体" w:hAnsi="黑体" w:eastAsia="黑体" w:cs="宋体"/>
                <w:kern w:val="0"/>
                <w:sz w:val="24"/>
              </w:rPr>
              <w:t>所在地</w:t>
            </w:r>
          </w:p>
        </w:tc>
        <w:tc>
          <w:tcPr>
            <w:tcW w:w="1192" w:type="dxa"/>
            <w:vMerge w:val="restart"/>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计划开工时间</w:t>
            </w:r>
          </w:p>
        </w:tc>
        <w:tc>
          <w:tcPr>
            <w:tcW w:w="1192" w:type="dxa"/>
            <w:vMerge w:val="restart"/>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计划竣工时间</w:t>
            </w:r>
          </w:p>
        </w:tc>
        <w:tc>
          <w:tcPr>
            <w:tcW w:w="6193" w:type="dxa"/>
            <w:gridSpan w:val="6"/>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目标任务推进计划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17" w:type="dxa"/>
            <w:vMerge w:val="continue"/>
            <w:shd w:val="clear" w:color="auto" w:fill="auto"/>
            <w:noWrap w:val="0"/>
            <w:vAlign w:val="center"/>
          </w:tcPr>
          <w:p>
            <w:pPr>
              <w:widowControl/>
              <w:jc w:val="left"/>
              <w:rPr>
                <w:rFonts w:hint="eastAsia" w:ascii="黑体" w:hAnsi="黑体" w:eastAsia="黑体" w:cs="宋体"/>
                <w:kern w:val="0"/>
                <w:sz w:val="24"/>
              </w:rPr>
            </w:pPr>
          </w:p>
        </w:tc>
        <w:tc>
          <w:tcPr>
            <w:tcW w:w="2150" w:type="dxa"/>
            <w:vMerge w:val="continue"/>
            <w:shd w:val="clear" w:color="auto" w:fill="auto"/>
            <w:noWrap w:val="0"/>
            <w:vAlign w:val="center"/>
          </w:tcPr>
          <w:p>
            <w:pPr>
              <w:widowControl/>
              <w:jc w:val="left"/>
              <w:rPr>
                <w:rFonts w:hint="eastAsia" w:ascii="黑体" w:hAnsi="黑体" w:eastAsia="黑体" w:cs="宋体"/>
                <w:kern w:val="0"/>
                <w:sz w:val="24"/>
              </w:rPr>
            </w:pPr>
          </w:p>
        </w:tc>
        <w:tc>
          <w:tcPr>
            <w:tcW w:w="681" w:type="dxa"/>
            <w:vMerge w:val="continue"/>
            <w:shd w:val="clear" w:color="auto" w:fill="auto"/>
            <w:noWrap w:val="0"/>
            <w:vAlign w:val="center"/>
          </w:tcPr>
          <w:p>
            <w:pPr>
              <w:widowControl/>
              <w:jc w:val="left"/>
              <w:rPr>
                <w:rFonts w:hint="eastAsia" w:ascii="黑体" w:hAnsi="黑体" w:eastAsia="黑体" w:cs="宋体"/>
                <w:kern w:val="0"/>
                <w:sz w:val="24"/>
              </w:rPr>
            </w:pPr>
          </w:p>
        </w:tc>
        <w:tc>
          <w:tcPr>
            <w:tcW w:w="1000" w:type="dxa"/>
            <w:vMerge w:val="continue"/>
            <w:shd w:val="clear" w:color="auto" w:fill="auto"/>
            <w:noWrap w:val="0"/>
            <w:vAlign w:val="center"/>
          </w:tcPr>
          <w:p>
            <w:pPr>
              <w:widowControl/>
              <w:jc w:val="left"/>
              <w:rPr>
                <w:rFonts w:hint="eastAsia" w:ascii="黑体" w:hAnsi="黑体" w:eastAsia="黑体" w:cs="宋体"/>
                <w:kern w:val="0"/>
                <w:sz w:val="24"/>
              </w:rPr>
            </w:pPr>
          </w:p>
        </w:tc>
        <w:tc>
          <w:tcPr>
            <w:tcW w:w="1043" w:type="dxa"/>
            <w:vMerge w:val="continue"/>
            <w:shd w:val="clear" w:color="auto" w:fill="auto"/>
            <w:noWrap w:val="0"/>
            <w:vAlign w:val="center"/>
          </w:tcPr>
          <w:p>
            <w:pPr>
              <w:widowControl/>
              <w:jc w:val="left"/>
              <w:rPr>
                <w:rFonts w:hint="eastAsia" w:ascii="黑体" w:hAnsi="黑体" w:eastAsia="黑体" w:cs="宋体"/>
                <w:kern w:val="0"/>
                <w:sz w:val="24"/>
              </w:rPr>
            </w:pPr>
          </w:p>
        </w:tc>
        <w:tc>
          <w:tcPr>
            <w:tcW w:w="1128" w:type="dxa"/>
            <w:vMerge w:val="continue"/>
            <w:shd w:val="clear" w:color="auto" w:fill="auto"/>
            <w:noWrap w:val="0"/>
            <w:vAlign w:val="center"/>
          </w:tcPr>
          <w:p>
            <w:pPr>
              <w:widowControl/>
              <w:jc w:val="left"/>
              <w:rPr>
                <w:rFonts w:hint="eastAsia" w:ascii="黑体" w:hAnsi="黑体" w:eastAsia="黑体" w:cs="宋体"/>
                <w:kern w:val="0"/>
                <w:sz w:val="24"/>
              </w:rPr>
            </w:pPr>
          </w:p>
        </w:tc>
        <w:tc>
          <w:tcPr>
            <w:tcW w:w="1192" w:type="dxa"/>
            <w:vMerge w:val="continue"/>
            <w:shd w:val="clear" w:color="auto" w:fill="auto"/>
            <w:noWrap w:val="0"/>
            <w:vAlign w:val="center"/>
          </w:tcPr>
          <w:p>
            <w:pPr>
              <w:widowControl/>
              <w:jc w:val="left"/>
              <w:rPr>
                <w:rFonts w:hint="eastAsia" w:ascii="黑体" w:hAnsi="黑体" w:eastAsia="黑体" w:cs="宋体"/>
                <w:kern w:val="0"/>
                <w:sz w:val="24"/>
              </w:rPr>
            </w:pPr>
          </w:p>
        </w:tc>
        <w:tc>
          <w:tcPr>
            <w:tcW w:w="1192" w:type="dxa"/>
            <w:vMerge w:val="continue"/>
            <w:shd w:val="clear" w:color="auto" w:fill="auto"/>
            <w:noWrap w:val="0"/>
            <w:vAlign w:val="center"/>
          </w:tcPr>
          <w:p>
            <w:pPr>
              <w:widowControl/>
              <w:jc w:val="left"/>
              <w:rPr>
                <w:rFonts w:hint="eastAsia" w:ascii="黑体" w:hAnsi="黑体" w:eastAsia="黑体" w:cs="宋体"/>
                <w:kern w:val="0"/>
                <w:sz w:val="24"/>
              </w:rPr>
            </w:pPr>
          </w:p>
        </w:tc>
        <w:tc>
          <w:tcPr>
            <w:tcW w:w="2064" w:type="dxa"/>
            <w:gridSpan w:val="2"/>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2021年</w:t>
            </w:r>
          </w:p>
        </w:tc>
        <w:tc>
          <w:tcPr>
            <w:tcW w:w="2064" w:type="dxa"/>
            <w:gridSpan w:val="2"/>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2022年</w:t>
            </w:r>
          </w:p>
        </w:tc>
        <w:tc>
          <w:tcPr>
            <w:tcW w:w="2064" w:type="dxa"/>
            <w:gridSpan w:val="2"/>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617" w:type="dxa"/>
            <w:vMerge w:val="continue"/>
            <w:shd w:val="clear" w:color="auto" w:fill="auto"/>
            <w:noWrap w:val="0"/>
            <w:vAlign w:val="center"/>
          </w:tcPr>
          <w:p>
            <w:pPr>
              <w:widowControl/>
              <w:jc w:val="left"/>
              <w:rPr>
                <w:rFonts w:hint="eastAsia" w:ascii="黑体" w:hAnsi="黑体" w:eastAsia="黑体" w:cs="宋体"/>
                <w:kern w:val="0"/>
                <w:sz w:val="24"/>
              </w:rPr>
            </w:pPr>
          </w:p>
        </w:tc>
        <w:tc>
          <w:tcPr>
            <w:tcW w:w="2150" w:type="dxa"/>
            <w:vMerge w:val="continue"/>
            <w:shd w:val="clear" w:color="auto" w:fill="auto"/>
            <w:noWrap w:val="0"/>
            <w:vAlign w:val="center"/>
          </w:tcPr>
          <w:p>
            <w:pPr>
              <w:widowControl/>
              <w:jc w:val="left"/>
              <w:rPr>
                <w:rFonts w:hint="eastAsia" w:ascii="黑体" w:hAnsi="黑体" w:eastAsia="黑体" w:cs="宋体"/>
                <w:kern w:val="0"/>
                <w:sz w:val="24"/>
              </w:rPr>
            </w:pPr>
          </w:p>
        </w:tc>
        <w:tc>
          <w:tcPr>
            <w:tcW w:w="681" w:type="dxa"/>
            <w:vMerge w:val="continue"/>
            <w:shd w:val="clear" w:color="auto" w:fill="auto"/>
            <w:noWrap w:val="0"/>
            <w:vAlign w:val="center"/>
          </w:tcPr>
          <w:p>
            <w:pPr>
              <w:widowControl/>
              <w:jc w:val="left"/>
              <w:rPr>
                <w:rFonts w:hint="eastAsia" w:ascii="黑体" w:hAnsi="黑体" w:eastAsia="黑体" w:cs="宋体"/>
                <w:kern w:val="0"/>
                <w:sz w:val="24"/>
              </w:rPr>
            </w:pPr>
          </w:p>
        </w:tc>
        <w:tc>
          <w:tcPr>
            <w:tcW w:w="1000" w:type="dxa"/>
            <w:vMerge w:val="continue"/>
            <w:shd w:val="clear" w:color="auto" w:fill="auto"/>
            <w:noWrap w:val="0"/>
            <w:vAlign w:val="center"/>
          </w:tcPr>
          <w:p>
            <w:pPr>
              <w:widowControl/>
              <w:jc w:val="left"/>
              <w:rPr>
                <w:rFonts w:hint="eastAsia" w:ascii="黑体" w:hAnsi="黑体" w:eastAsia="黑体" w:cs="宋体"/>
                <w:kern w:val="0"/>
                <w:sz w:val="24"/>
              </w:rPr>
            </w:pPr>
          </w:p>
        </w:tc>
        <w:tc>
          <w:tcPr>
            <w:tcW w:w="1043" w:type="dxa"/>
            <w:vMerge w:val="continue"/>
            <w:shd w:val="clear" w:color="auto" w:fill="auto"/>
            <w:noWrap w:val="0"/>
            <w:vAlign w:val="center"/>
          </w:tcPr>
          <w:p>
            <w:pPr>
              <w:widowControl/>
              <w:jc w:val="left"/>
              <w:rPr>
                <w:rFonts w:hint="eastAsia" w:ascii="黑体" w:hAnsi="黑体" w:eastAsia="黑体" w:cs="宋体"/>
                <w:kern w:val="0"/>
                <w:sz w:val="24"/>
              </w:rPr>
            </w:pPr>
          </w:p>
        </w:tc>
        <w:tc>
          <w:tcPr>
            <w:tcW w:w="1128" w:type="dxa"/>
            <w:vMerge w:val="continue"/>
            <w:shd w:val="clear" w:color="auto" w:fill="auto"/>
            <w:noWrap w:val="0"/>
            <w:vAlign w:val="center"/>
          </w:tcPr>
          <w:p>
            <w:pPr>
              <w:widowControl/>
              <w:jc w:val="left"/>
              <w:rPr>
                <w:rFonts w:hint="eastAsia" w:ascii="黑体" w:hAnsi="黑体" w:eastAsia="黑体" w:cs="宋体"/>
                <w:kern w:val="0"/>
                <w:sz w:val="24"/>
              </w:rPr>
            </w:pPr>
          </w:p>
        </w:tc>
        <w:tc>
          <w:tcPr>
            <w:tcW w:w="1192" w:type="dxa"/>
            <w:vMerge w:val="continue"/>
            <w:shd w:val="clear" w:color="auto" w:fill="auto"/>
            <w:noWrap w:val="0"/>
            <w:vAlign w:val="center"/>
          </w:tcPr>
          <w:p>
            <w:pPr>
              <w:widowControl/>
              <w:jc w:val="left"/>
              <w:rPr>
                <w:rFonts w:hint="eastAsia" w:ascii="黑体" w:hAnsi="黑体" w:eastAsia="黑体" w:cs="宋体"/>
                <w:kern w:val="0"/>
                <w:sz w:val="24"/>
              </w:rPr>
            </w:pPr>
          </w:p>
        </w:tc>
        <w:tc>
          <w:tcPr>
            <w:tcW w:w="1192" w:type="dxa"/>
            <w:vMerge w:val="continue"/>
            <w:shd w:val="clear" w:color="auto" w:fill="auto"/>
            <w:noWrap w:val="0"/>
            <w:vAlign w:val="center"/>
          </w:tcPr>
          <w:p>
            <w:pPr>
              <w:widowControl/>
              <w:jc w:val="left"/>
              <w:rPr>
                <w:rFonts w:hint="eastAsia" w:ascii="黑体" w:hAnsi="黑体" w:eastAsia="黑体" w:cs="宋体"/>
                <w:kern w:val="0"/>
                <w:sz w:val="24"/>
              </w:rPr>
            </w:pPr>
          </w:p>
        </w:tc>
        <w:tc>
          <w:tcPr>
            <w:tcW w:w="936" w:type="dxa"/>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计划完成率（%）</w:t>
            </w:r>
          </w:p>
        </w:tc>
        <w:tc>
          <w:tcPr>
            <w:tcW w:w="1128" w:type="dxa"/>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计划投资完成额（万元）</w:t>
            </w:r>
          </w:p>
        </w:tc>
        <w:tc>
          <w:tcPr>
            <w:tcW w:w="936" w:type="dxa"/>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计划完成率（%）</w:t>
            </w:r>
          </w:p>
        </w:tc>
        <w:tc>
          <w:tcPr>
            <w:tcW w:w="1128" w:type="dxa"/>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计划投资完成额（万元）</w:t>
            </w:r>
          </w:p>
        </w:tc>
        <w:tc>
          <w:tcPr>
            <w:tcW w:w="936" w:type="dxa"/>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计划完成率（%）</w:t>
            </w:r>
          </w:p>
        </w:tc>
        <w:tc>
          <w:tcPr>
            <w:tcW w:w="1128" w:type="dxa"/>
            <w:shd w:val="clear" w:color="auto" w:fill="auto"/>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计划投资完成额（万元）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center"/>
              <w:rPr>
                <w:rFonts w:hint="eastAsia" w:ascii="仿宋_GB2312" w:hAnsi="黑体" w:eastAsia="仿宋_GB2312" w:cs="宋体"/>
                <w:b/>
                <w:bCs/>
                <w:kern w:val="0"/>
                <w:sz w:val="24"/>
              </w:rPr>
            </w:pPr>
            <w:r>
              <w:rPr>
                <w:rFonts w:hint="eastAsia" w:ascii="仿宋_GB2312" w:hAnsi="黑体" w:eastAsia="仿宋_GB2312" w:cs="宋体"/>
                <w:b/>
                <w:bCs/>
                <w:kern w:val="0"/>
                <w:sz w:val="24"/>
              </w:rPr>
              <w:t>合计</w:t>
            </w:r>
          </w:p>
        </w:tc>
        <w:tc>
          <w:tcPr>
            <w:tcW w:w="681"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44</w:t>
            </w:r>
          </w:p>
        </w:tc>
        <w:tc>
          <w:tcPr>
            <w:tcW w:w="1000"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043"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79960</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18185</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29956</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31819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767" w:type="dxa"/>
            <w:gridSpan w:val="2"/>
            <w:shd w:val="clear" w:color="auto" w:fill="auto"/>
            <w:noWrap w:val="0"/>
            <w:vAlign w:val="center"/>
          </w:tcPr>
          <w:p>
            <w:pPr>
              <w:widowControl/>
              <w:jc w:val="left"/>
              <w:rPr>
                <w:rFonts w:hint="eastAsia" w:ascii="仿宋_GB2312" w:hAnsi="黑体" w:eastAsia="仿宋_GB2312" w:cs="宋体"/>
                <w:b/>
                <w:bCs/>
                <w:spacing w:val="-12"/>
                <w:kern w:val="0"/>
                <w:sz w:val="24"/>
              </w:rPr>
            </w:pPr>
            <w:r>
              <w:rPr>
                <w:rFonts w:hint="eastAsia" w:ascii="仿宋_GB2312" w:hAnsi="黑体" w:eastAsia="仿宋_GB2312" w:cs="宋体"/>
                <w:b/>
                <w:bCs/>
                <w:spacing w:val="-12"/>
                <w:kern w:val="0"/>
                <w:sz w:val="24"/>
              </w:rPr>
              <w:t>一、生活垃圾无害化处理设施新（扩）建项目（吨/日）</w:t>
            </w:r>
          </w:p>
        </w:tc>
        <w:tc>
          <w:tcPr>
            <w:tcW w:w="681"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5</w:t>
            </w:r>
          </w:p>
        </w:tc>
        <w:tc>
          <w:tcPr>
            <w:tcW w:w="1000"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2710</w:t>
            </w:r>
          </w:p>
        </w:tc>
        <w:tc>
          <w:tcPr>
            <w:tcW w:w="1043"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38500</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12100</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18375</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8025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市城市生活垃圾环保发电项目(二期)</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600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24000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2021.10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42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58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14000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市生活垃圾应急填埋场项目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5475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2021.11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2100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62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3375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乐山市建筑垃圾处理资源化利用中心</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2000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5000</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2022.08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1000</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80</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沐川县生活垃圾填埋场扩容项目</w:t>
            </w:r>
          </w:p>
        </w:tc>
        <w:tc>
          <w:tcPr>
            <w:tcW w:w="681"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峨边彝族自治县杨河、平等、勒乌3座小型生活垃圾焚烧设施</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2025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767" w:type="dxa"/>
            <w:gridSpan w:val="2"/>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黑体" w:eastAsia="仿宋_GB2312" w:cs="宋体"/>
                <w:b/>
                <w:bCs/>
                <w:kern w:val="0"/>
                <w:sz w:val="24"/>
              </w:rPr>
              <w:t>二、生活垃圾无害化处理设施改建项目（吨/日）</w:t>
            </w:r>
          </w:p>
        </w:tc>
        <w:tc>
          <w:tcPr>
            <w:tcW w:w="681"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2</w:t>
            </w:r>
          </w:p>
        </w:tc>
        <w:tc>
          <w:tcPr>
            <w:tcW w:w="1000"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220</w:t>
            </w:r>
          </w:p>
        </w:tc>
        <w:tc>
          <w:tcPr>
            <w:tcW w:w="1043"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650</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650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b/>
                <w:kern w:val="0"/>
                <w:sz w:val="24"/>
              </w:rPr>
            </w:pPr>
            <w:r>
              <w:rPr>
                <w:rFonts w:hint="eastAsia" w:ascii="仿宋_GB2312" w:hAnsi="宋体" w:eastAsia="仿宋_GB2312" w:cs="宋体"/>
                <w:b/>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犍为县绿环垃圾处理场大坝加固建设项目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220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2021.04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犍为县绿环垃圾处理场渗滤液应急处理项目（立方米）</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450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2021.04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450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767" w:type="dxa"/>
            <w:gridSpan w:val="2"/>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黑体" w:eastAsia="仿宋_GB2312" w:cs="宋体"/>
                <w:b/>
                <w:bCs/>
                <w:kern w:val="0"/>
                <w:sz w:val="24"/>
              </w:rPr>
              <w:t>三、生活垃圾分类收转运设施建设项目（吨/日）</w:t>
            </w:r>
          </w:p>
        </w:tc>
        <w:tc>
          <w:tcPr>
            <w:tcW w:w="681"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25</w:t>
            </w:r>
          </w:p>
        </w:tc>
        <w:tc>
          <w:tcPr>
            <w:tcW w:w="1000"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2035 </w:t>
            </w:r>
          </w:p>
        </w:tc>
        <w:tc>
          <w:tcPr>
            <w:tcW w:w="1043"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26290 </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3847 </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7909 </w:t>
            </w:r>
          </w:p>
        </w:tc>
        <w:tc>
          <w:tcPr>
            <w:tcW w:w="936"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14534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乐山市棉竹片区环卫基础设施项目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3100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2021.08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32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68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2100 </w:t>
            </w:r>
          </w:p>
        </w:tc>
        <w:tc>
          <w:tcPr>
            <w:tcW w:w="936" w:type="dxa"/>
            <w:shd w:val="clear" w:color="auto" w:fill="auto"/>
            <w:noWrap w:val="0"/>
            <w:vAlign w:val="center"/>
          </w:tcPr>
          <w:p>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市中区悦来镇等2个乡镇垃圾中转站建设项目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300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2021.06</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2023.12</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240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沙湾区生活垃圾运至乐山焚烧发电厂进行集中处理运输设备采购项目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2021.12</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沙湾区城南垃圾中转站新增除臭设备项目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沙湾区葫芦镇等9个乡镇收转运设施建设项目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64</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2090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2023.12</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836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五通桥区金粟镇等3个</w:t>
            </w:r>
            <w:r>
              <w:rPr>
                <w:rFonts w:hint="eastAsia" w:ascii="仿宋_GB2312" w:hAnsi="宋体" w:eastAsia="仿宋_GB2312" w:cs="宋体"/>
                <w:spacing w:val="-12"/>
                <w:kern w:val="0"/>
                <w:sz w:val="24"/>
              </w:rPr>
              <w:t>乡镇垃圾中转站建设项目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400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2023.12</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金口河城区垃圾收转运</w:t>
            </w:r>
            <w:r>
              <w:rPr>
                <w:rFonts w:hint="eastAsia" w:ascii="仿宋_GB2312" w:hAnsi="宋体" w:eastAsia="仿宋_GB2312" w:cs="宋体"/>
                <w:spacing w:val="-12"/>
                <w:kern w:val="0"/>
                <w:sz w:val="24"/>
              </w:rPr>
              <w:t>设施和垃圾分类建设项目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813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144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82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金口河金河镇等5个乡镇收转运设施建设项目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316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井研县大件垃圾、建筑垃圾处置中心</w:t>
            </w:r>
          </w:p>
        </w:tc>
        <w:tc>
          <w:tcPr>
            <w:tcW w:w="681"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44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220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56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犍为县玉津镇等2个乡镇生活垃圾收转运设施建设项目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300</w:t>
            </w:r>
          </w:p>
        </w:tc>
        <w:tc>
          <w:tcPr>
            <w:tcW w:w="1043"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4950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spacing w:val="-12"/>
                <w:kern w:val="0"/>
                <w:sz w:val="24"/>
              </w:rPr>
            </w:pPr>
            <w:r>
              <w:rPr>
                <w:rFonts w:hint="eastAsia" w:ascii="仿宋_GB2312" w:hAnsi="宋体" w:eastAsia="仿宋_GB2312" w:cs="宋体"/>
                <w:spacing w:val="-12"/>
                <w:kern w:val="0"/>
                <w:sz w:val="24"/>
              </w:rPr>
              <w:t>夹江县分拣垃圾处置中心</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25</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75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spacing w:val="-12"/>
                <w:kern w:val="0"/>
                <w:sz w:val="24"/>
              </w:rPr>
            </w:pPr>
            <w:r>
              <w:rPr>
                <w:rFonts w:hint="eastAsia" w:ascii="仿宋_GB2312" w:hAnsi="宋体" w:eastAsia="仿宋_GB2312" w:cs="宋体"/>
                <w:spacing w:val="-12"/>
                <w:kern w:val="0"/>
                <w:sz w:val="24"/>
              </w:rPr>
              <w:t>沐川县大件垃圾处置中心</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1600</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2022.06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62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沐川县13个乡镇生活垃圾分类项目建设</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2020.12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33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33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34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沐川县13个乡镇垃圾收转运设施设备建设项目（吨/日）</w:t>
            </w:r>
          </w:p>
        </w:tc>
        <w:tc>
          <w:tcPr>
            <w:tcW w:w="681"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2800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29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36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35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马边彝族自治县民建镇等15个乡镇生活垃圾分类收转运设施建设项目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268</w:t>
            </w:r>
          </w:p>
        </w:tc>
        <w:tc>
          <w:tcPr>
            <w:tcW w:w="1043"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1500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571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449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32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spacing w:val="-12"/>
                <w:kern w:val="0"/>
                <w:sz w:val="24"/>
              </w:rPr>
              <w:t>峨边大件垃圾处置中心</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w:t>
            </w:r>
          </w:p>
        </w:tc>
        <w:tc>
          <w:tcPr>
            <w:tcW w:w="1043"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610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2023.01</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2023.12</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峨边城区生活垃圾分类试点</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2023.01</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2023.12</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峨边垃圾分类可回收分拣中心</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710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2023.01</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2023.12</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峨眉山市大件垃圾处置处置中心</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750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2021.06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150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600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峨眉山市生活垃圾分类收运设施采购项目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123</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2021.07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2022.06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37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86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峨眉山市蔡沱垃圾中转站设备更新项目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80</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2022.06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25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75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峨眉山市双福镇等2个</w:t>
            </w:r>
            <w:r>
              <w:rPr>
                <w:rFonts w:hint="eastAsia" w:ascii="仿宋_GB2312" w:hAnsi="宋体" w:eastAsia="仿宋_GB2312" w:cs="宋体"/>
                <w:spacing w:val="-12"/>
                <w:kern w:val="0"/>
                <w:sz w:val="24"/>
              </w:rPr>
              <w:t>垃圾中转站设备更新项目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80</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2022.06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25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75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60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峨眉山市龙池镇等3个收转运一体化移动垃圾中转站项目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180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496</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2021.07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15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74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85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422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峨眉山市城市垃圾清运能力提升项目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165</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2021.06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17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148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峨眉山市农村垃圾治理提升项目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117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建制镇</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2023.07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767" w:type="dxa"/>
            <w:gridSpan w:val="2"/>
            <w:shd w:val="clear" w:color="auto" w:fill="auto"/>
            <w:noWrap w:val="0"/>
            <w:vAlign w:val="center"/>
          </w:tcPr>
          <w:p>
            <w:pPr>
              <w:widowControl/>
              <w:rPr>
                <w:rFonts w:hint="eastAsia" w:ascii="仿宋_GB2312" w:hAnsi="黑体" w:eastAsia="仿宋_GB2312" w:cs="宋体"/>
                <w:b/>
                <w:bCs/>
                <w:kern w:val="0"/>
                <w:sz w:val="24"/>
              </w:rPr>
            </w:pPr>
            <w:r>
              <w:rPr>
                <w:rFonts w:hint="eastAsia" w:ascii="仿宋_GB2312" w:hAnsi="黑体" w:eastAsia="仿宋_GB2312" w:cs="宋体"/>
                <w:b/>
                <w:bCs/>
                <w:kern w:val="0"/>
                <w:sz w:val="24"/>
              </w:rPr>
              <w:t>四、餐厨垃圾处理及资源化利用设施建设项目</w:t>
            </w:r>
          </w:p>
          <w:p>
            <w:pPr>
              <w:widowControl/>
              <w:rPr>
                <w:rFonts w:hint="eastAsia" w:ascii="仿宋_GB2312" w:hAnsi="宋体" w:eastAsia="仿宋_GB2312" w:cs="宋体"/>
                <w:b/>
                <w:bCs/>
                <w:kern w:val="0"/>
                <w:sz w:val="24"/>
              </w:rPr>
            </w:pPr>
            <w:r>
              <w:rPr>
                <w:rFonts w:hint="eastAsia" w:ascii="仿宋_GB2312" w:hAnsi="黑体" w:eastAsia="仿宋_GB2312" w:cs="宋体"/>
                <w:b/>
                <w:bCs/>
                <w:kern w:val="0"/>
                <w:sz w:val="24"/>
              </w:rPr>
              <w:t>（吨/日）</w:t>
            </w:r>
          </w:p>
        </w:tc>
        <w:tc>
          <w:tcPr>
            <w:tcW w:w="681"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5</w:t>
            </w:r>
          </w:p>
        </w:tc>
        <w:tc>
          <w:tcPr>
            <w:tcW w:w="1000"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230</w:t>
            </w:r>
          </w:p>
        </w:tc>
        <w:tc>
          <w:tcPr>
            <w:tcW w:w="1043"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7110 </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bookmarkStart w:id="0" w:name="_GoBack"/>
            <w:bookmarkEnd w:id="0"/>
            <w:r>
              <w:rPr>
                <w:rFonts w:hint="eastAsia" w:ascii="仿宋_GB2312" w:hAnsi="宋体" w:eastAsia="仿宋_GB2312" w:cs="宋体"/>
                <w:b/>
                <w:bCs/>
                <w:kern w:val="0"/>
                <w:sz w:val="24"/>
              </w:rPr>
              <w:t>　</w:t>
            </w:r>
          </w:p>
        </w:tc>
        <w:tc>
          <w:tcPr>
            <w:tcW w:w="1192"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600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3100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3410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乐山市餐厨垃圾资源化利用和无害处理设施建设项目（二期）</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2022.06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1800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犍为餐厨垃圾处理项目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800</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2021.04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38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300</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62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c>
          <w:tcPr>
            <w:tcW w:w="936" w:type="dxa"/>
            <w:shd w:val="clear" w:color="auto" w:fill="auto"/>
            <w:noWrap w:val="0"/>
            <w:vAlign w:val="center"/>
          </w:tcPr>
          <w:p>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沐川县城餐厨垃圾处理项目</w:t>
            </w:r>
          </w:p>
        </w:tc>
        <w:tc>
          <w:tcPr>
            <w:tcW w:w="681"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800</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2022.06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25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200</w:t>
            </w:r>
          </w:p>
        </w:tc>
        <w:tc>
          <w:tcPr>
            <w:tcW w:w="936"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75</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峨边彝族自治县餐厨垃圾处理项目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1010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峨眉山市餐厨垃圾处理项目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50</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1500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2021.06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40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rPr>
                <w:rFonts w:hint="eastAsia" w:ascii="仿宋_GB2312" w:hAnsi="宋体" w:eastAsia="仿宋_GB2312" w:cs="宋体"/>
                <w:b/>
                <w:bCs/>
                <w:spacing w:val="-18"/>
                <w:kern w:val="0"/>
                <w:sz w:val="24"/>
              </w:rPr>
            </w:pPr>
            <w:r>
              <w:rPr>
                <w:rFonts w:hint="eastAsia" w:ascii="仿宋_GB2312" w:hAnsi="黑体" w:eastAsia="仿宋_GB2312" w:cs="宋体"/>
                <w:b/>
                <w:bCs/>
                <w:kern w:val="0"/>
                <w:sz w:val="24"/>
              </w:rPr>
              <w:t>五、运行监管信息化平台（个）</w:t>
            </w:r>
          </w:p>
        </w:tc>
        <w:tc>
          <w:tcPr>
            <w:tcW w:w="681"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4</w:t>
            </w:r>
          </w:p>
        </w:tc>
        <w:tc>
          <w:tcPr>
            <w:tcW w:w="1000"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043"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930</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8</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72</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767" w:type="dxa"/>
            <w:gridSpan w:val="2"/>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市垃圾处理设施运行监管信息化平台（运营费）</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2023.06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沐川县信息化监管平台</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峨边信息化管理平台</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2023.01</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2023.12</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峨眉山市环卫智能化管理项目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2021.09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8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72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767" w:type="dxa"/>
            <w:gridSpan w:val="2"/>
            <w:shd w:val="clear" w:color="auto" w:fill="auto"/>
            <w:noWrap w:val="0"/>
            <w:vAlign w:val="center"/>
          </w:tcPr>
          <w:p>
            <w:pPr>
              <w:widowControl/>
              <w:rPr>
                <w:rFonts w:hint="eastAsia" w:ascii="仿宋_GB2312" w:hAnsi="宋体" w:eastAsia="仿宋_GB2312" w:cs="宋体"/>
                <w:b/>
                <w:bCs/>
                <w:kern w:val="0"/>
                <w:sz w:val="24"/>
              </w:rPr>
            </w:pPr>
            <w:r>
              <w:rPr>
                <w:rFonts w:hint="eastAsia" w:ascii="仿宋_GB2312" w:hAnsi="黑体" w:eastAsia="仿宋_GB2312" w:cs="宋体"/>
                <w:b/>
                <w:bCs/>
                <w:kern w:val="0"/>
                <w:sz w:val="24"/>
              </w:rPr>
              <w:t>六、存量垃圾治理项目（个）</w:t>
            </w:r>
          </w:p>
        </w:tc>
        <w:tc>
          <w:tcPr>
            <w:tcW w:w="681"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3</w:t>
            </w:r>
          </w:p>
        </w:tc>
        <w:tc>
          <w:tcPr>
            <w:tcW w:w="1000"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6480</w:t>
            </w:r>
          </w:p>
        </w:tc>
        <w:tc>
          <w:tcPr>
            <w:tcW w:w="1128" w:type="dxa"/>
            <w:shd w:val="clear" w:color="auto" w:fill="auto"/>
            <w:noWrap w:val="0"/>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92"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980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500 </w:t>
            </w:r>
          </w:p>
        </w:tc>
        <w:tc>
          <w:tcPr>
            <w:tcW w:w="936"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w:t>
            </w:r>
          </w:p>
        </w:tc>
        <w:tc>
          <w:tcPr>
            <w:tcW w:w="1128" w:type="dxa"/>
            <w:shd w:val="clear" w:color="auto" w:fill="auto"/>
            <w:noWrap/>
            <w:vAlign w:val="center"/>
          </w:tcPr>
          <w:p>
            <w:pPr>
              <w:widowControl/>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 xml:space="preserve">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乐山市生活垃圾卫生填埋场封场治理项目</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5000</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市本级</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2023.12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峨边彝族自治县城生活垃圾填埋场封场</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2022.01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2022.12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500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767" w:type="dxa"/>
            <w:gridSpan w:val="2"/>
            <w:shd w:val="clear" w:color="auto" w:fill="auto"/>
            <w:noWrap w:val="0"/>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马边彝族自治县生活垃圾卫生填埋场封场工程</w:t>
            </w:r>
          </w:p>
        </w:tc>
        <w:tc>
          <w:tcPr>
            <w:tcW w:w="681"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1</w:t>
            </w:r>
          </w:p>
        </w:tc>
        <w:tc>
          <w:tcPr>
            <w:tcW w:w="1000"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043"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980</w:t>
            </w:r>
          </w:p>
        </w:tc>
        <w:tc>
          <w:tcPr>
            <w:tcW w:w="1128"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县（市）</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2021.03 </w:t>
            </w:r>
          </w:p>
        </w:tc>
        <w:tc>
          <w:tcPr>
            <w:tcW w:w="1192" w:type="dxa"/>
            <w:shd w:val="clear" w:color="auto" w:fill="auto"/>
            <w:noWrap w:val="0"/>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2021.10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100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980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936"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128" w:type="dxa"/>
            <w:shd w:val="clear" w:color="auto" w:fill="auto"/>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2021-06-22T09:45:44Z</dcterms:created>
  <dc:creator>Administrator</dc:creator>
  <cp:lastModifiedBy>Administrator</cp:lastModifiedBy>
  <dcterms:modified xsi:type="dcterms:W3CDTF">2021-06-22T09:47:43Z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EC12FB04A61D4225B6367BADB7CB4BD1</vt:lpwstr>
  </property>
</Properties>
</file>