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方正小标宋简体" w:hAnsi="华文中宋" w:eastAsia="方正小标宋简体"/>
          <w:spacing w:val="34"/>
          <w:sz w:val="44"/>
          <w:szCs w:val="44"/>
        </w:rPr>
      </w:pPr>
    </w:p>
    <w:p>
      <w:pPr>
        <w:pStyle w:val="2"/>
        <w:rPr>
          <w:rFonts w:hint="eastAsia"/>
        </w:rPr>
      </w:pPr>
    </w:p>
    <w:p>
      <w:pPr>
        <w:pStyle w:val="2"/>
        <w:rPr>
          <w:rFonts w:hint="eastAsia"/>
        </w:rPr>
      </w:pPr>
    </w:p>
    <w:p>
      <w:pPr>
        <w:pStyle w:val="2"/>
        <w:rPr>
          <w:rFonts w:hint="eastAsia"/>
        </w:rPr>
      </w:pPr>
    </w:p>
    <w:p>
      <w:pPr>
        <w:jc w:val="center"/>
        <w:rPr>
          <w:rFonts w:hint="eastAsia" w:ascii="仿宋_GB2312" w:eastAsia="仿宋_GB2312"/>
          <w:sz w:val="32"/>
          <w:szCs w:val="32"/>
        </w:rPr>
      </w:pPr>
      <w:bookmarkStart w:id="0" w:name="_GoBack"/>
      <w:bookmarkEnd w:id="0"/>
      <w:r>
        <w:rPr>
          <w:rFonts w:hint="eastAsia" w:ascii="仿宋_GB2312" w:eastAsia="仿宋_GB2312"/>
          <w:sz w:val="32"/>
          <w:szCs w:val="32"/>
        </w:rPr>
        <w:t>乐市民政发〔2020〕</w:t>
      </w:r>
      <w:r>
        <w:rPr>
          <w:rFonts w:hint="eastAsia" w:ascii="仿宋_GB2312" w:eastAsia="仿宋_GB2312"/>
          <w:sz w:val="32"/>
          <w:szCs w:val="32"/>
          <w:lang w:val="en-US" w:eastAsia="zh-CN"/>
        </w:rPr>
        <w:t>50</w:t>
      </w:r>
      <w:r>
        <w:rPr>
          <w:rFonts w:hint="eastAsia" w:ascii="仿宋_GB2312" w:eastAsia="仿宋_GB2312"/>
          <w:sz w:val="32"/>
          <w:szCs w:val="32"/>
        </w:rPr>
        <w:t>号</w:t>
      </w:r>
    </w:p>
    <w:p>
      <w:pPr>
        <w:spacing w:line="520" w:lineRule="exact"/>
        <w:rPr>
          <w:rFonts w:hint="eastAsia" w:ascii="楷体_GB2312" w:eastAsia="楷体_GB2312"/>
          <w:sz w:val="32"/>
          <w:szCs w:val="32"/>
        </w:rPr>
      </w:pPr>
    </w:p>
    <w:p>
      <w:pPr>
        <w:spacing w:line="600" w:lineRule="exact"/>
        <w:jc w:val="both"/>
        <w:rPr>
          <w:rFonts w:ascii="方正小标宋简体" w:hAnsi="华文中宋" w:eastAsia="方正小标宋简体"/>
          <w:spacing w:val="34"/>
          <w:sz w:val="44"/>
          <w:szCs w:val="44"/>
        </w:rPr>
      </w:pPr>
    </w:p>
    <w:p>
      <w:pPr>
        <w:spacing w:line="600" w:lineRule="exact"/>
        <w:jc w:val="center"/>
        <w:rPr>
          <w:rFonts w:hint="eastAsia" w:ascii="方正小标宋简体" w:hAnsi="华文中宋" w:eastAsia="方正小标宋简体"/>
          <w:spacing w:val="0"/>
          <w:sz w:val="44"/>
          <w:szCs w:val="44"/>
          <w:lang w:val="en-US" w:eastAsia="zh-CN"/>
        </w:rPr>
      </w:pPr>
      <w:r>
        <w:rPr>
          <w:rFonts w:hint="eastAsia" w:ascii="方正小标宋简体" w:hAnsi="华文中宋" w:eastAsia="方正小标宋简体"/>
          <w:spacing w:val="0"/>
          <w:sz w:val="44"/>
          <w:szCs w:val="44"/>
        </w:rPr>
        <w:t>乐山市民政局</w:t>
      </w:r>
      <w:r>
        <w:rPr>
          <w:rFonts w:hint="eastAsia" w:ascii="方正小标宋简体" w:hAnsi="华文中宋" w:eastAsia="方正小标宋简体"/>
          <w:spacing w:val="0"/>
          <w:sz w:val="44"/>
          <w:szCs w:val="44"/>
          <w:lang w:eastAsia="zh-CN"/>
        </w:rPr>
        <w:t>等</w:t>
      </w:r>
      <w:r>
        <w:rPr>
          <w:rFonts w:hint="eastAsia" w:ascii="方正小标宋简体" w:hAnsi="华文中宋" w:eastAsia="方正小标宋简体"/>
          <w:spacing w:val="0"/>
          <w:sz w:val="44"/>
          <w:szCs w:val="44"/>
          <w:lang w:val="en-US" w:eastAsia="zh-CN"/>
        </w:rPr>
        <w:t>5个部门</w:t>
      </w:r>
    </w:p>
    <w:p>
      <w:pPr>
        <w:spacing w:line="600" w:lineRule="exact"/>
        <w:jc w:val="center"/>
        <w:rPr>
          <w:rFonts w:ascii="方正小标宋简体" w:hAnsi="宋体" w:eastAsia="方正小标宋简体" w:cs="方正小标宋简体"/>
          <w:bCs/>
          <w:sz w:val="44"/>
          <w:szCs w:val="44"/>
        </w:rPr>
      </w:pPr>
      <w:r>
        <w:rPr>
          <w:rFonts w:hint="eastAsia" w:ascii="方正小标宋简体" w:hAnsi="宋体" w:eastAsia="方正小标宋简体" w:cs="方正小标宋简体"/>
          <w:bCs/>
          <w:spacing w:val="0"/>
          <w:sz w:val="44"/>
          <w:szCs w:val="44"/>
        </w:rPr>
        <w:t>关于印发</w:t>
      </w:r>
      <w:r>
        <w:rPr>
          <w:rFonts w:hint="eastAsia" w:ascii="方正小标宋简体" w:hAnsi="华文中宋" w:eastAsia="方正小标宋简体"/>
          <w:spacing w:val="0"/>
          <w:sz w:val="44"/>
          <w:szCs w:val="44"/>
        </w:rPr>
        <w:t>《乐山市全面推进政府购买社会救助服务的实施意见》的通知</w:t>
      </w:r>
    </w:p>
    <w:p>
      <w:pPr>
        <w:spacing w:line="600" w:lineRule="exact"/>
        <w:jc w:val="center"/>
        <w:rPr>
          <w:rFonts w:ascii="仿宋_GB2312" w:eastAsia="仿宋_GB2312"/>
          <w:b/>
          <w:sz w:val="36"/>
          <w:szCs w:val="36"/>
        </w:rPr>
      </w:pPr>
    </w:p>
    <w:p>
      <w:pPr>
        <w:snapToGrid w:val="0"/>
        <w:spacing w:line="600" w:lineRule="exact"/>
        <w:rPr>
          <w:rFonts w:ascii="仿宋_GB2312" w:eastAsia="仿宋_GB2312"/>
          <w:sz w:val="32"/>
          <w:szCs w:val="32"/>
        </w:rPr>
      </w:pPr>
      <w:r>
        <w:rPr>
          <w:rFonts w:hint="eastAsia" w:ascii="仿宋_GB2312" w:hAnsi="华文仿宋" w:eastAsia="仿宋_GB2312" w:cs="仿宋_GB2312"/>
          <w:kern w:val="0"/>
          <w:sz w:val="32"/>
          <w:szCs w:val="32"/>
        </w:rPr>
        <w:t>各区、市、县、自治县民政局、编办、财政局、人力资源保障局、医保局，乐山高新区社会管理局</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经市政府同意</w:t>
      </w:r>
      <w:r>
        <w:rPr>
          <w:rFonts w:ascii="仿宋_GB2312" w:eastAsia="仿宋_GB2312"/>
          <w:sz w:val="32"/>
          <w:szCs w:val="32"/>
        </w:rPr>
        <w:t>,</w:t>
      </w:r>
      <w:r>
        <w:rPr>
          <w:rFonts w:hint="eastAsia" w:ascii="仿宋_GB2312" w:eastAsia="仿宋_GB2312"/>
          <w:sz w:val="32"/>
          <w:szCs w:val="32"/>
        </w:rPr>
        <w:t>现将</w:t>
      </w:r>
      <w:r>
        <w:rPr>
          <w:rFonts w:hint="eastAsia" w:ascii="仿宋_GB2312" w:hAnsi="华文中宋" w:eastAsia="仿宋_GB2312"/>
          <w:sz w:val="32"/>
          <w:szCs w:val="32"/>
        </w:rPr>
        <w:t>《乐山市全面推进政府购买社会救助服务的实施意见》印发你们，请遵照执行</w:t>
      </w:r>
      <w:r>
        <w:rPr>
          <w:rFonts w:hint="eastAsia" w:ascii="仿宋_GB2312" w:eastAsia="仿宋_GB2312"/>
          <w:sz w:val="32"/>
          <w:szCs w:val="32"/>
        </w:rPr>
        <w:t>。</w:t>
      </w:r>
    </w:p>
    <w:p>
      <w:pPr>
        <w:pStyle w:val="2"/>
      </w:pPr>
    </w:p>
    <w:p>
      <w:pPr>
        <w:spacing w:line="600" w:lineRule="exact"/>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lang w:val="en-US" w:eastAsia="zh-CN"/>
        </w:rPr>
        <w:t xml:space="preserve">  </w:t>
      </w:r>
      <w:r>
        <w:rPr>
          <w:rFonts w:ascii="仿宋_GB2312" w:eastAsia="仿宋_GB2312"/>
          <w:sz w:val="32"/>
          <w:szCs w:val="32"/>
        </w:rPr>
        <w:t xml:space="preserve">  </w:t>
      </w:r>
      <w:r>
        <w:rPr>
          <w:rFonts w:hint="eastAsia" w:ascii="仿宋_GB2312" w:eastAsia="仿宋_GB2312"/>
          <w:sz w:val="32"/>
          <w:szCs w:val="32"/>
        </w:rPr>
        <w:t>附件：</w:t>
      </w:r>
      <w:r>
        <w:rPr>
          <w:rFonts w:hint="eastAsia" w:ascii="仿宋_GB2312" w:hAnsi="华文中宋" w:eastAsia="仿宋_GB2312"/>
          <w:sz w:val="32"/>
          <w:szCs w:val="32"/>
        </w:rPr>
        <w:t>乐山市全面推进政府购买社会救助服务的实施意见</w:t>
      </w:r>
    </w:p>
    <w:p>
      <w:pPr>
        <w:spacing w:line="500" w:lineRule="exact"/>
        <w:ind w:left="640" w:hanging="640" w:hangingChars="200"/>
        <w:rPr>
          <w:rFonts w:ascii="仿宋_GB2312" w:eastAsia="仿宋_GB2312"/>
          <w:sz w:val="32"/>
          <w:szCs w:val="32"/>
        </w:rPr>
      </w:pPr>
    </w:p>
    <w:p>
      <w:pPr>
        <w:spacing w:line="500" w:lineRule="exact"/>
        <w:rPr>
          <w:rFonts w:hint="eastAsia" w:ascii="仿宋_GB2312" w:eastAsia="仿宋_GB2312"/>
          <w:sz w:val="32"/>
          <w:szCs w:val="32"/>
        </w:rPr>
      </w:pPr>
    </w:p>
    <w:p>
      <w:pPr>
        <w:spacing w:line="500" w:lineRule="exact"/>
        <w:ind w:left="638" w:leftChars="304" w:firstLine="320" w:firstLineChars="100"/>
        <w:rPr>
          <w:rFonts w:hint="eastAsia" w:ascii="仿宋_GB2312" w:eastAsia="仿宋_GB2312"/>
          <w:sz w:val="32"/>
          <w:szCs w:val="32"/>
        </w:rPr>
      </w:pPr>
    </w:p>
    <w:p>
      <w:pPr>
        <w:spacing w:line="500" w:lineRule="exact"/>
        <w:ind w:left="638" w:leftChars="304" w:firstLine="320" w:firstLineChars="100"/>
        <w:rPr>
          <w:rFonts w:hint="eastAsia" w:ascii="仿宋_GB2312" w:eastAsia="仿宋_GB2312"/>
          <w:sz w:val="32"/>
          <w:szCs w:val="32"/>
        </w:rPr>
      </w:pPr>
    </w:p>
    <w:p>
      <w:pPr>
        <w:spacing w:line="500" w:lineRule="exact"/>
        <w:ind w:firstLine="960" w:firstLineChars="300"/>
        <w:rPr>
          <w:rFonts w:ascii="仿宋_GB2312" w:eastAsia="仿宋_GB2312"/>
          <w:sz w:val="32"/>
          <w:szCs w:val="32"/>
        </w:rPr>
      </w:pPr>
      <w:r>
        <w:rPr>
          <w:rFonts w:hint="eastAsia" w:ascii="仿宋_GB2312" w:eastAsia="仿宋_GB2312"/>
          <w:sz w:val="32"/>
          <w:szCs w:val="32"/>
        </w:rPr>
        <w:t>乐山市民政局</w:t>
      </w:r>
      <w:r>
        <w:rPr>
          <w:rFonts w:ascii="仿宋_GB2312" w:eastAsia="仿宋_GB2312"/>
          <w:sz w:val="32"/>
          <w:szCs w:val="32"/>
        </w:rPr>
        <w:t xml:space="preserve">      </w:t>
      </w:r>
      <w:r>
        <w:rPr>
          <w:rFonts w:hint="eastAsia" w:ascii="仿宋_GB2312" w:eastAsia="仿宋_GB2312"/>
          <w:sz w:val="32"/>
          <w:szCs w:val="32"/>
        </w:rPr>
        <w:t>中共乐山市委编制委员会办公室</w:t>
      </w:r>
      <w:r>
        <w:rPr>
          <w:rFonts w:ascii="仿宋_GB2312" w:eastAsia="仿宋_GB2312"/>
          <w:sz w:val="32"/>
          <w:szCs w:val="32"/>
        </w:rPr>
        <w:t xml:space="preserve">    </w:t>
      </w:r>
    </w:p>
    <w:p>
      <w:pPr>
        <w:spacing w:line="500" w:lineRule="exact"/>
        <w:ind w:left="640" w:hanging="640" w:hangingChars="200"/>
        <w:rPr>
          <w:rFonts w:ascii="仿宋_GB2312" w:eastAsia="仿宋_GB2312"/>
          <w:sz w:val="32"/>
          <w:szCs w:val="32"/>
        </w:rPr>
      </w:pPr>
    </w:p>
    <w:p>
      <w:pPr>
        <w:spacing w:line="500" w:lineRule="exact"/>
        <w:ind w:left="640" w:hanging="640" w:hangingChars="200"/>
        <w:rPr>
          <w:rFonts w:ascii="仿宋_GB2312" w:eastAsia="仿宋_GB2312"/>
          <w:sz w:val="32"/>
          <w:szCs w:val="32"/>
        </w:rPr>
      </w:pPr>
    </w:p>
    <w:p>
      <w:pPr>
        <w:pStyle w:val="2"/>
      </w:pPr>
    </w:p>
    <w:p>
      <w:pPr>
        <w:spacing w:line="500" w:lineRule="exact"/>
        <w:ind w:left="640" w:hanging="640" w:hangingChars="200"/>
        <w:rPr>
          <w:rFonts w:ascii="仿宋_GB2312" w:eastAsia="仿宋_GB2312"/>
          <w:sz w:val="32"/>
          <w:szCs w:val="32"/>
        </w:rPr>
      </w:pPr>
    </w:p>
    <w:p>
      <w:pPr>
        <w:spacing w:line="500" w:lineRule="exact"/>
        <w:ind w:left="639" w:leftChars="76" w:hanging="480" w:hangingChars="150"/>
        <w:rPr>
          <w:rFonts w:ascii="仿宋_GB2312" w:eastAsia="仿宋_GB2312"/>
          <w:sz w:val="32"/>
          <w:szCs w:val="32"/>
        </w:rPr>
      </w:pPr>
    </w:p>
    <w:p>
      <w:pPr>
        <w:spacing w:line="500" w:lineRule="exact"/>
        <w:ind w:left="638" w:leftChars="304" w:firstLine="320" w:firstLineChars="100"/>
        <w:rPr>
          <w:rFonts w:ascii="仿宋_GB2312" w:eastAsia="仿宋_GB2312"/>
          <w:sz w:val="32"/>
          <w:szCs w:val="32"/>
        </w:rPr>
      </w:pPr>
      <w:r>
        <w:rPr>
          <w:rFonts w:hint="eastAsia" w:ascii="仿宋_GB2312" w:eastAsia="仿宋_GB2312"/>
          <w:sz w:val="32"/>
          <w:szCs w:val="32"/>
        </w:rPr>
        <w:t>乐山市财政局</w:t>
      </w:r>
      <w:r>
        <w:rPr>
          <w:rFonts w:ascii="仿宋_GB2312" w:eastAsia="仿宋_GB2312"/>
          <w:sz w:val="32"/>
          <w:szCs w:val="32"/>
        </w:rPr>
        <w:t xml:space="preserve">       </w:t>
      </w:r>
      <w:r>
        <w:rPr>
          <w:rFonts w:hint="eastAsia" w:ascii="仿宋_GB2312" w:eastAsia="仿宋_GB2312"/>
          <w:sz w:val="32"/>
          <w:szCs w:val="32"/>
        </w:rPr>
        <w:t>乐山市人力资源和社会保障局</w:t>
      </w:r>
    </w:p>
    <w:p>
      <w:pPr>
        <w:spacing w:line="500" w:lineRule="exact"/>
        <w:ind w:left="640" w:hanging="640" w:hangingChars="200"/>
        <w:rPr>
          <w:rFonts w:ascii="仿宋_GB2312" w:eastAsia="仿宋_GB2312"/>
          <w:sz w:val="32"/>
          <w:szCs w:val="32"/>
        </w:rPr>
      </w:pPr>
    </w:p>
    <w:p>
      <w:pPr>
        <w:pStyle w:val="2"/>
      </w:pPr>
    </w:p>
    <w:p>
      <w:pPr>
        <w:spacing w:line="500" w:lineRule="exact"/>
        <w:ind w:left="640" w:hanging="640" w:hangingChars="200"/>
        <w:rPr>
          <w:rFonts w:ascii="仿宋_GB2312" w:eastAsia="仿宋_GB2312"/>
          <w:sz w:val="32"/>
          <w:szCs w:val="32"/>
        </w:rPr>
      </w:pPr>
    </w:p>
    <w:p>
      <w:pPr>
        <w:spacing w:line="500" w:lineRule="exact"/>
        <w:rPr>
          <w:rFonts w:hint="eastAsia" w:ascii="仿宋_GB2312" w:eastAsia="仿宋_GB2312"/>
          <w:sz w:val="32"/>
          <w:szCs w:val="32"/>
        </w:rPr>
      </w:pPr>
    </w:p>
    <w:p>
      <w:pPr>
        <w:spacing w:line="500" w:lineRule="exact"/>
        <w:jc w:val="center"/>
        <w:rPr>
          <w:rFonts w:ascii="仿宋_GB2312" w:eastAsia="仿宋_GB2312"/>
          <w:sz w:val="32"/>
          <w:szCs w:val="32"/>
        </w:rPr>
      </w:pPr>
      <w:r>
        <w:rPr>
          <w:rFonts w:hint="eastAsia" w:ascii="仿宋_GB2312" w:eastAsia="仿宋_GB2312"/>
          <w:sz w:val="32"/>
          <w:szCs w:val="32"/>
        </w:rPr>
        <w:t>乐山市医疗保障局</w:t>
      </w:r>
    </w:p>
    <w:p>
      <w:pPr>
        <w:spacing w:line="500" w:lineRule="exact"/>
        <w:ind w:right="640"/>
        <w:jc w:val="center"/>
        <w:rPr>
          <w:lang w:val="zh-CN"/>
        </w:rPr>
      </w:pPr>
      <w:r>
        <w:rPr>
          <w:rFonts w:hint="eastAsia" w:ascii="仿宋_GB2312" w:eastAsia="仿宋_GB2312"/>
          <w:sz w:val="32"/>
          <w:szCs w:val="32"/>
          <w:lang w:val="en-US" w:eastAsia="zh-CN"/>
        </w:rPr>
        <w:t xml:space="preserve">     </w:t>
      </w:r>
      <w:r>
        <w:rPr>
          <w:rFonts w:ascii="仿宋_GB2312" w:eastAsia="仿宋_GB2312"/>
          <w:sz w:val="32"/>
          <w:szCs w:val="32"/>
          <w:lang w:val="zh-CN"/>
        </w:rPr>
        <w:t>2020</w:t>
      </w:r>
      <w:r>
        <w:rPr>
          <w:rFonts w:hint="eastAsia" w:ascii="仿宋_GB2312" w:eastAsia="仿宋_GB2312"/>
          <w:sz w:val="32"/>
          <w:szCs w:val="32"/>
          <w:lang w:val="zh-CN"/>
        </w:rPr>
        <w:t>年</w:t>
      </w:r>
      <w:r>
        <w:rPr>
          <w:rFonts w:hint="eastAsia" w:ascii="仿宋_GB2312" w:eastAsia="仿宋_GB2312"/>
          <w:sz w:val="32"/>
          <w:szCs w:val="32"/>
          <w:lang w:val="en-US" w:eastAsia="zh-CN"/>
        </w:rPr>
        <w:t>12</w:t>
      </w:r>
      <w:r>
        <w:rPr>
          <w:rFonts w:hint="eastAsia" w:ascii="仿宋_GB2312" w:eastAsia="仿宋_GB2312"/>
          <w:sz w:val="32"/>
          <w:szCs w:val="32"/>
          <w:lang w:val="zh-CN"/>
        </w:rPr>
        <w:t>月</w:t>
      </w:r>
      <w:r>
        <w:rPr>
          <w:rFonts w:hint="eastAsia" w:ascii="仿宋_GB2312" w:eastAsia="仿宋_GB2312"/>
          <w:sz w:val="32"/>
          <w:szCs w:val="32"/>
          <w:lang w:val="en-US" w:eastAsia="zh-CN"/>
        </w:rPr>
        <w:t>24</w:t>
      </w:r>
      <w:r>
        <w:rPr>
          <w:rFonts w:hint="eastAsia" w:ascii="仿宋_GB2312" w:eastAsia="仿宋_GB2312"/>
          <w:sz w:val="32"/>
          <w:szCs w:val="32"/>
          <w:lang w:val="zh-CN"/>
        </w:rPr>
        <w:t>日</w:t>
      </w:r>
    </w:p>
    <w:p>
      <w:pPr>
        <w:pStyle w:val="2"/>
        <w:ind w:left="0" w:leftChars="0" w:firstLine="0" w:firstLineChars="0"/>
        <w:rPr>
          <w:lang w:val="zh-CN"/>
        </w:rPr>
      </w:pPr>
    </w:p>
    <w:p>
      <w:pPr>
        <w:pStyle w:val="2"/>
        <w:rPr>
          <w:lang w:val="zh-CN"/>
        </w:rPr>
      </w:pPr>
    </w:p>
    <w:p>
      <w:pPr>
        <w:snapToGrid w:val="0"/>
        <w:spacing w:line="530" w:lineRule="exact"/>
        <w:rPr>
          <w:rFonts w:ascii="黑体" w:hAnsi="黑体" w:eastAsia="黑体"/>
          <w:sz w:val="32"/>
          <w:szCs w:val="32"/>
        </w:rPr>
      </w:pPr>
      <w:r>
        <w:rPr>
          <w:rFonts w:hint="eastAsia" w:ascii="黑体" w:hAnsi="黑体" w:eastAsia="黑体"/>
          <w:sz w:val="32"/>
          <w:szCs w:val="32"/>
        </w:rPr>
        <w:t>附件</w:t>
      </w:r>
    </w:p>
    <w:p>
      <w:pPr>
        <w:spacing w:line="560" w:lineRule="exact"/>
        <w:jc w:val="center"/>
        <w:rPr>
          <w:rFonts w:ascii="方正小标宋简体" w:eastAsia="方正小标宋简体"/>
          <w:b/>
          <w:sz w:val="44"/>
          <w:szCs w:val="44"/>
        </w:rPr>
      </w:pPr>
    </w:p>
    <w:p>
      <w:pPr>
        <w:spacing w:line="560" w:lineRule="exact"/>
        <w:jc w:val="center"/>
        <w:rPr>
          <w:rFonts w:ascii="方正小标宋简体" w:eastAsia="方正小标宋简体"/>
          <w:bCs/>
          <w:sz w:val="44"/>
          <w:szCs w:val="44"/>
        </w:rPr>
      </w:pPr>
      <w:r>
        <w:rPr>
          <w:rFonts w:hint="eastAsia" w:ascii="方正小标宋简体" w:eastAsia="方正小标宋简体"/>
          <w:bCs/>
          <w:sz w:val="44"/>
          <w:szCs w:val="44"/>
        </w:rPr>
        <w:t>乐山市推进政府购买社会救助</w:t>
      </w:r>
    </w:p>
    <w:p>
      <w:pPr>
        <w:spacing w:line="560" w:lineRule="exact"/>
        <w:jc w:val="center"/>
        <w:rPr>
          <w:rFonts w:ascii="方正小标宋简体" w:eastAsia="方正小标宋简体"/>
          <w:bCs/>
          <w:sz w:val="44"/>
          <w:szCs w:val="44"/>
        </w:rPr>
      </w:pPr>
      <w:r>
        <w:rPr>
          <w:rFonts w:hint="eastAsia" w:ascii="方正小标宋简体" w:eastAsia="方正小标宋简体"/>
          <w:bCs/>
          <w:sz w:val="44"/>
          <w:szCs w:val="44"/>
        </w:rPr>
        <w:t>服务的实施意见</w:t>
      </w:r>
    </w:p>
    <w:p>
      <w:pPr>
        <w:spacing w:line="560" w:lineRule="exact"/>
        <w:jc w:val="center"/>
        <w:rPr>
          <w:rFonts w:ascii="方正小标宋简体" w:hAnsi="宋体" w:eastAsia="方正小标宋简体" w:cs="方正小标宋简体"/>
          <w:bCs/>
          <w:sz w:val="44"/>
          <w:szCs w:val="44"/>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为切实增强社会救助经办服务能力，推动政府职能转变，有效提升政务服务效能,确保困难群众救助精准高效，根据省民政厅、省委编办、省财政厅、省人力资源社会保障厅《关于全面推进政府购买社会救助服务的实施意见》</w:t>
      </w:r>
      <w:r>
        <w:rPr>
          <w:rFonts w:ascii="仿宋_GB2312" w:eastAsia="仿宋_GB2312"/>
          <w:sz w:val="32"/>
          <w:szCs w:val="32"/>
        </w:rPr>
        <w:t>（川民发〔2018〕40号）</w:t>
      </w:r>
      <w:r>
        <w:rPr>
          <w:rFonts w:hint="eastAsia" w:ascii="仿宋_GB2312" w:eastAsia="仿宋_GB2312"/>
          <w:sz w:val="32"/>
          <w:szCs w:val="32"/>
        </w:rPr>
        <w:t>，结合乐山实际，提出如下实施意见。</w:t>
      </w:r>
    </w:p>
    <w:p>
      <w:pPr>
        <w:spacing w:line="560" w:lineRule="exact"/>
        <w:ind w:firstLine="640" w:firstLineChars="200"/>
        <w:rPr>
          <w:rFonts w:ascii="黑体" w:eastAsia="黑体"/>
          <w:sz w:val="32"/>
          <w:szCs w:val="32"/>
        </w:rPr>
      </w:pPr>
      <w:r>
        <w:rPr>
          <w:rFonts w:hint="eastAsia" w:ascii="黑体" w:eastAsia="黑体"/>
          <w:sz w:val="32"/>
          <w:szCs w:val="32"/>
        </w:rPr>
        <w:t>一、指导思想和总体目标</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以党的十九大和十九届四中、五中全会精神为指导，聚焦人民群众的关切关注，聚焦困难群众的生活权益保障，坚持政府主导、市场选择、质量为本、便民惠民原则，积极推进政府购买社会救助服务，加强基层社会救助经办服务能力建设，强化社会参与，拓展服务内容，创新服务机制，统筹救助资源，逐步实现社会救助服务供给体系基本建立，社会救助统筹协调机制不断完善，社会救助经办人员数量与社会救助对象数量配比适当，确保社会救助政策精准落地，社会救助服务高质高效，社会满意度不断提升，为乐山社会经济持续健康发展奠定坚实基础。</w:t>
      </w:r>
    </w:p>
    <w:p>
      <w:pPr>
        <w:spacing w:line="560" w:lineRule="exact"/>
        <w:ind w:firstLine="640" w:firstLineChars="200"/>
        <w:rPr>
          <w:rFonts w:ascii="黑体" w:eastAsia="黑体"/>
          <w:sz w:val="32"/>
          <w:szCs w:val="32"/>
        </w:rPr>
      </w:pPr>
      <w:r>
        <w:rPr>
          <w:rFonts w:hint="eastAsia" w:ascii="黑体" w:eastAsia="黑体"/>
          <w:sz w:val="32"/>
          <w:szCs w:val="32"/>
        </w:rPr>
        <w:t>二、推进政府购买社会救助服务</w:t>
      </w:r>
    </w:p>
    <w:p>
      <w:pPr>
        <w:spacing w:line="560" w:lineRule="exact"/>
        <w:ind w:firstLine="640" w:firstLineChars="200"/>
        <w:rPr>
          <w:rFonts w:ascii="仿宋_GB2312" w:eastAsia="仿宋_GB2312"/>
          <w:sz w:val="32"/>
          <w:szCs w:val="32"/>
        </w:rPr>
      </w:pPr>
      <w:r>
        <w:rPr>
          <w:rFonts w:hint="eastAsia" w:ascii="楷体_GB2312" w:hAnsi="楷体_GB2312" w:eastAsia="楷体_GB2312" w:cs="楷体_GB2312"/>
          <w:sz w:val="32"/>
          <w:szCs w:val="32"/>
        </w:rPr>
        <w:t>（一）购买主体。</w:t>
      </w:r>
      <w:r>
        <w:rPr>
          <w:rFonts w:hint="eastAsia" w:eastAsia="仿宋_GB2312"/>
          <w:sz w:val="32"/>
          <w:szCs w:val="32"/>
        </w:rPr>
        <w:t>县级以上地方人民政府是购买社会救助服务的主体，民政部门具体负责统筹规划、组织实施和绩效评估等相关工作。</w:t>
      </w:r>
      <w:r>
        <w:rPr>
          <w:rFonts w:hint="eastAsia" w:ascii="仿宋_GB2312" w:eastAsia="仿宋_GB2312"/>
          <w:sz w:val="32"/>
          <w:szCs w:val="32"/>
        </w:rPr>
        <w:t>乡镇人民政府、街道办事处可以根据需要购买社会救助相关服务。</w:t>
      </w:r>
    </w:p>
    <w:p>
      <w:pPr>
        <w:spacing w:line="560" w:lineRule="exact"/>
        <w:ind w:firstLine="640" w:firstLineChars="200"/>
        <w:rPr>
          <w:rFonts w:ascii="仿宋_GB2312" w:eastAsia="仿宋_GB2312"/>
          <w:sz w:val="32"/>
          <w:szCs w:val="32"/>
        </w:rPr>
      </w:pPr>
      <w:r>
        <w:rPr>
          <w:rFonts w:hint="eastAsia" w:ascii="楷体_GB2312" w:hAnsi="楷体_GB2312" w:eastAsia="楷体_GB2312" w:cs="楷体_GB2312"/>
          <w:sz w:val="32"/>
          <w:szCs w:val="32"/>
        </w:rPr>
        <w:t>（二）承接主体。</w:t>
      </w:r>
      <w:r>
        <w:rPr>
          <w:rFonts w:hint="eastAsia" w:ascii="仿宋_GB2312" w:eastAsia="仿宋_GB2312"/>
          <w:sz w:val="32"/>
          <w:szCs w:val="32"/>
        </w:rPr>
        <w:t>承接政府购买社会救助服务的主体主要包括依法在民政部门登记成立或经国务院批准免予登记的社会组织，按事业单位分类改革应划入公益二类或生产经营类的事业单位法人，依法在工商管理或行业主管部门登记成立的企业、机构等社会力量。承接政府购买社会救助服务的主体应当符合下列基本条件：</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1.依法设立，具有独立承担民事责任的能力；</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2.治理结构健全，内部管理和监督制度完善；</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3.具有独立、健全的财务管理、会计核算和资产管理制度；</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4.具备提供公共服务所必需的设施、人员和专业技术能力；</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5.具有依法缴纳税收和社会保险资金的良好记录；</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6.符合国家有关政事分开、政社分开、政企分开的要求;</w:t>
      </w:r>
    </w:p>
    <w:p>
      <w:pPr>
        <w:spacing w:line="560" w:lineRule="exact"/>
        <w:ind w:firstLine="640" w:firstLineChars="200"/>
        <w:rPr>
          <w:rFonts w:eastAsia="仿宋_GB2312"/>
          <w:sz w:val="32"/>
          <w:szCs w:val="32"/>
        </w:rPr>
      </w:pPr>
      <w:r>
        <w:rPr>
          <w:rFonts w:hint="eastAsia" w:ascii="仿宋_GB2312" w:hAnsi="仿宋_GB2312" w:eastAsia="仿宋_GB2312" w:cs="仿宋_GB2312"/>
          <w:sz w:val="32"/>
          <w:szCs w:val="32"/>
        </w:rPr>
        <w:t>7.法律</w:t>
      </w:r>
      <w:r>
        <w:rPr>
          <w:rFonts w:hint="eastAsia" w:eastAsia="仿宋_GB2312"/>
          <w:sz w:val="32"/>
          <w:szCs w:val="32"/>
        </w:rPr>
        <w:t>、法规规定以及购买项目要求的其他条件。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承接主体的具体条件，由各区县根据购买社会救助服务项目的性质和质量要求自行确定。</w:t>
      </w:r>
    </w:p>
    <w:p>
      <w:pPr>
        <w:spacing w:line="560" w:lineRule="exact"/>
        <w:ind w:firstLine="720" w:firstLineChars="225"/>
        <w:rPr>
          <w:rFonts w:ascii="仿宋_GB2312" w:eastAsia="仿宋_GB2312"/>
          <w:sz w:val="32"/>
          <w:szCs w:val="32"/>
        </w:rPr>
      </w:pPr>
      <w:r>
        <w:rPr>
          <w:rFonts w:hint="eastAsia" w:ascii="楷体_GB2312" w:hAnsi="楷体_GB2312" w:eastAsia="楷体_GB2312" w:cs="楷体_GB2312"/>
          <w:sz w:val="32"/>
          <w:szCs w:val="32"/>
        </w:rPr>
        <w:t>（三）购买内容。</w:t>
      </w:r>
      <w:r>
        <w:rPr>
          <w:rFonts w:hint="eastAsia" w:ascii="仿宋_GB2312" w:eastAsia="仿宋_GB2312"/>
          <w:sz w:val="32"/>
          <w:szCs w:val="32"/>
        </w:rPr>
        <w:t xml:space="preserve">适合采取市场化方式提供、社会力量能够承担的社会救助事务性工作和服务性工作。 </w:t>
      </w:r>
    </w:p>
    <w:p>
      <w:pPr>
        <w:spacing w:line="560" w:lineRule="exact"/>
        <w:ind w:firstLine="642" w:firstLineChars="200"/>
        <w:rPr>
          <w:rFonts w:eastAsia="仿宋_GB2312"/>
          <w:sz w:val="32"/>
          <w:szCs w:val="32"/>
        </w:rPr>
      </w:pPr>
      <w:r>
        <w:rPr>
          <w:rFonts w:hint="eastAsia" w:ascii="仿宋_GB2312" w:eastAsia="仿宋_GB2312"/>
          <w:b/>
          <w:bCs/>
          <w:sz w:val="32"/>
          <w:szCs w:val="32"/>
        </w:rPr>
        <w:t>1.事务性工作。</w:t>
      </w:r>
      <w:r>
        <w:rPr>
          <w:rFonts w:hint="eastAsia" w:eastAsia="仿宋_GB2312"/>
          <w:sz w:val="32"/>
          <w:szCs w:val="32"/>
        </w:rPr>
        <w:t>主要是基层经办最低生活保障、特困人员救助供养、医疗救助、临时救助等服务时的对象排查、家庭收支调查、业务培训、政策宣传、绩效评价等工作；</w:t>
      </w:r>
    </w:p>
    <w:p>
      <w:pPr>
        <w:spacing w:line="560" w:lineRule="exact"/>
        <w:ind w:firstLine="642" w:firstLineChars="200"/>
        <w:rPr>
          <w:rFonts w:eastAsia="仿宋_GB2312"/>
          <w:sz w:val="32"/>
          <w:szCs w:val="32"/>
        </w:rPr>
      </w:pPr>
      <w:r>
        <w:rPr>
          <w:rFonts w:hint="eastAsia" w:ascii="仿宋_GB2312" w:eastAsia="仿宋_GB2312"/>
          <w:b/>
          <w:bCs/>
          <w:sz w:val="32"/>
          <w:szCs w:val="32"/>
        </w:rPr>
        <w:t>2.服务性工作。</w:t>
      </w:r>
      <w:r>
        <w:rPr>
          <w:rFonts w:hint="eastAsia" w:ascii="仿宋_GB2312" w:eastAsia="仿宋_GB2312"/>
          <w:sz w:val="32"/>
          <w:szCs w:val="32"/>
        </w:rPr>
        <w:t>主要是对</w:t>
      </w:r>
      <w:r>
        <w:rPr>
          <w:rFonts w:hint="eastAsia" w:eastAsia="仿宋_GB2312"/>
          <w:sz w:val="32"/>
          <w:szCs w:val="32"/>
        </w:rPr>
        <w:t>社会救助对象开展的照料护理、康复训练、送医陪护、社会融入、能力提升、心理疏导、资源链接等服务。</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应当由政府直接承担的社会救助行政管理性事务，以及应当由政府直接提供、不适合社会力量承担的救助服务事项，不得向社会力量购买。</w:t>
      </w:r>
    </w:p>
    <w:p>
      <w:pPr>
        <w:spacing w:line="560" w:lineRule="exact"/>
        <w:ind w:firstLine="640" w:firstLineChars="200"/>
        <w:rPr>
          <w:rFonts w:eastAsia="仿宋_GB2312"/>
          <w:sz w:val="32"/>
          <w:szCs w:val="32"/>
        </w:rPr>
      </w:pPr>
      <w:r>
        <w:rPr>
          <w:rFonts w:hint="eastAsia" w:ascii="楷体_GB2312" w:hAnsi="楷体_GB2312" w:eastAsia="楷体_GB2312" w:cs="楷体_GB2312"/>
          <w:sz w:val="32"/>
          <w:szCs w:val="32"/>
        </w:rPr>
        <w:t>（四）购买方式。</w:t>
      </w:r>
      <w:r>
        <w:rPr>
          <w:rFonts w:hint="eastAsia" w:ascii="仿宋_GB2312" w:eastAsia="仿宋_GB2312"/>
          <w:sz w:val="32"/>
          <w:szCs w:val="32"/>
        </w:rPr>
        <w:t>各县（市、区）民政部门、财政部门负责制定本级政府购买社会救助服务的指导性目录，确定购买社会救助服务的种类、性质和内容。按照政府采购的有关规定确定承接主体时，应当以满足社会救助服务质量、符合服务标准为前提，不得简单以“价低者得”作为选择标准。承接主体确定后，购买主体应当与承接主体签订合同，明确政府购买社会救助服务的</w:t>
      </w:r>
      <w:r>
        <w:rPr>
          <w:rFonts w:hint="eastAsia" w:eastAsia="仿宋_GB2312"/>
          <w:sz w:val="32"/>
          <w:szCs w:val="32"/>
        </w:rPr>
        <w:t>范围、标的、数量、质量以及服务期限、资金支付方式、权利义务和违约责任等内容，合同最长期限不超过</w:t>
      </w:r>
      <w:r>
        <w:rPr>
          <w:rFonts w:eastAsia="仿宋_GB2312"/>
          <w:sz w:val="32"/>
          <w:szCs w:val="32"/>
        </w:rPr>
        <w:t>3</w:t>
      </w:r>
      <w:r>
        <w:rPr>
          <w:rFonts w:hint="eastAsia" w:eastAsia="仿宋_GB2312"/>
          <w:sz w:val="32"/>
          <w:szCs w:val="32"/>
        </w:rPr>
        <w:t>年。</w:t>
      </w:r>
    </w:p>
    <w:p>
      <w:pPr>
        <w:spacing w:line="560" w:lineRule="exact"/>
        <w:ind w:firstLine="640" w:firstLineChars="200"/>
        <w:rPr>
          <w:rFonts w:eastAsia="仿宋_GB2312"/>
          <w:sz w:val="32"/>
          <w:szCs w:val="32"/>
        </w:rPr>
      </w:pPr>
      <w:r>
        <w:rPr>
          <w:rFonts w:hint="eastAsia" w:ascii="楷体_GB2312" w:hAnsi="楷体_GB2312" w:eastAsia="楷体_GB2312" w:cs="楷体_GB2312"/>
          <w:sz w:val="32"/>
          <w:szCs w:val="32"/>
        </w:rPr>
        <w:t>（五）经费保障。</w:t>
      </w:r>
      <w:r>
        <w:rPr>
          <w:rFonts w:hint="eastAsia" w:eastAsia="仿宋_GB2312"/>
          <w:sz w:val="32"/>
          <w:szCs w:val="32"/>
        </w:rPr>
        <w:t>政府购买社会救助服务所需经费要列入财政预算，从各级既有的社会救助工作经费或社会救助专项资金等预算中统筹安排。各</w:t>
      </w:r>
      <w:r>
        <w:rPr>
          <w:rFonts w:hint="eastAsia" w:ascii="仿宋_GB2312" w:eastAsia="仿宋_GB2312"/>
          <w:sz w:val="32"/>
          <w:szCs w:val="32"/>
        </w:rPr>
        <w:t>县（市、区）</w:t>
      </w:r>
      <w:r>
        <w:rPr>
          <w:rFonts w:hint="eastAsia" w:eastAsia="仿宋_GB2312"/>
          <w:sz w:val="32"/>
          <w:szCs w:val="32"/>
        </w:rPr>
        <w:t>要建立科学合理的资金保障机制，</w:t>
      </w:r>
      <w:r>
        <w:rPr>
          <w:rFonts w:hint="eastAsia" w:ascii="仿宋_GB2312" w:eastAsia="仿宋_GB2312"/>
          <w:sz w:val="32"/>
          <w:szCs w:val="32"/>
        </w:rPr>
        <w:t>逐步加大政府购买社会救助服务资金投入。要严格执行社会救助专项资金管理相关规定，</w:t>
      </w:r>
      <w:r>
        <w:rPr>
          <w:rFonts w:hint="eastAsia" w:eastAsia="仿宋_GB2312"/>
          <w:sz w:val="32"/>
          <w:szCs w:val="32"/>
        </w:rPr>
        <w:t>确保资金使用安全规范、科学有效。</w:t>
      </w:r>
    </w:p>
    <w:p>
      <w:pPr>
        <w:spacing w:line="560" w:lineRule="exact"/>
        <w:ind w:firstLine="720" w:firstLineChars="225"/>
        <w:rPr>
          <w:rFonts w:ascii="黑体" w:eastAsia="黑体"/>
          <w:sz w:val="32"/>
          <w:szCs w:val="32"/>
        </w:rPr>
      </w:pPr>
      <w:r>
        <w:rPr>
          <w:rFonts w:hint="eastAsia" w:ascii="黑体" w:eastAsia="黑体"/>
          <w:sz w:val="32"/>
          <w:szCs w:val="32"/>
        </w:rPr>
        <w:t>三、加强社会救助经办服务能力</w:t>
      </w:r>
    </w:p>
    <w:p>
      <w:pPr>
        <w:spacing w:line="560" w:lineRule="exact"/>
        <w:ind w:firstLine="640" w:firstLineChars="200"/>
        <w:rPr>
          <w:rFonts w:ascii="仿宋_GB2312" w:eastAsia="仿宋_GB2312"/>
          <w:sz w:val="32"/>
          <w:szCs w:val="32"/>
        </w:rPr>
      </w:pPr>
      <w:r>
        <w:rPr>
          <w:rFonts w:hint="eastAsia" w:ascii="楷体_GB2312" w:hAnsi="楷体_GB2312" w:eastAsia="楷体_GB2312" w:cs="楷体_GB2312"/>
          <w:sz w:val="32"/>
          <w:szCs w:val="32"/>
        </w:rPr>
        <w:t>（一）加强窗口建设。</w:t>
      </w:r>
      <w:r>
        <w:rPr>
          <w:rFonts w:hint="eastAsia" w:ascii="仿宋_GB2312" w:eastAsia="仿宋_GB2312"/>
          <w:sz w:val="32"/>
          <w:szCs w:val="32"/>
        </w:rPr>
        <w:t>要进一步推动跨部门救助事项的业务协同，完善“一门受理、协同办理”工作机制，在乡镇（街道）社会救助服务窗口统一受理、转办（介）社会救助事项，让困难群众求助有门，一次完成。要建立完善首问负责、一次性告知、限时办理等制度，优化工作流程，减少办事环节，确保困难群众求助有门、救助及时。</w:t>
      </w:r>
    </w:p>
    <w:p>
      <w:pPr>
        <w:spacing w:line="560" w:lineRule="exact"/>
        <w:ind w:firstLine="640" w:firstLineChars="200"/>
        <w:rPr>
          <w:rFonts w:eastAsia="仿宋_GB2312"/>
          <w:sz w:val="32"/>
          <w:szCs w:val="32"/>
        </w:rPr>
      </w:pPr>
      <w:r>
        <w:rPr>
          <w:rFonts w:hint="eastAsia" w:ascii="楷体_GB2312" w:hAnsi="楷体_GB2312" w:eastAsia="楷体_GB2312" w:cs="楷体_GB2312"/>
          <w:sz w:val="32"/>
          <w:szCs w:val="32"/>
        </w:rPr>
        <w:t>（二）落实经办人员。</w:t>
      </w:r>
      <w:r>
        <w:rPr>
          <w:rFonts w:hint="eastAsia" w:ascii="仿宋_GB2312" w:eastAsia="仿宋_GB2312"/>
          <w:sz w:val="32"/>
          <w:szCs w:val="32"/>
        </w:rPr>
        <w:t>要综合考虑本地社会救助服务事项、服务范围、对象数量以及当地经济社会发展水平等因素，科学合理核定社会救助经办服务人员数量。现有编制内救助工作力量不足的，采取政府购买社会力量参与社会救助服务的方式加以解决。承担了政府购买服务的社会力量，可向县（市、区）民政部门、乡镇（街道）、村（居）委会派遣工作人员。被派遣工作人员原则上应具有大专以</w:t>
      </w:r>
      <w:r>
        <w:rPr>
          <w:rFonts w:hint="eastAsia" w:ascii="仿宋_GB2312" w:hAnsi="仿宋_GB2312" w:eastAsia="仿宋_GB2312" w:cs="仿宋_GB2312"/>
          <w:sz w:val="32"/>
          <w:szCs w:val="32"/>
        </w:rPr>
        <w:t>上文化程度，优先考虑具有社会工作教育背景或取得社会工作职业资格人员。原则上可按照当地低保和特困人员总数的2‰配备社会救</w:t>
      </w:r>
      <w:r>
        <w:rPr>
          <w:rFonts w:hint="eastAsia" w:eastAsia="仿宋_GB2312"/>
          <w:sz w:val="32"/>
          <w:szCs w:val="32"/>
        </w:rPr>
        <w:t>助经办服务人员。</w:t>
      </w:r>
    </w:p>
    <w:p>
      <w:pPr>
        <w:spacing w:line="560" w:lineRule="exact"/>
        <w:ind w:firstLine="640" w:firstLineChars="200"/>
        <w:rPr>
          <w:rFonts w:ascii="仿宋_GB2312" w:eastAsia="仿宋_GB2312"/>
          <w:sz w:val="32"/>
          <w:szCs w:val="32"/>
        </w:rPr>
      </w:pPr>
      <w:r>
        <w:rPr>
          <w:rFonts w:hint="eastAsia" w:ascii="楷体_GB2312" w:hAnsi="楷体_GB2312" w:eastAsia="楷体_GB2312" w:cs="楷体_GB2312"/>
          <w:sz w:val="32"/>
          <w:szCs w:val="32"/>
        </w:rPr>
        <w:t>（三）发挥村（居）委会作用。</w:t>
      </w:r>
      <w:r>
        <w:rPr>
          <w:rFonts w:hint="eastAsia" w:ascii="仿宋_GB2312" w:eastAsia="仿宋_GB2312"/>
          <w:sz w:val="32"/>
          <w:szCs w:val="32"/>
        </w:rPr>
        <w:t>村（居）民委员会要协助做好社会救助对象困难排查、发现报告，救助申请家庭经济状况核查、公示监督，救助对象动态管理、信息报送，政策咨询、宣传引导等社会救助工作。鼓励有条件的县（市、区）探索建立村（居）级社会救助协理员制度。</w:t>
      </w:r>
    </w:p>
    <w:p>
      <w:pPr>
        <w:spacing w:line="560" w:lineRule="exact"/>
        <w:ind w:firstLine="640" w:firstLineChars="200"/>
        <w:rPr>
          <w:rFonts w:ascii="仿宋_GB2312" w:eastAsia="仿宋_GB2312"/>
          <w:sz w:val="32"/>
          <w:szCs w:val="32"/>
        </w:rPr>
      </w:pPr>
      <w:r>
        <w:rPr>
          <w:rFonts w:hint="eastAsia" w:ascii="楷体_GB2312" w:hAnsi="楷体_GB2312" w:eastAsia="楷体_GB2312" w:cs="楷体_GB2312"/>
          <w:sz w:val="32"/>
          <w:szCs w:val="32"/>
        </w:rPr>
        <w:t>（四）加强信息化建设。</w:t>
      </w:r>
      <w:r>
        <w:rPr>
          <w:rFonts w:hint="eastAsia" w:ascii="仿宋_GB2312" w:eastAsia="仿宋_GB2312"/>
          <w:sz w:val="32"/>
          <w:szCs w:val="32"/>
        </w:rPr>
        <w:t>要依托政务网络、低收入家庭经济状况核对平台、“一卡通”发放监管平台作用，加快推进社会救助家庭经济状况核对机制建设，实现社会救助信息互联互通、资源共用共享，提高基层甄别核实救助申请对象家庭经济状况的能力。探索建立救助对象需求与慈善救助帮扶资源对接信息平台，实现政府救助与慈善救助的有效衔接。</w:t>
      </w:r>
    </w:p>
    <w:p>
      <w:pPr>
        <w:spacing w:line="560" w:lineRule="exact"/>
        <w:ind w:firstLine="640" w:firstLineChars="200"/>
        <w:rPr>
          <w:rFonts w:ascii="仿宋_GB2312" w:eastAsia="仿宋_GB2312"/>
          <w:sz w:val="32"/>
          <w:szCs w:val="32"/>
        </w:rPr>
      </w:pPr>
      <w:r>
        <w:rPr>
          <w:rFonts w:hint="eastAsia" w:ascii="楷体_GB2312" w:hAnsi="楷体_GB2312" w:eastAsia="楷体_GB2312" w:cs="楷体_GB2312"/>
          <w:sz w:val="32"/>
          <w:szCs w:val="32"/>
        </w:rPr>
        <w:t>（五）加强人员培训。</w:t>
      </w:r>
      <w:r>
        <w:rPr>
          <w:rFonts w:hint="eastAsia" w:ascii="仿宋_GB2312" w:eastAsia="仿宋_GB2312"/>
          <w:sz w:val="32"/>
          <w:szCs w:val="32"/>
        </w:rPr>
        <w:t>各县（市、区）民政部门要加强社会救助经办服务人员业务培训和作风建设，提高把握运用政策的能力和水平，增强为民意识、责任意识和纪律意识。要做好专业从事社会救助的社会组织培育孵化工作，为创办初期的公益性社会组织提供开办指导、场地租赁、人员培训等配套服务。</w:t>
      </w:r>
    </w:p>
    <w:p>
      <w:pPr>
        <w:spacing w:line="560" w:lineRule="exact"/>
        <w:ind w:firstLine="640" w:firstLineChars="200"/>
        <w:rPr>
          <w:rFonts w:ascii="黑体" w:eastAsia="黑体"/>
          <w:sz w:val="32"/>
          <w:szCs w:val="32"/>
        </w:rPr>
      </w:pPr>
      <w:r>
        <w:rPr>
          <w:rFonts w:hint="eastAsia" w:ascii="黑体" w:eastAsia="黑体"/>
          <w:sz w:val="32"/>
          <w:szCs w:val="32"/>
        </w:rPr>
        <w:t>四、建立工作保障机制</w:t>
      </w:r>
    </w:p>
    <w:p>
      <w:pPr>
        <w:spacing w:line="560" w:lineRule="exact"/>
        <w:ind w:firstLine="640" w:firstLineChars="200"/>
        <w:rPr>
          <w:rFonts w:ascii="仿宋_GB2312" w:eastAsia="仿宋_GB2312"/>
          <w:sz w:val="32"/>
          <w:szCs w:val="32"/>
        </w:rPr>
      </w:pPr>
      <w:r>
        <w:rPr>
          <w:rFonts w:hint="eastAsia" w:ascii="楷体_GB2312" w:hAnsi="楷体_GB2312" w:eastAsia="楷体_GB2312" w:cs="楷体_GB2312"/>
          <w:sz w:val="32"/>
          <w:szCs w:val="32"/>
        </w:rPr>
        <w:t>（一）组织领导机制。</w:t>
      </w:r>
      <w:r>
        <w:rPr>
          <w:rFonts w:hint="eastAsia" w:ascii="仿宋_GB2312" w:eastAsia="仿宋_GB2312"/>
          <w:sz w:val="32"/>
          <w:szCs w:val="32"/>
        </w:rPr>
        <w:t>各县（市、区）要加强对政府购买社会救助服务工作的组织领导，建立健全方式灵活、程序规范、标准明确、结果可控、动态调整的购买机制，分类制定内容明确、操作性强、便于考核的服务标准。要建立部门协调联动机制，编制部门负责指导基层加强社会救助经办服务能力建设和职能转变；财政部门负责政府购买社会救助服务的经费安排和监督管理；人力资源和社会保障部门负责指导基层加强与政府购买社会救助服务工作的衔接，鼓励吸纳更多的高校毕业生从事社会救助经办服务。</w:t>
      </w:r>
    </w:p>
    <w:p>
      <w:pPr>
        <w:spacing w:line="560" w:lineRule="exact"/>
        <w:ind w:firstLine="640" w:firstLineChars="200"/>
        <w:rPr>
          <w:rFonts w:ascii="仿宋_GB2312" w:eastAsia="仿宋_GB2312"/>
          <w:sz w:val="32"/>
          <w:szCs w:val="32"/>
        </w:rPr>
      </w:pPr>
      <w:r>
        <w:rPr>
          <w:rFonts w:hint="eastAsia" w:ascii="楷体_GB2312" w:hAnsi="楷体_GB2312" w:eastAsia="楷体_GB2312" w:cs="楷体_GB2312"/>
          <w:sz w:val="32"/>
          <w:szCs w:val="32"/>
        </w:rPr>
        <w:t>（二）绩效评估机制。</w:t>
      </w:r>
      <w:r>
        <w:rPr>
          <w:rFonts w:hint="eastAsia" w:ascii="仿宋_GB2312" w:eastAsia="仿宋_GB2312"/>
          <w:sz w:val="32"/>
          <w:szCs w:val="32"/>
        </w:rPr>
        <w:t>各县（市、区）要制定政府购买社会救助服务相关评价标准，建立健全</w:t>
      </w:r>
      <w:r>
        <w:rPr>
          <w:rFonts w:hint="eastAsia" w:eastAsia="仿宋_GB2312"/>
          <w:sz w:val="32"/>
          <w:szCs w:val="32"/>
        </w:rPr>
        <w:t>由购买主体、服务对象及第三方组成的综合性评价机制和协同性评价模式，以行政监管、服务成效、项目管理、社会影响等为重要内容，加强对购买社会救助服务工作绩效评价。</w:t>
      </w:r>
      <w:r>
        <w:rPr>
          <w:rFonts w:hint="eastAsia" w:ascii="仿宋_GB2312" w:eastAsia="仿宋_GB2312"/>
          <w:sz w:val="32"/>
          <w:szCs w:val="32"/>
        </w:rPr>
        <w:t>评价结果应当向社会公布，并作为选择承接主体的重要参考依据。</w:t>
      </w:r>
    </w:p>
    <w:p>
      <w:pPr>
        <w:spacing w:line="560" w:lineRule="exact"/>
        <w:ind w:firstLine="640" w:firstLineChars="200"/>
        <w:rPr>
          <w:rFonts w:ascii="仿宋_GB2312" w:eastAsia="仿宋_GB2312"/>
          <w:sz w:val="32"/>
          <w:szCs w:val="32"/>
        </w:rPr>
      </w:pPr>
      <w:r>
        <w:rPr>
          <w:rFonts w:hint="eastAsia" w:ascii="楷体_GB2312" w:hAnsi="楷体_GB2312" w:eastAsia="楷体_GB2312" w:cs="楷体_GB2312"/>
          <w:sz w:val="32"/>
          <w:szCs w:val="32"/>
        </w:rPr>
        <w:t>（三）监督管理机制。</w:t>
      </w:r>
      <w:r>
        <w:rPr>
          <w:rFonts w:hint="eastAsia" w:ascii="仿宋_GB2312" w:eastAsia="仿宋_GB2312"/>
          <w:sz w:val="32"/>
          <w:szCs w:val="32"/>
        </w:rPr>
        <w:t>各县（市、区）要依法加强对政府购买社会救助服务的监督管理，建立健全责任追究等相关监督管理制度，完善事前、事中和事后监管体系，全面推行“双随机、一公开”监督机制。要建立承接主体退出机制，制定临时接管预案。在承接主体发生不能按合同约定提供服务的情形时启动预案，确保救助对象的正当权利不受影响。对承接主体违背合同、弄虚作假等行为，依法进行处罚，按照法律规定或合同约定终止合同执行，依法禁止相关主体在一定期限内参与政府购买社会救助服务工作。</w:t>
      </w:r>
    </w:p>
    <w:p>
      <w:pPr>
        <w:spacing w:line="560" w:lineRule="exact"/>
        <w:ind w:firstLine="720" w:firstLineChars="225"/>
        <w:rPr>
          <w:rFonts w:ascii="仿宋_GB2312" w:eastAsia="仿宋_GB2312"/>
          <w:sz w:val="32"/>
          <w:szCs w:val="32"/>
        </w:rPr>
      </w:pPr>
    </w:p>
    <w:p>
      <w:pPr>
        <w:tabs>
          <w:tab w:val="left" w:pos="1620"/>
        </w:tabs>
        <w:spacing w:line="600" w:lineRule="exact"/>
        <w:rPr>
          <w:rFonts w:ascii="黑体" w:hAnsi="黑体" w:eastAsia="黑体"/>
          <w:sz w:val="32"/>
          <w:szCs w:val="32"/>
        </w:rPr>
      </w:pPr>
    </w:p>
    <w:p>
      <w:pPr>
        <w:tabs>
          <w:tab w:val="left" w:pos="1620"/>
        </w:tabs>
        <w:spacing w:line="600" w:lineRule="exact"/>
        <w:rPr>
          <w:rFonts w:ascii="黑体" w:hAnsi="黑体" w:eastAsia="黑体"/>
          <w:sz w:val="32"/>
          <w:szCs w:val="3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ind w:left="0" w:leftChars="0" w:firstLine="0" w:firstLineChars="0"/>
        <w:rPr>
          <w:rFonts w:hint="eastAsia"/>
        </w:rPr>
      </w:pPr>
    </w:p>
    <w:p>
      <w:pPr>
        <w:spacing w:line="500" w:lineRule="exact"/>
        <w:ind w:firstLine="280" w:firstLineChars="100"/>
        <w:jc w:val="left"/>
      </w:pPr>
      <w:r>
        <w:rPr>
          <w:sz w:val="28"/>
          <w:szCs w:val="28"/>
        </w:rPr>
        <mc:AlternateContent>
          <mc:Choice Requires="wps">
            <w:drawing>
              <wp:anchor distT="0" distB="0" distL="114300" distR="114300" simplePos="0" relativeHeight="251695104" behindDoc="0" locked="0" layoutInCell="1" allowOverlap="1">
                <wp:simplePos x="0" y="0"/>
                <wp:positionH relativeFrom="column">
                  <wp:posOffset>9525</wp:posOffset>
                </wp:positionH>
                <wp:positionV relativeFrom="paragraph">
                  <wp:posOffset>345440</wp:posOffset>
                </wp:positionV>
                <wp:extent cx="5634990" cy="8890"/>
                <wp:effectExtent l="0" t="9525" r="3810" b="10160"/>
                <wp:wrapNone/>
                <wp:docPr id="1" name="直线 16"/>
                <wp:cNvGraphicFramePr/>
                <a:graphic xmlns:a="http://schemas.openxmlformats.org/drawingml/2006/main">
                  <a:graphicData uri="http://schemas.microsoft.com/office/word/2010/wordprocessingShape">
                    <wps:wsp>
                      <wps:cNvCnPr/>
                      <wps:spPr>
                        <a:xfrm flipV="true">
                          <a:off x="0" y="0"/>
                          <a:ext cx="5634990" cy="8890"/>
                        </a:xfrm>
                        <a:prstGeom prst="line">
                          <a:avLst/>
                        </a:prstGeom>
                        <a:ln w="19050" cap="flat" cmpd="sng">
                          <a:solidFill>
                            <a:srgbClr val="000000"/>
                          </a:solidFill>
                          <a:prstDash val="solid"/>
                          <a:headEnd type="none" w="med" len="med"/>
                          <a:tailEnd type="none" w="med" len="med"/>
                        </a:ln>
                      </wps:spPr>
                      <wps:bodyPr upright="true"/>
                    </wps:wsp>
                  </a:graphicData>
                </a:graphic>
              </wp:anchor>
            </w:drawing>
          </mc:Choice>
          <mc:Fallback>
            <w:pict>
              <v:line id="直线 16" o:spid="_x0000_s1026" o:spt="20" style="position:absolute;left:0pt;flip:y;margin-left:0.75pt;margin-top:27.2pt;height:0.7pt;width:443.7pt;z-index:251695104;mso-width-relative:page;mso-height-relative:page;" filled="f" stroked="t" coordsize="21600,21600" o:gfxdata="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CF&#10;h4//1AAAAAcBAAAPAAAAAAAAAAEAIAAAADgAAABkcnMvZG93bnJldi54bWxQSwECFAAUAAAACACH&#10;TuJAuwAFdtkBAACiAwAADgAAAAAAAAABACAAAAA5AQAAZHJzL2Uyb0RvYy54bWxQSwUGAAAAAAYA&#10;BgBZAQAAhAUAAAAA&#10;">
                <v:fill on="f" focussize="0,0"/>
                <v:stroke weight="1.5pt" color="#000000" joinstyle="round"/>
                <v:imagedata o:title=""/>
                <o:lock v:ext="edit" aspectratio="f"/>
              </v:line>
            </w:pict>
          </mc:Fallback>
        </mc:AlternateContent>
      </w:r>
      <w:r>
        <w:rPr>
          <w:sz w:val="28"/>
          <w:szCs w:val="28"/>
        </w:rPr>
        <mc:AlternateContent>
          <mc:Choice Requires="wps">
            <w:drawing>
              <wp:anchor distT="0" distB="0" distL="114300" distR="114300" simplePos="0" relativeHeight="251696128" behindDoc="0" locked="0" layoutInCell="1" allowOverlap="1">
                <wp:simplePos x="0" y="0"/>
                <wp:positionH relativeFrom="column">
                  <wp:posOffset>10795</wp:posOffset>
                </wp:positionH>
                <wp:positionV relativeFrom="paragraph">
                  <wp:posOffset>16510</wp:posOffset>
                </wp:positionV>
                <wp:extent cx="5615940" cy="0"/>
                <wp:effectExtent l="0" t="9525" r="3810" b="9525"/>
                <wp:wrapNone/>
                <wp:docPr id="2" name="直线 15"/>
                <wp:cNvGraphicFramePr/>
                <a:graphic xmlns:a="http://schemas.openxmlformats.org/drawingml/2006/main">
                  <a:graphicData uri="http://schemas.microsoft.com/office/word/2010/wordprocessingShape">
                    <wps:wsp>
                      <wps:cNvCnPr/>
                      <wps:spPr>
                        <a:xfrm>
                          <a:off x="0" y="0"/>
                          <a:ext cx="5615940" cy="0"/>
                        </a:xfrm>
                        <a:prstGeom prst="line">
                          <a:avLst/>
                        </a:prstGeom>
                        <a:ln w="19050" cap="flat" cmpd="sng">
                          <a:solidFill>
                            <a:srgbClr val="000000"/>
                          </a:solidFill>
                          <a:prstDash val="solid"/>
                          <a:headEnd type="none" w="med" len="med"/>
                          <a:tailEnd type="none" w="med" len="med"/>
                        </a:ln>
                      </wps:spPr>
                      <wps:bodyPr upright="true"/>
                    </wps:wsp>
                  </a:graphicData>
                </a:graphic>
              </wp:anchor>
            </w:drawing>
          </mc:Choice>
          <mc:Fallback>
            <w:pict>
              <v:line id="直线 15" o:spid="_x0000_s1026" o:spt="20" style="position:absolute;left:0pt;margin-left:0.85pt;margin-top:1.3pt;height:0pt;width:442.2pt;z-index:251696128;mso-width-relative:page;mso-height-relative:page;" filled="f" stroked="t" coordsize="21600,21600" o:gfxdata="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CtK14y0QAAAAUBAAAP&#10;AAAAAAAAAAEAIAAAADgAAABkcnMvZG93bnJldi54bWxQSwECFAAUAAAACACHTuJAk5yAkdABAACS&#10;AwAADgAAAAAAAAABACAAAAA2AQAAZHJzL2Uyb0RvYy54bWxQSwUGAAAAAAYABgBZAQAAeAUAAAAA&#10;">
                <v:fill on="f" focussize="0,0"/>
                <v:stroke weight="1.5pt" color="#000000" joinstyle="round"/>
                <v:imagedata o:title=""/>
                <o:lock v:ext="edit" aspectratio="f"/>
              </v:line>
            </w:pict>
          </mc:Fallback>
        </mc:AlternateContent>
      </w:r>
      <w:r>
        <w:rPr>
          <w:rFonts w:hint="eastAsia" w:ascii="仿宋_GB2312" w:eastAsia="仿宋_GB2312"/>
          <w:sz w:val="28"/>
          <w:szCs w:val="28"/>
        </w:rPr>
        <w:t>乐山市民政局</w:t>
      </w:r>
      <w:r>
        <w:rPr>
          <w:rFonts w:hint="eastAsia" w:ascii="仿宋_GB2312" w:eastAsia="仿宋_GB2312"/>
          <w:sz w:val="28"/>
          <w:szCs w:val="28"/>
          <w:lang w:eastAsia="zh-CN"/>
        </w:rPr>
        <w:t>办公室</w:t>
      </w:r>
      <w:r>
        <w:rPr>
          <w:rFonts w:ascii="仿宋_GB2312" w:eastAsia="仿宋_GB2312"/>
          <w:sz w:val="28"/>
          <w:szCs w:val="28"/>
        </w:rPr>
        <w:t xml:space="preserve">               </w:t>
      </w:r>
      <w:r>
        <w:rPr>
          <w:rFonts w:hint="eastAsia" w:ascii="仿宋_GB2312" w:eastAsia="仿宋_GB2312"/>
          <w:sz w:val="28"/>
          <w:szCs w:val="28"/>
          <w:lang w:val="en-US" w:eastAsia="zh-CN"/>
        </w:rPr>
        <w:t xml:space="preserve">    </w:t>
      </w:r>
      <w:r>
        <w:rPr>
          <w:rFonts w:ascii="仿宋_GB2312" w:eastAsia="仿宋_GB2312"/>
          <w:sz w:val="28"/>
          <w:szCs w:val="28"/>
        </w:rPr>
        <w:t xml:space="preserve"> 2020</w:t>
      </w:r>
      <w:r>
        <w:rPr>
          <w:rFonts w:hint="eastAsia" w:ascii="仿宋_GB2312" w:eastAsia="仿宋_GB2312"/>
          <w:sz w:val="28"/>
          <w:szCs w:val="28"/>
        </w:rPr>
        <w:t>年</w:t>
      </w:r>
      <w:r>
        <w:rPr>
          <w:rFonts w:hint="eastAsia" w:ascii="仿宋_GB2312" w:eastAsia="仿宋_GB2312"/>
          <w:sz w:val="28"/>
          <w:szCs w:val="28"/>
          <w:lang w:val="en-US" w:eastAsia="zh-CN"/>
        </w:rPr>
        <w:t>12</w:t>
      </w:r>
      <w:r>
        <w:rPr>
          <w:rFonts w:hint="eastAsia" w:ascii="仿宋_GB2312" w:eastAsia="仿宋_GB2312"/>
          <w:sz w:val="28"/>
          <w:szCs w:val="28"/>
        </w:rPr>
        <w:t>月</w:t>
      </w:r>
      <w:r>
        <w:rPr>
          <w:rFonts w:hint="eastAsia" w:ascii="仿宋_GB2312" w:eastAsia="仿宋_GB2312"/>
          <w:sz w:val="28"/>
          <w:szCs w:val="28"/>
          <w:lang w:val="en-US" w:eastAsia="zh-CN"/>
        </w:rPr>
        <w:t>24</w:t>
      </w:r>
      <w:r>
        <w:rPr>
          <w:rFonts w:hint="eastAsia" w:ascii="仿宋_GB2312" w:eastAsia="仿宋_GB2312"/>
          <w:sz w:val="28"/>
          <w:szCs w:val="28"/>
        </w:rPr>
        <w:t>日印发</w:t>
      </w:r>
    </w:p>
    <w:sectPr>
      <w:headerReference r:id="rId4" w:type="first"/>
      <w:footerReference r:id="rId7" w:type="first"/>
      <w:headerReference r:id="rId3" w:type="default"/>
      <w:footerReference r:id="rId5" w:type="default"/>
      <w:footerReference r:id="rId6" w:type="even"/>
      <w:pgSz w:w="11906" w:h="16838"/>
      <w:pgMar w:top="2098" w:right="1474" w:bottom="1716" w:left="1588" w:header="851" w:footer="1337"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方正仿宋简体">
    <w:altName w:val="宋体"/>
    <w:panose1 w:val="00000000000000000000"/>
    <w:charset w:val="86"/>
    <w:family w:val="auto"/>
    <w:pitch w:val="default"/>
    <w:sig w:usb0="00000000" w:usb1="00000000" w:usb2="00000010" w:usb3="00000000" w:csb0="00040000" w:csb1="00000000"/>
  </w:font>
  <w:font w:name="仿宋_GB2312">
    <w:altName w:val="宋体"/>
    <w:panose1 w:val="02010609030101010101"/>
    <w:charset w:val="86"/>
    <w:family w:val="modern"/>
    <w:pitch w:val="default"/>
    <w:sig w:usb0="00000000" w:usb1="0000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方正小标宋简体">
    <w:panose1 w:val="02000000000000000000"/>
    <w:charset w:val="86"/>
    <w:family w:val="script"/>
    <w:pitch w:val="default"/>
    <w:sig w:usb0="A00002BF" w:usb1="184F6CFA" w:usb2="00000012"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楷体_GB2312">
    <w:altName w:val="宋体"/>
    <w:panose1 w:val="02010609030101010101"/>
    <w:charset w:val="86"/>
    <w:family w:val="modern"/>
    <w:pitch w:val="default"/>
    <w:sig w:usb0="00000000" w:usb1="00000000" w:usb2="00000000" w:usb3="00000000" w:csb0="00040000" w:csb1="00000000"/>
  </w:font>
  <w:font w:name="华文仿宋">
    <w:altName w:val="汉仪仿宋简"/>
    <w:panose1 w:val="02010600040101010101"/>
    <w:charset w:val="86"/>
    <w:family w:val="auto"/>
    <w:pitch w:val="default"/>
    <w:sig w:usb0="00000000" w:usb1="00000000" w:usb2="00000000" w:usb3="00000000" w:csb0="0004009F" w:csb1="DFD70000"/>
  </w:font>
  <w:font w:name="Nimbus Roman No9 L">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0"/>
                            <w:rPr>
                              <w:rFonts w:hint="default" w:asciiTheme="minorEastAsia" w:hAnsiTheme="minorEastAsia" w:eastAsiaTheme="minorEastAsia" w:cstheme="minorEastAsia"/>
                              <w:color w:val="FFFFFF" w:themeColor="background1"/>
                              <w:sz w:val="28"/>
                              <w:szCs w:val="28"/>
                              <w:lang w:val="en-US"/>
                              <w14:textFill>
                                <w14:solidFill>
                                  <w14:schemeClr w14:val="bg1"/>
                                </w14:solidFill>
                              </w14:textFill>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color w:val="FFFFFF" w:themeColor="background1"/>
                              <w:sz w:val="28"/>
                              <w:szCs w:val="28"/>
                              <w:lang w:val="en-US" w:eastAsia="zh-CN"/>
                              <w14:textFill>
                                <w14:solidFill>
                                  <w14:schemeClr w14:val="bg1"/>
                                </w14:solidFill>
                              </w14:textFill>
                            </w:rPr>
                            <w:t>111</w:t>
                          </w:r>
                        </w:p>
                      </w:txbxContent>
                    </wps:txbx>
                    <wps:bodyPr wrap="none" lIns="0" tIns="0" rIns="0" bIns="0" upright="true">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zql5uc8AAAAFAQAADwAAAAAAAAABACAAAAA4AAAAZHJzL2Rvd25yZXYueG1s&#10;UEsBAhQAFAAAAAgAh07iQNeHCK+yAQAAUQMAAA4AAAAAAAAAAQAgAAAANAEAAGRycy9lMm9Eb2Mu&#10;eG1sUEsFBgAAAAAGAAYAWQEAAFgFAAAAAA==&#10;">
              <v:fill on="f" focussize="0,0"/>
              <v:stroke on="f"/>
              <v:imagedata o:title=""/>
              <o:lock v:ext="edit" aspectratio="f"/>
              <v:textbox inset="0mm,0mm,0mm,0mm" style="mso-fit-shape-to-text:t;">
                <w:txbxContent>
                  <w:p>
                    <w:pPr>
                      <w:pStyle w:val="10"/>
                      <w:rPr>
                        <w:rFonts w:hint="default" w:asciiTheme="minorEastAsia" w:hAnsiTheme="minorEastAsia" w:eastAsiaTheme="minorEastAsia" w:cstheme="minorEastAsia"/>
                        <w:color w:val="FFFFFF" w:themeColor="background1"/>
                        <w:sz w:val="28"/>
                        <w:szCs w:val="28"/>
                        <w:lang w:val="en-US"/>
                        <w14:textFill>
                          <w14:solidFill>
                            <w14:schemeClr w14:val="bg1"/>
                          </w14:solidFill>
                        </w14:textFill>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color w:val="FFFFFF" w:themeColor="background1"/>
                        <w:sz w:val="28"/>
                        <w:szCs w:val="28"/>
                        <w:lang w:val="en-US" w:eastAsia="zh-CN"/>
                        <w14:textFill>
                          <w14:solidFill>
                            <w14:schemeClr w14:val="bg1"/>
                          </w14:solidFill>
                        </w14:textFill>
                      </w:rPr>
                      <w:t>111</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pPr>
    <w: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-31115</wp:posOffset>
              </wp:positionV>
              <wp:extent cx="889000" cy="261620"/>
              <wp:effectExtent l="0" t="0" r="0" b="0"/>
              <wp:wrapNone/>
              <wp:docPr id="4" name="文本框 2"/>
              <wp:cNvGraphicFramePr/>
              <a:graphic xmlns:a="http://schemas.openxmlformats.org/drawingml/2006/main">
                <a:graphicData uri="http://schemas.microsoft.com/office/word/2010/wordprocessingShape">
                  <wps:wsp>
                    <wps:cNvSpPr txBox="true"/>
                    <wps:spPr>
                      <a:xfrm>
                        <a:off x="0" y="0"/>
                        <a:ext cx="889000" cy="261620"/>
                      </a:xfrm>
                      <a:prstGeom prst="rect">
                        <a:avLst/>
                      </a:prstGeom>
                      <a:noFill/>
                      <a:ln>
                        <a:noFill/>
                      </a:ln>
                    </wps:spPr>
                    <wps:txbx>
                      <w:txbxContent>
                        <w:p>
                          <w:pPr>
                            <w:pStyle w:val="10"/>
                            <w:ind w:firstLine="280" w:firstLineChars="100"/>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lIns="0" tIns="0" rIns="0" bIns="0" upright="true"/>
                  </wps:wsp>
                </a:graphicData>
              </a:graphic>
            </wp:anchor>
          </w:drawing>
        </mc:Choice>
        <mc:Fallback>
          <w:pict>
            <v:shape id="文本框 2" o:spid="_x0000_s1026" o:spt="202" type="#_x0000_t202" style="position:absolute;left:0pt;margin-left:0pt;margin-top:-2.45pt;height:20.6pt;width:70pt;mso-position-horizontal-relative:margin;z-index:251659264;mso-width-relative:page;mso-height-relative:page;" filled="f" stroked="f" coordsize="21600,21600" o:gfxdata="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FgAAAGRycy9QSwECFAAUAAAACACHTuJA&#10;Wi5z8NUAAAAGAQAADwAAAAAAAAABACAAAAA4AAAAZHJzL2Rvd25yZXYueG1sUEsBAhQAFAAAAAgA&#10;h07iQE5d1uqgAQAAKQMAAA4AAAAAAAAAAQAgAAAAOgEAAGRycy9lMm9Eb2MueG1sUEsFBgAAAAAG&#10;AAYAWQEAAEwFAAAAAA==&#10;">
              <v:fill on="f" focussize="0,0"/>
              <v:stroke on="f"/>
              <v:imagedata o:title=""/>
              <o:lock v:ext="edit" aspectratio="f"/>
              <v:textbox inset="0mm,0mm,0mm,0mm">
                <w:txbxContent>
                  <w:p>
                    <w:pPr>
                      <w:pStyle w:val="10"/>
                      <w:ind w:firstLine="280" w:firstLineChars="100"/>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true"/>
  <w:embedSystemFonts/>
  <w:mirrorMargins w:val="true"/>
  <w:bordersDoNotSurroundHeader w:val="true"/>
  <w:bordersDoNotSurroundFooter w:val="true"/>
  <w:doNotTrackMoves/>
  <w:documentProtection w:enforcement="0"/>
  <w:defaultTabStop w:val="420"/>
  <w:doNotHyphenateCaps/>
  <w:evenAndOddHeaders w:val="true"/>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41A"/>
    <w:rsid w:val="00005A8E"/>
    <w:rsid w:val="00005C79"/>
    <w:rsid w:val="00006714"/>
    <w:rsid w:val="00012A7D"/>
    <w:rsid w:val="00014B55"/>
    <w:rsid w:val="0001541A"/>
    <w:rsid w:val="000174F8"/>
    <w:rsid w:val="000279DE"/>
    <w:rsid w:val="00040F42"/>
    <w:rsid w:val="00042C1E"/>
    <w:rsid w:val="00043782"/>
    <w:rsid w:val="00046CDC"/>
    <w:rsid w:val="000500DE"/>
    <w:rsid w:val="00050AB6"/>
    <w:rsid w:val="0005551F"/>
    <w:rsid w:val="000555E8"/>
    <w:rsid w:val="0005757A"/>
    <w:rsid w:val="00057E2F"/>
    <w:rsid w:val="0006121D"/>
    <w:rsid w:val="000632DE"/>
    <w:rsid w:val="0007285F"/>
    <w:rsid w:val="000731DC"/>
    <w:rsid w:val="00095D9B"/>
    <w:rsid w:val="000A0436"/>
    <w:rsid w:val="000A0BF9"/>
    <w:rsid w:val="000A52E3"/>
    <w:rsid w:val="000B07FC"/>
    <w:rsid w:val="000B0E31"/>
    <w:rsid w:val="000B1481"/>
    <w:rsid w:val="000B4F42"/>
    <w:rsid w:val="000C1F35"/>
    <w:rsid w:val="000C6BD5"/>
    <w:rsid w:val="000E1666"/>
    <w:rsid w:val="000E1DBF"/>
    <w:rsid w:val="000E1FCB"/>
    <w:rsid w:val="000E5D58"/>
    <w:rsid w:val="000E66B6"/>
    <w:rsid w:val="000E6F78"/>
    <w:rsid w:val="000F0811"/>
    <w:rsid w:val="000F2B69"/>
    <w:rsid w:val="000F361E"/>
    <w:rsid w:val="000F5300"/>
    <w:rsid w:val="001108A4"/>
    <w:rsid w:val="0011594C"/>
    <w:rsid w:val="00115AB2"/>
    <w:rsid w:val="001176E9"/>
    <w:rsid w:val="001232F1"/>
    <w:rsid w:val="00126E43"/>
    <w:rsid w:val="0013696E"/>
    <w:rsid w:val="00143383"/>
    <w:rsid w:val="00152A1D"/>
    <w:rsid w:val="00154195"/>
    <w:rsid w:val="00162A35"/>
    <w:rsid w:val="001669BA"/>
    <w:rsid w:val="00166B11"/>
    <w:rsid w:val="00167685"/>
    <w:rsid w:val="00174487"/>
    <w:rsid w:val="00175A64"/>
    <w:rsid w:val="00176B29"/>
    <w:rsid w:val="00185DA0"/>
    <w:rsid w:val="001A18D5"/>
    <w:rsid w:val="001A2B9F"/>
    <w:rsid w:val="001A575B"/>
    <w:rsid w:val="001B0DE2"/>
    <w:rsid w:val="001B1321"/>
    <w:rsid w:val="001B3500"/>
    <w:rsid w:val="001C0D05"/>
    <w:rsid w:val="001C1926"/>
    <w:rsid w:val="001C22F9"/>
    <w:rsid w:val="001C4DFE"/>
    <w:rsid w:val="001D1B30"/>
    <w:rsid w:val="001D6BD1"/>
    <w:rsid w:val="001D7B0C"/>
    <w:rsid w:val="001E573E"/>
    <w:rsid w:val="001F3815"/>
    <w:rsid w:val="00214A6A"/>
    <w:rsid w:val="00216186"/>
    <w:rsid w:val="00216884"/>
    <w:rsid w:val="002210C1"/>
    <w:rsid w:val="00223F94"/>
    <w:rsid w:val="002325C1"/>
    <w:rsid w:val="0025463F"/>
    <w:rsid w:val="00255612"/>
    <w:rsid w:val="00256904"/>
    <w:rsid w:val="00260A24"/>
    <w:rsid w:val="00260EC8"/>
    <w:rsid w:val="00270076"/>
    <w:rsid w:val="00275A5B"/>
    <w:rsid w:val="0028758E"/>
    <w:rsid w:val="00293872"/>
    <w:rsid w:val="00295C68"/>
    <w:rsid w:val="002A3F70"/>
    <w:rsid w:val="002A60F8"/>
    <w:rsid w:val="002B1271"/>
    <w:rsid w:val="002C008E"/>
    <w:rsid w:val="002C0AD9"/>
    <w:rsid w:val="002C1A96"/>
    <w:rsid w:val="002D0029"/>
    <w:rsid w:val="002D692A"/>
    <w:rsid w:val="002D77B2"/>
    <w:rsid w:val="002E2CF6"/>
    <w:rsid w:val="002E3409"/>
    <w:rsid w:val="002E4023"/>
    <w:rsid w:val="002E7230"/>
    <w:rsid w:val="002F02EF"/>
    <w:rsid w:val="002F247B"/>
    <w:rsid w:val="002F3F4F"/>
    <w:rsid w:val="00300640"/>
    <w:rsid w:val="00300982"/>
    <w:rsid w:val="0030182E"/>
    <w:rsid w:val="00301C40"/>
    <w:rsid w:val="00305109"/>
    <w:rsid w:val="003067BF"/>
    <w:rsid w:val="00307C83"/>
    <w:rsid w:val="00311680"/>
    <w:rsid w:val="00323706"/>
    <w:rsid w:val="00324ECE"/>
    <w:rsid w:val="00325C51"/>
    <w:rsid w:val="00330D2B"/>
    <w:rsid w:val="003369F9"/>
    <w:rsid w:val="00341509"/>
    <w:rsid w:val="00342E88"/>
    <w:rsid w:val="0035741D"/>
    <w:rsid w:val="00357582"/>
    <w:rsid w:val="003600DB"/>
    <w:rsid w:val="00373844"/>
    <w:rsid w:val="00375723"/>
    <w:rsid w:val="003801F5"/>
    <w:rsid w:val="003825EF"/>
    <w:rsid w:val="00385B5E"/>
    <w:rsid w:val="00395C80"/>
    <w:rsid w:val="003A0027"/>
    <w:rsid w:val="003A3326"/>
    <w:rsid w:val="003B0A4F"/>
    <w:rsid w:val="003C345D"/>
    <w:rsid w:val="003C3F8A"/>
    <w:rsid w:val="003D40DF"/>
    <w:rsid w:val="003D6199"/>
    <w:rsid w:val="003E0A2A"/>
    <w:rsid w:val="003E0ED2"/>
    <w:rsid w:val="0041674E"/>
    <w:rsid w:val="004264E7"/>
    <w:rsid w:val="00430622"/>
    <w:rsid w:val="00437F45"/>
    <w:rsid w:val="00443225"/>
    <w:rsid w:val="00445EC0"/>
    <w:rsid w:val="004507BD"/>
    <w:rsid w:val="00451BD0"/>
    <w:rsid w:val="004520B8"/>
    <w:rsid w:val="00452630"/>
    <w:rsid w:val="00454A5A"/>
    <w:rsid w:val="004601B1"/>
    <w:rsid w:val="004669ED"/>
    <w:rsid w:val="00472552"/>
    <w:rsid w:val="00496724"/>
    <w:rsid w:val="00497152"/>
    <w:rsid w:val="00497962"/>
    <w:rsid w:val="004A1664"/>
    <w:rsid w:val="004A3381"/>
    <w:rsid w:val="004A4CAB"/>
    <w:rsid w:val="004A67CC"/>
    <w:rsid w:val="004B1ADA"/>
    <w:rsid w:val="004B3934"/>
    <w:rsid w:val="004C04A9"/>
    <w:rsid w:val="004C3B0A"/>
    <w:rsid w:val="004D3608"/>
    <w:rsid w:val="004D4A7B"/>
    <w:rsid w:val="004D51EF"/>
    <w:rsid w:val="004D7011"/>
    <w:rsid w:val="004F2ED4"/>
    <w:rsid w:val="004F3610"/>
    <w:rsid w:val="0050049E"/>
    <w:rsid w:val="0050080D"/>
    <w:rsid w:val="00500BF5"/>
    <w:rsid w:val="005028EB"/>
    <w:rsid w:val="00504708"/>
    <w:rsid w:val="00513247"/>
    <w:rsid w:val="005176CF"/>
    <w:rsid w:val="00520876"/>
    <w:rsid w:val="005342CC"/>
    <w:rsid w:val="00536BF6"/>
    <w:rsid w:val="005425B1"/>
    <w:rsid w:val="00545D11"/>
    <w:rsid w:val="005465D7"/>
    <w:rsid w:val="00547A1F"/>
    <w:rsid w:val="005567ED"/>
    <w:rsid w:val="005578CA"/>
    <w:rsid w:val="00560E2B"/>
    <w:rsid w:val="00560EA0"/>
    <w:rsid w:val="00564BF7"/>
    <w:rsid w:val="00565F68"/>
    <w:rsid w:val="00573E02"/>
    <w:rsid w:val="0057584C"/>
    <w:rsid w:val="005842CE"/>
    <w:rsid w:val="00590090"/>
    <w:rsid w:val="005911BE"/>
    <w:rsid w:val="005921FC"/>
    <w:rsid w:val="0059245F"/>
    <w:rsid w:val="005A2E38"/>
    <w:rsid w:val="005A32E4"/>
    <w:rsid w:val="005A3408"/>
    <w:rsid w:val="005B05AB"/>
    <w:rsid w:val="005B1323"/>
    <w:rsid w:val="005C20FE"/>
    <w:rsid w:val="005D63B2"/>
    <w:rsid w:val="005E31D9"/>
    <w:rsid w:val="005E5D19"/>
    <w:rsid w:val="005E646B"/>
    <w:rsid w:val="00601EF0"/>
    <w:rsid w:val="006214F0"/>
    <w:rsid w:val="00622896"/>
    <w:rsid w:val="00627384"/>
    <w:rsid w:val="00642324"/>
    <w:rsid w:val="00644CD7"/>
    <w:rsid w:val="00654BF1"/>
    <w:rsid w:val="00670929"/>
    <w:rsid w:val="00676686"/>
    <w:rsid w:val="00676F32"/>
    <w:rsid w:val="00677A20"/>
    <w:rsid w:val="00682A7C"/>
    <w:rsid w:val="00682F22"/>
    <w:rsid w:val="006856C1"/>
    <w:rsid w:val="00694D09"/>
    <w:rsid w:val="0069542C"/>
    <w:rsid w:val="006A1C63"/>
    <w:rsid w:val="006B1A84"/>
    <w:rsid w:val="006B535B"/>
    <w:rsid w:val="006C33EE"/>
    <w:rsid w:val="006D1081"/>
    <w:rsid w:val="006D23CE"/>
    <w:rsid w:val="006D3220"/>
    <w:rsid w:val="006D4442"/>
    <w:rsid w:val="006E1EE5"/>
    <w:rsid w:val="006E2C58"/>
    <w:rsid w:val="006F2E1D"/>
    <w:rsid w:val="00700123"/>
    <w:rsid w:val="00706740"/>
    <w:rsid w:val="00710BB5"/>
    <w:rsid w:val="00711E70"/>
    <w:rsid w:val="00714C92"/>
    <w:rsid w:val="00716BAC"/>
    <w:rsid w:val="00724272"/>
    <w:rsid w:val="00725851"/>
    <w:rsid w:val="00725CDF"/>
    <w:rsid w:val="00744105"/>
    <w:rsid w:val="00745F4B"/>
    <w:rsid w:val="00746E72"/>
    <w:rsid w:val="007547B1"/>
    <w:rsid w:val="007576F2"/>
    <w:rsid w:val="007625C0"/>
    <w:rsid w:val="0077508C"/>
    <w:rsid w:val="00776972"/>
    <w:rsid w:val="0078108C"/>
    <w:rsid w:val="00782A6E"/>
    <w:rsid w:val="00782C7B"/>
    <w:rsid w:val="00786CCD"/>
    <w:rsid w:val="00790DD2"/>
    <w:rsid w:val="00790F38"/>
    <w:rsid w:val="00793C1B"/>
    <w:rsid w:val="0079469E"/>
    <w:rsid w:val="0079538C"/>
    <w:rsid w:val="007978DF"/>
    <w:rsid w:val="007B0AF6"/>
    <w:rsid w:val="007B1C19"/>
    <w:rsid w:val="007B763F"/>
    <w:rsid w:val="007C1788"/>
    <w:rsid w:val="007D1A66"/>
    <w:rsid w:val="007D2A89"/>
    <w:rsid w:val="007D6BC7"/>
    <w:rsid w:val="007D71DA"/>
    <w:rsid w:val="007D79F6"/>
    <w:rsid w:val="007D7A68"/>
    <w:rsid w:val="007E0D6E"/>
    <w:rsid w:val="007E4D59"/>
    <w:rsid w:val="007E579F"/>
    <w:rsid w:val="007E6977"/>
    <w:rsid w:val="007F21CE"/>
    <w:rsid w:val="007F61D4"/>
    <w:rsid w:val="007F639A"/>
    <w:rsid w:val="008139AC"/>
    <w:rsid w:val="008221EF"/>
    <w:rsid w:val="008309A8"/>
    <w:rsid w:val="00831DB3"/>
    <w:rsid w:val="008356C5"/>
    <w:rsid w:val="00841E8F"/>
    <w:rsid w:val="00845F1A"/>
    <w:rsid w:val="00846847"/>
    <w:rsid w:val="008508A5"/>
    <w:rsid w:val="00852605"/>
    <w:rsid w:val="00857383"/>
    <w:rsid w:val="00863722"/>
    <w:rsid w:val="00865580"/>
    <w:rsid w:val="008662F6"/>
    <w:rsid w:val="008743D3"/>
    <w:rsid w:val="00875849"/>
    <w:rsid w:val="00877A88"/>
    <w:rsid w:val="00880486"/>
    <w:rsid w:val="00884351"/>
    <w:rsid w:val="00887177"/>
    <w:rsid w:val="008A4224"/>
    <w:rsid w:val="008A55C8"/>
    <w:rsid w:val="008A5953"/>
    <w:rsid w:val="008B1705"/>
    <w:rsid w:val="008B3CC6"/>
    <w:rsid w:val="008D5042"/>
    <w:rsid w:val="008E14D8"/>
    <w:rsid w:val="008E217B"/>
    <w:rsid w:val="008E586F"/>
    <w:rsid w:val="008F0987"/>
    <w:rsid w:val="008F6155"/>
    <w:rsid w:val="008F6D3B"/>
    <w:rsid w:val="008F7E62"/>
    <w:rsid w:val="009051CF"/>
    <w:rsid w:val="00906950"/>
    <w:rsid w:val="009073D0"/>
    <w:rsid w:val="009078E2"/>
    <w:rsid w:val="00907914"/>
    <w:rsid w:val="00911960"/>
    <w:rsid w:val="00911C41"/>
    <w:rsid w:val="009144C3"/>
    <w:rsid w:val="00917932"/>
    <w:rsid w:val="00926276"/>
    <w:rsid w:val="00931A67"/>
    <w:rsid w:val="00932073"/>
    <w:rsid w:val="009405C5"/>
    <w:rsid w:val="00941528"/>
    <w:rsid w:val="00943037"/>
    <w:rsid w:val="0094414C"/>
    <w:rsid w:val="00952674"/>
    <w:rsid w:val="00954702"/>
    <w:rsid w:val="009642E3"/>
    <w:rsid w:val="00972FC3"/>
    <w:rsid w:val="00980A40"/>
    <w:rsid w:val="00997867"/>
    <w:rsid w:val="009A50C6"/>
    <w:rsid w:val="009C4420"/>
    <w:rsid w:val="009C4AE9"/>
    <w:rsid w:val="009D0A0C"/>
    <w:rsid w:val="009D7731"/>
    <w:rsid w:val="009E27A2"/>
    <w:rsid w:val="009E407A"/>
    <w:rsid w:val="009E40B0"/>
    <w:rsid w:val="009F0D48"/>
    <w:rsid w:val="009F604D"/>
    <w:rsid w:val="00A030E3"/>
    <w:rsid w:val="00A05CCD"/>
    <w:rsid w:val="00A10723"/>
    <w:rsid w:val="00A20954"/>
    <w:rsid w:val="00A21505"/>
    <w:rsid w:val="00A24C54"/>
    <w:rsid w:val="00A24E59"/>
    <w:rsid w:val="00A361A3"/>
    <w:rsid w:val="00A42A79"/>
    <w:rsid w:val="00A44A2C"/>
    <w:rsid w:val="00A50D7D"/>
    <w:rsid w:val="00A51AB9"/>
    <w:rsid w:val="00A56F6E"/>
    <w:rsid w:val="00A64E8D"/>
    <w:rsid w:val="00A665D0"/>
    <w:rsid w:val="00A6722C"/>
    <w:rsid w:val="00A67916"/>
    <w:rsid w:val="00A727BB"/>
    <w:rsid w:val="00A7413C"/>
    <w:rsid w:val="00A93310"/>
    <w:rsid w:val="00AA4BC2"/>
    <w:rsid w:val="00AB1A8C"/>
    <w:rsid w:val="00AB4FAA"/>
    <w:rsid w:val="00AC1652"/>
    <w:rsid w:val="00AD1D1A"/>
    <w:rsid w:val="00AD403A"/>
    <w:rsid w:val="00AE132B"/>
    <w:rsid w:val="00AE20B2"/>
    <w:rsid w:val="00AE3D9A"/>
    <w:rsid w:val="00AE5E0F"/>
    <w:rsid w:val="00AF0810"/>
    <w:rsid w:val="00AF0A9F"/>
    <w:rsid w:val="00AF18F3"/>
    <w:rsid w:val="00B015FA"/>
    <w:rsid w:val="00B01CB7"/>
    <w:rsid w:val="00B11DDD"/>
    <w:rsid w:val="00B25B1B"/>
    <w:rsid w:val="00B3610B"/>
    <w:rsid w:val="00B4111C"/>
    <w:rsid w:val="00B51771"/>
    <w:rsid w:val="00B538A8"/>
    <w:rsid w:val="00B60FE9"/>
    <w:rsid w:val="00B62171"/>
    <w:rsid w:val="00B62A4B"/>
    <w:rsid w:val="00B7125E"/>
    <w:rsid w:val="00B71DD8"/>
    <w:rsid w:val="00B7250F"/>
    <w:rsid w:val="00B84728"/>
    <w:rsid w:val="00B84BF9"/>
    <w:rsid w:val="00B915F0"/>
    <w:rsid w:val="00BA1E4D"/>
    <w:rsid w:val="00BB128B"/>
    <w:rsid w:val="00BB19AC"/>
    <w:rsid w:val="00BB2833"/>
    <w:rsid w:val="00BB4D3C"/>
    <w:rsid w:val="00BC1EC2"/>
    <w:rsid w:val="00BC4BFB"/>
    <w:rsid w:val="00BD1E25"/>
    <w:rsid w:val="00BD7F7B"/>
    <w:rsid w:val="00BE1CF6"/>
    <w:rsid w:val="00BE575D"/>
    <w:rsid w:val="00BF0C60"/>
    <w:rsid w:val="00BF2711"/>
    <w:rsid w:val="00BF430A"/>
    <w:rsid w:val="00BF4B85"/>
    <w:rsid w:val="00BF5D9B"/>
    <w:rsid w:val="00BF714E"/>
    <w:rsid w:val="00C04AD2"/>
    <w:rsid w:val="00C0569C"/>
    <w:rsid w:val="00C120CC"/>
    <w:rsid w:val="00C12240"/>
    <w:rsid w:val="00C133F3"/>
    <w:rsid w:val="00C13D9C"/>
    <w:rsid w:val="00C20061"/>
    <w:rsid w:val="00C23868"/>
    <w:rsid w:val="00C27205"/>
    <w:rsid w:val="00C310B7"/>
    <w:rsid w:val="00C36585"/>
    <w:rsid w:val="00C37BE2"/>
    <w:rsid w:val="00C5295B"/>
    <w:rsid w:val="00C61F26"/>
    <w:rsid w:val="00C62206"/>
    <w:rsid w:val="00C625AE"/>
    <w:rsid w:val="00C70818"/>
    <w:rsid w:val="00C7125C"/>
    <w:rsid w:val="00C77B37"/>
    <w:rsid w:val="00C90E77"/>
    <w:rsid w:val="00C92CBC"/>
    <w:rsid w:val="00C956D4"/>
    <w:rsid w:val="00C9727C"/>
    <w:rsid w:val="00CA66B3"/>
    <w:rsid w:val="00CB13D8"/>
    <w:rsid w:val="00CB2F3A"/>
    <w:rsid w:val="00CC0C56"/>
    <w:rsid w:val="00CC5EF9"/>
    <w:rsid w:val="00CC7D35"/>
    <w:rsid w:val="00CD2D19"/>
    <w:rsid w:val="00CD32BC"/>
    <w:rsid w:val="00CD6A59"/>
    <w:rsid w:val="00CD6FDB"/>
    <w:rsid w:val="00CE402A"/>
    <w:rsid w:val="00CE49B1"/>
    <w:rsid w:val="00CF17CF"/>
    <w:rsid w:val="00CF4EC6"/>
    <w:rsid w:val="00CF54D7"/>
    <w:rsid w:val="00CF5E2B"/>
    <w:rsid w:val="00CF7396"/>
    <w:rsid w:val="00D1189A"/>
    <w:rsid w:val="00D12C24"/>
    <w:rsid w:val="00D172A2"/>
    <w:rsid w:val="00D2312F"/>
    <w:rsid w:val="00D232B1"/>
    <w:rsid w:val="00D31458"/>
    <w:rsid w:val="00D31DA2"/>
    <w:rsid w:val="00D35976"/>
    <w:rsid w:val="00D42412"/>
    <w:rsid w:val="00D4259E"/>
    <w:rsid w:val="00D44450"/>
    <w:rsid w:val="00D514A3"/>
    <w:rsid w:val="00D61D37"/>
    <w:rsid w:val="00D6232F"/>
    <w:rsid w:val="00D63C41"/>
    <w:rsid w:val="00D67736"/>
    <w:rsid w:val="00D67EB9"/>
    <w:rsid w:val="00D7173F"/>
    <w:rsid w:val="00D7422F"/>
    <w:rsid w:val="00D749F1"/>
    <w:rsid w:val="00D833EE"/>
    <w:rsid w:val="00D85D57"/>
    <w:rsid w:val="00D9061C"/>
    <w:rsid w:val="00D95355"/>
    <w:rsid w:val="00D96F96"/>
    <w:rsid w:val="00DB1721"/>
    <w:rsid w:val="00DB57FB"/>
    <w:rsid w:val="00DB7C3A"/>
    <w:rsid w:val="00DC01F0"/>
    <w:rsid w:val="00DC18B3"/>
    <w:rsid w:val="00DD0D0D"/>
    <w:rsid w:val="00DD1493"/>
    <w:rsid w:val="00DD24A0"/>
    <w:rsid w:val="00DD542D"/>
    <w:rsid w:val="00DE1F2D"/>
    <w:rsid w:val="00DF4FC2"/>
    <w:rsid w:val="00DF50F2"/>
    <w:rsid w:val="00DF511A"/>
    <w:rsid w:val="00DF5579"/>
    <w:rsid w:val="00DF7688"/>
    <w:rsid w:val="00E030BD"/>
    <w:rsid w:val="00E066DF"/>
    <w:rsid w:val="00E1075E"/>
    <w:rsid w:val="00E108B6"/>
    <w:rsid w:val="00E1106F"/>
    <w:rsid w:val="00E11E74"/>
    <w:rsid w:val="00E17E5F"/>
    <w:rsid w:val="00E245A5"/>
    <w:rsid w:val="00E24641"/>
    <w:rsid w:val="00E33135"/>
    <w:rsid w:val="00E334AE"/>
    <w:rsid w:val="00E33931"/>
    <w:rsid w:val="00E35B26"/>
    <w:rsid w:val="00E37080"/>
    <w:rsid w:val="00E5356A"/>
    <w:rsid w:val="00E665CD"/>
    <w:rsid w:val="00E77E47"/>
    <w:rsid w:val="00E842D5"/>
    <w:rsid w:val="00E84332"/>
    <w:rsid w:val="00E920D1"/>
    <w:rsid w:val="00E94E27"/>
    <w:rsid w:val="00EA0F90"/>
    <w:rsid w:val="00EB437E"/>
    <w:rsid w:val="00EB5469"/>
    <w:rsid w:val="00EB58E4"/>
    <w:rsid w:val="00EB648D"/>
    <w:rsid w:val="00EB6C4F"/>
    <w:rsid w:val="00EC79DF"/>
    <w:rsid w:val="00ED1C45"/>
    <w:rsid w:val="00ED4F30"/>
    <w:rsid w:val="00ED69CF"/>
    <w:rsid w:val="00EE359C"/>
    <w:rsid w:val="00EE576C"/>
    <w:rsid w:val="00EF4032"/>
    <w:rsid w:val="00EF5B98"/>
    <w:rsid w:val="00F00288"/>
    <w:rsid w:val="00F073E2"/>
    <w:rsid w:val="00F11D49"/>
    <w:rsid w:val="00F13EF8"/>
    <w:rsid w:val="00F21387"/>
    <w:rsid w:val="00F22F81"/>
    <w:rsid w:val="00F2517F"/>
    <w:rsid w:val="00F27D20"/>
    <w:rsid w:val="00F32993"/>
    <w:rsid w:val="00F3417B"/>
    <w:rsid w:val="00F41DD4"/>
    <w:rsid w:val="00F5217D"/>
    <w:rsid w:val="00F60D9F"/>
    <w:rsid w:val="00F62FE5"/>
    <w:rsid w:val="00F63207"/>
    <w:rsid w:val="00F66539"/>
    <w:rsid w:val="00F72C00"/>
    <w:rsid w:val="00F73D61"/>
    <w:rsid w:val="00F77379"/>
    <w:rsid w:val="00F80D26"/>
    <w:rsid w:val="00F829F1"/>
    <w:rsid w:val="00F84631"/>
    <w:rsid w:val="00F85CE5"/>
    <w:rsid w:val="00FA4C69"/>
    <w:rsid w:val="00FA699A"/>
    <w:rsid w:val="00FB0EBC"/>
    <w:rsid w:val="00FB3455"/>
    <w:rsid w:val="00FB6D80"/>
    <w:rsid w:val="00FC43A0"/>
    <w:rsid w:val="00FD199F"/>
    <w:rsid w:val="00FD653C"/>
    <w:rsid w:val="00FE4592"/>
    <w:rsid w:val="00FE6348"/>
    <w:rsid w:val="00FF1864"/>
    <w:rsid w:val="00FF18D1"/>
    <w:rsid w:val="00FF7A3D"/>
    <w:rsid w:val="09237FCC"/>
    <w:rsid w:val="0A9D65EF"/>
    <w:rsid w:val="138F7942"/>
    <w:rsid w:val="19E30B80"/>
    <w:rsid w:val="1E1B7354"/>
    <w:rsid w:val="1FD767CD"/>
    <w:rsid w:val="2087190B"/>
    <w:rsid w:val="24C40A94"/>
    <w:rsid w:val="2D777809"/>
    <w:rsid w:val="2F3A19C7"/>
    <w:rsid w:val="306213D6"/>
    <w:rsid w:val="30BF16A0"/>
    <w:rsid w:val="32A81BE5"/>
    <w:rsid w:val="397579F3"/>
    <w:rsid w:val="3DFEF58C"/>
    <w:rsid w:val="3F736297"/>
    <w:rsid w:val="40C47341"/>
    <w:rsid w:val="43D272FE"/>
    <w:rsid w:val="43D555B2"/>
    <w:rsid w:val="43F412DC"/>
    <w:rsid w:val="4A4022D4"/>
    <w:rsid w:val="4B527051"/>
    <w:rsid w:val="4BAE2602"/>
    <w:rsid w:val="4D426F37"/>
    <w:rsid w:val="4DBF7F34"/>
    <w:rsid w:val="50844DD5"/>
    <w:rsid w:val="50B744E4"/>
    <w:rsid w:val="50E3283C"/>
    <w:rsid w:val="513F2901"/>
    <w:rsid w:val="54F123D9"/>
    <w:rsid w:val="55397433"/>
    <w:rsid w:val="5A577803"/>
    <w:rsid w:val="61AC25B5"/>
    <w:rsid w:val="661B671E"/>
    <w:rsid w:val="680272AC"/>
    <w:rsid w:val="681C1618"/>
    <w:rsid w:val="6BD47BD2"/>
    <w:rsid w:val="71270E53"/>
    <w:rsid w:val="75542744"/>
    <w:rsid w:val="7CAA993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0" w:semiHidden="0" w:name="Emphasis"/>
    <w:lsdException w:qFormat="1" w:unhideWhenUsed="0"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20"/>
    <w:qFormat/>
    <w:uiPriority w:val="99"/>
    <w:pPr>
      <w:keepNext/>
      <w:keepLines/>
      <w:spacing w:before="340" w:after="330" w:line="578" w:lineRule="auto"/>
      <w:outlineLvl w:val="0"/>
    </w:pPr>
    <w:rPr>
      <w:b/>
      <w:bCs/>
      <w:kern w:val="44"/>
      <w:sz w:val="44"/>
      <w:szCs w:val="44"/>
    </w:rPr>
  </w:style>
  <w:style w:type="paragraph" w:styleId="4">
    <w:name w:val="heading 3"/>
    <w:basedOn w:val="1"/>
    <w:next w:val="1"/>
    <w:link w:val="21"/>
    <w:qFormat/>
    <w:uiPriority w:val="99"/>
    <w:pPr>
      <w:keepNext/>
      <w:keepLines/>
      <w:spacing w:before="260" w:after="260" w:line="415" w:lineRule="auto"/>
      <w:outlineLvl w:val="2"/>
    </w:pPr>
    <w:rPr>
      <w:b/>
      <w:bCs/>
      <w:sz w:val="32"/>
      <w:szCs w:val="32"/>
    </w:rPr>
  </w:style>
  <w:style w:type="paragraph" w:styleId="5">
    <w:name w:val="heading 4"/>
    <w:basedOn w:val="1"/>
    <w:next w:val="1"/>
    <w:link w:val="31"/>
    <w:semiHidden/>
    <w:unhideWhenUsed/>
    <w:qFormat/>
    <w:uiPriority w:val="0"/>
    <w:pPr>
      <w:keepNext/>
      <w:keepLines/>
      <w:spacing w:before="280" w:after="290" w:line="376" w:lineRule="auto"/>
      <w:outlineLvl w:val="3"/>
    </w:pPr>
    <w:rPr>
      <w:rFonts w:ascii="Cambria" w:hAnsi="Cambria"/>
      <w:b/>
      <w:b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常用样式（方正仿宋简）"/>
    <w:basedOn w:val="1"/>
    <w:qFormat/>
    <w:uiPriority w:val="99"/>
    <w:pPr>
      <w:spacing w:line="560" w:lineRule="exact"/>
      <w:ind w:firstLine="640" w:firstLineChars="200"/>
    </w:pPr>
    <w:rPr>
      <w:rFonts w:eastAsia="方正仿宋简体"/>
      <w:sz w:val="32"/>
    </w:rPr>
  </w:style>
  <w:style w:type="paragraph" w:styleId="6">
    <w:name w:val="Document Map"/>
    <w:basedOn w:val="1"/>
    <w:link w:val="30"/>
    <w:semiHidden/>
    <w:qFormat/>
    <w:locked/>
    <w:uiPriority w:val="99"/>
    <w:pPr>
      <w:shd w:val="clear" w:color="auto" w:fill="000080"/>
    </w:pPr>
  </w:style>
  <w:style w:type="paragraph" w:styleId="7">
    <w:name w:val="Plain Text"/>
    <w:basedOn w:val="1"/>
    <w:link w:val="22"/>
    <w:qFormat/>
    <w:uiPriority w:val="99"/>
    <w:rPr>
      <w:rFonts w:ascii="宋体" w:cs="宋体"/>
    </w:rPr>
  </w:style>
  <w:style w:type="paragraph" w:styleId="8">
    <w:name w:val="Date"/>
    <w:basedOn w:val="1"/>
    <w:next w:val="1"/>
    <w:link w:val="23"/>
    <w:qFormat/>
    <w:uiPriority w:val="99"/>
    <w:pPr>
      <w:ind w:left="2500" w:leftChars="2500"/>
    </w:pPr>
    <w:rPr>
      <w:rFonts w:ascii="仿宋_GB2312" w:eastAsia="仿宋_GB2312" w:cs="仿宋_GB2312"/>
      <w:sz w:val="32"/>
      <w:szCs w:val="32"/>
    </w:rPr>
  </w:style>
  <w:style w:type="paragraph" w:styleId="9">
    <w:name w:val="Balloon Text"/>
    <w:basedOn w:val="1"/>
    <w:link w:val="24"/>
    <w:semiHidden/>
    <w:qFormat/>
    <w:uiPriority w:val="99"/>
    <w:rPr>
      <w:sz w:val="18"/>
      <w:szCs w:val="18"/>
    </w:rPr>
  </w:style>
  <w:style w:type="paragraph" w:styleId="10">
    <w:name w:val="footer"/>
    <w:basedOn w:val="1"/>
    <w:link w:val="25"/>
    <w:qFormat/>
    <w:uiPriority w:val="99"/>
    <w:pPr>
      <w:tabs>
        <w:tab w:val="center" w:pos="4153"/>
        <w:tab w:val="right" w:pos="8306"/>
      </w:tabs>
      <w:snapToGrid w:val="0"/>
      <w:jc w:val="left"/>
    </w:pPr>
    <w:rPr>
      <w:sz w:val="18"/>
      <w:szCs w:val="18"/>
    </w:rPr>
  </w:style>
  <w:style w:type="paragraph" w:styleId="11">
    <w:name w:val="header"/>
    <w:basedOn w:val="1"/>
    <w:link w:val="26"/>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99"/>
    <w:pPr>
      <w:adjustRightInd w:val="0"/>
      <w:spacing w:line="312" w:lineRule="atLeast"/>
      <w:textAlignment w:val="baseline"/>
    </w:pPr>
    <w:rPr>
      <w:kern w:val="0"/>
      <w:sz w:val="24"/>
      <w:szCs w:val="24"/>
    </w:rPr>
  </w:style>
  <w:style w:type="paragraph" w:styleId="13">
    <w:name w:val="Title"/>
    <w:basedOn w:val="1"/>
    <w:next w:val="1"/>
    <w:link w:val="27"/>
    <w:qFormat/>
    <w:uiPriority w:val="99"/>
    <w:pPr>
      <w:spacing w:before="240" w:after="60"/>
      <w:jc w:val="center"/>
      <w:outlineLvl w:val="0"/>
    </w:pPr>
    <w:rPr>
      <w:rFonts w:ascii="Cambria" w:hAnsi="Cambria" w:cs="Cambria"/>
      <w:b/>
      <w:bCs/>
      <w:sz w:val="32"/>
      <w:szCs w:val="32"/>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99"/>
    <w:rPr>
      <w:rFonts w:cs="Times New Roman"/>
      <w:b/>
      <w:bCs/>
    </w:rPr>
  </w:style>
  <w:style w:type="character" w:styleId="18">
    <w:name w:val="page number"/>
    <w:basedOn w:val="16"/>
    <w:qFormat/>
    <w:uiPriority w:val="99"/>
    <w:rPr>
      <w:rFonts w:cs="Times New Roman"/>
    </w:rPr>
  </w:style>
  <w:style w:type="character" w:styleId="19">
    <w:name w:val="Hyperlink"/>
    <w:basedOn w:val="16"/>
    <w:qFormat/>
    <w:uiPriority w:val="99"/>
    <w:rPr>
      <w:rFonts w:cs="Times New Roman"/>
      <w:color w:val="0000FF"/>
      <w:u w:val="single"/>
    </w:rPr>
  </w:style>
  <w:style w:type="character" w:customStyle="1" w:styleId="20">
    <w:name w:val="标题 1 Char"/>
    <w:basedOn w:val="16"/>
    <w:link w:val="3"/>
    <w:qFormat/>
    <w:locked/>
    <w:uiPriority w:val="99"/>
    <w:rPr>
      <w:rFonts w:eastAsia="宋体" w:cs="Times New Roman"/>
      <w:b/>
      <w:bCs/>
      <w:kern w:val="44"/>
      <w:sz w:val="44"/>
      <w:szCs w:val="44"/>
    </w:rPr>
  </w:style>
  <w:style w:type="character" w:customStyle="1" w:styleId="21">
    <w:name w:val="标题 3 Char"/>
    <w:basedOn w:val="16"/>
    <w:link w:val="4"/>
    <w:semiHidden/>
    <w:qFormat/>
    <w:locked/>
    <w:uiPriority w:val="99"/>
    <w:rPr>
      <w:rFonts w:eastAsia="宋体" w:cs="Times New Roman"/>
      <w:b/>
      <w:bCs/>
      <w:sz w:val="32"/>
      <w:szCs w:val="32"/>
    </w:rPr>
  </w:style>
  <w:style w:type="character" w:customStyle="1" w:styleId="22">
    <w:name w:val="纯文本 Char"/>
    <w:basedOn w:val="16"/>
    <w:link w:val="7"/>
    <w:semiHidden/>
    <w:qFormat/>
    <w:locked/>
    <w:uiPriority w:val="99"/>
    <w:rPr>
      <w:rFonts w:ascii="宋体" w:hAnsi="Courier New" w:eastAsia="宋体" w:cs="宋体"/>
      <w:sz w:val="21"/>
      <w:szCs w:val="21"/>
    </w:rPr>
  </w:style>
  <w:style w:type="character" w:customStyle="1" w:styleId="23">
    <w:name w:val="日期 Char"/>
    <w:basedOn w:val="16"/>
    <w:link w:val="8"/>
    <w:semiHidden/>
    <w:qFormat/>
    <w:locked/>
    <w:uiPriority w:val="99"/>
    <w:rPr>
      <w:rFonts w:eastAsia="宋体" w:cs="Times New Roman"/>
      <w:sz w:val="21"/>
      <w:szCs w:val="21"/>
    </w:rPr>
  </w:style>
  <w:style w:type="character" w:customStyle="1" w:styleId="24">
    <w:name w:val="批注框文本 Char"/>
    <w:basedOn w:val="16"/>
    <w:link w:val="9"/>
    <w:semiHidden/>
    <w:qFormat/>
    <w:locked/>
    <w:uiPriority w:val="99"/>
    <w:rPr>
      <w:rFonts w:eastAsia="宋体" w:cs="Times New Roman"/>
      <w:sz w:val="2"/>
      <w:szCs w:val="2"/>
    </w:rPr>
  </w:style>
  <w:style w:type="character" w:customStyle="1" w:styleId="25">
    <w:name w:val="页脚 Char"/>
    <w:basedOn w:val="16"/>
    <w:link w:val="10"/>
    <w:qFormat/>
    <w:locked/>
    <w:uiPriority w:val="99"/>
    <w:rPr>
      <w:rFonts w:eastAsia="宋体" w:cs="Times New Roman"/>
      <w:sz w:val="18"/>
      <w:szCs w:val="18"/>
    </w:rPr>
  </w:style>
  <w:style w:type="character" w:customStyle="1" w:styleId="26">
    <w:name w:val="页眉 Char"/>
    <w:basedOn w:val="16"/>
    <w:link w:val="11"/>
    <w:semiHidden/>
    <w:qFormat/>
    <w:locked/>
    <w:uiPriority w:val="99"/>
    <w:rPr>
      <w:rFonts w:eastAsia="宋体" w:cs="Times New Roman"/>
      <w:sz w:val="18"/>
      <w:szCs w:val="18"/>
    </w:rPr>
  </w:style>
  <w:style w:type="character" w:customStyle="1" w:styleId="27">
    <w:name w:val="标题 Char"/>
    <w:basedOn w:val="16"/>
    <w:link w:val="13"/>
    <w:qFormat/>
    <w:locked/>
    <w:uiPriority w:val="99"/>
    <w:rPr>
      <w:rFonts w:ascii="Cambria" w:hAnsi="Cambria" w:eastAsia="宋体" w:cs="Cambria"/>
      <w:b/>
      <w:bCs/>
      <w:sz w:val="32"/>
      <w:szCs w:val="32"/>
    </w:rPr>
  </w:style>
  <w:style w:type="paragraph" w:customStyle="1" w:styleId="28">
    <w:name w:val="Char Char Char Char"/>
    <w:basedOn w:val="1"/>
    <w:qFormat/>
    <w:uiPriority w:val="99"/>
    <w:pPr>
      <w:autoSpaceDE w:val="0"/>
      <w:autoSpaceDN w:val="0"/>
    </w:pPr>
    <w:rPr>
      <w:rFonts w:ascii="Tahoma" w:hAnsi="Tahoma" w:cs="Tahoma"/>
      <w:sz w:val="24"/>
      <w:szCs w:val="24"/>
    </w:rPr>
  </w:style>
  <w:style w:type="paragraph" w:styleId="29">
    <w:name w:val="List Paragraph"/>
    <w:basedOn w:val="1"/>
    <w:qFormat/>
    <w:uiPriority w:val="99"/>
    <w:pPr>
      <w:ind w:firstLine="420" w:firstLineChars="200"/>
    </w:pPr>
  </w:style>
  <w:style w:type="character" w:customStyle="1" w:styleId="30">
    <w:name w:val="文档结构图 Char"/>
    <w:basedOn w:val="16"/>
    <w:link w:val="6"/>
    <w:semiHidden/>
    <w:qFormat/>
    <w:uiPriority w:val="99"/>
    <w:rPr>
      <w:sz w:val="0"/>
      <w:szCs w:val="0"/>
    </w:rPr>
  </w:style>
  <w:style w:type="character" w:customStyle="1" w:styleId="31">
    <w:name w:val="标题 4 Char"/>
    <w:basedOn w:val="16"/>
    <w:link w:val="5"/>
    <w:semiHidden/>
    <w:qFormat/>
    <w:uiPriority w:val="0"/>
    <w:rPr>
      <w:rFonts w:ascii="Cambria" w:hAnsi="Cambria" w:eastAsia="宋体" w:cs="Times New Roman"/>
      <w:b/>
      <w:bCs/>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30</Pages>
  <Words>4381</Words>
  <Characters>4456</Characters>
  <Lines>3</Lines>
  <Paragraphs>9</Paragraphs>
  <TotalTime>4</TotalTime>
  <ScaleCrop>false</ScaleCrop>
  <LinksUpToDate>false</LinksUpToDate>
  <CharactersWithSpaces>4525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2020-11-20T07:26:00Z</dcterms:created>
  <dc:creator>2105495</dc:creator>
  <cp:lastModifiedBy>user</cp:lastModifiedBy>
  <cp:lastPrinted>2020-11-27T07:11:00Z</cp:lastPrinted>
  <dcterms:modified xsi:type="dcterms:W3CDTF">2022-06-06T14:42:11Z</dcterms:modified>
  <dc:title>乐山市人民政府文件</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