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700" w:lineRule="exact"/>
        <w:ind w:left="0" w:leftChars="0" w:right="0"/>
        <w:jc w:val="both"/>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五通桥区</w:t>
      </w:r>
      <w:r>
        <w:rPr>
          <w:rFonts w:hint="eastAsia" w:ascii="方正小标宋简体" w:hAnsi="方正小标宋简体" w:eastAsia="方正小标宋简体" w:cs="方正小标宋简体"/>
          <w:sz w:val="44"/>
          <w:szCs w:val="44"/>
        </w:rPr>
        <w:t>食品安全突发事件应急预案（试行）</w:t>
      </w:r>
    </w:p>
    <w:p>
      <w:pPr>
        <w:pStyle w:val="6"/>
        <w:keepNext w:val="0"/>
        <w:keepLines w:val="0"/>
        <w:pageBreakBefore w:val="0"/>
        <w:widowControl/>
        <w:kinsoku/>
        <w:wordWrap/>
        <w:overflowPunct/>
        <w:topLinePunct w:val="0"/>
        <w:autoSpaceDE/>
        <w:autoSpaceDN/>
        <w:bidi w:val="0"/>
        <w:adjustRightInd/>
        <w:snapToGrid/>
        <w:spacing w:line="700" w:lineRule="exact"/>
        <w:textAlignment w:val="auto"/>
        <w:rPr>
          <w:rFonts w:hint="eastAsia"/>
        </w:rPr>
      </w:pPr>
    </w:p>
    <w:p>
      <w:pPr>
        <w:keepNext w:val="0"/>
        <w:keepLines w:val="0"/>
        <w:pageBreakBefore w:val="0"/>
        <w:widowControl/>
        <w:tabs>
          <w:tab w:val="left" w:pos="300"/>
        </w:tabs>
        <w:kinsoku/>
        <w:wordWrap/>
        <w:overflowPunct/>
        <w:topLinePunct w:val="0"/>
        <w:autoSpaceDE/>
        <w:autoSpaceDN/>
        <w:bidi w:val="0"/>
        <w:adjustRightInd/>
        <w:snapToGrid/>
        <w:spacing w:line="600" w:lineRule="exact"/>
        <w:ind w:left="0" w:leftChars="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ab/>
      </w:r>
      <w:r>
        <w:rPr>
          <w:rFonts w:hint="eastAsia" w:ascii="方正小标宋简体" w:hAnsi="方正小标宋简体" w:eastAsia="方正小标宋简体" w:cs="方正小标宋简体"/>
          <w:sz w:val="44"/>
          <w:szCs w:val="44"/>
        </w:rPr>
        <w:t>录</w:t>
      </w:r>
    </w:p>
    <w:p>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lang w:val="en-US" w:eastAsia="zh-CN"/>
        </w:rPr>
      </w:pPr>
    </w:p>
    <w:p>
      <w:pPr>
        <w:keepNext w:val="0"/>
        <w:keepLines w:val="0"/>
        <w:pageBreakBefore w:val="0"/>
        <w:widowControl/>
        <w:numPr>
          <w:ilvl w:val="0"/>
          <w:numId w:val="0"/>
        </w:numPr>
        <w:tabs>
          <w:tab w:val="left" w:pos="1260"/>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1 </w:t>
      </w:r>
      <w:r>
        <w:rPr>
          <w:rFonts w:ascii="黑体" w:hAnsi="黑体" w:eastAsia="黑体" w:cs="黑体"/>
          <w:sz w:val="32"/>
          <w:szCs w:val="32"/>
        </w:rPr>
        <w:t>总则</w:t>
      </w:r>
      <w:r>
        <w:rPr>
          <w:rFonts w:hint="eastAsia" w:ascii="黑体" w:hAnsi="黑体" w:eastAsia="黑体" w:cs="黑体"/>
          <w:sz w:val="32"/>
          <w:szCs w:val="32"/>
          <w:lang w:val="en-US" w:eastAsia="zh-CN"/>
        </w:rPr>
        <w:t>............................................4</w:t>
      </w:r>
    </w:p>
    <w:p>
      <w:pPr>
        <w:keepNext w:val="0"/>
        <w:keepLines w:val="0"/>
        <w:pageBreakBefore w:val="0"/>
        <w:widowControl/>
        <w:numPr>
          <w:ilvl w:val="0"/>
          <w:numId w:val="0"/>
        </w:numPr>
        <w:tabs>
          <w:tab w:val="left" w:pos="1260"/>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eastAsia" w:ascii="黑体" w:hAnsi="黑体" w:eastAsia="仿宋_GB2312" w:cs="黑体"/>
          <w:sz w:val="32"/>
          <w:szCs w:val="32"/>
          <w:lang w:eastAsia="zh-CN"/>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指导思想</w:t>
      </w:r>
      <w:r>
        <w:rPr>
          <w:rFonts w:hint="eastAsia" w:ascii="仿宋_GB2312" w:hAnsi="仿宋_GB2312" w:eastAsia="仿宋_GB2312" w:cs="仿宋_GB2312"/>
          <w:sz w:val="32"/>
          <w:szCs w:val="32"/>
          <w:lang w:val="en-US" w:eastAsia="zh-CN"/>
        </w:rPr>
        <w:t>.....................................4</w:t>
      </w:r>
    </w:p>
    <w:p>
      <w:pPr>
        <w:keepNext w:val="0"/>
        <w:keepLines w:val="0"/>
        <w:pageBreakBefore w:val="0"/>
        <w:widowControl/>
        <w:numPr>
          <w:ilvl w:val="0"/>
          <w:numId w:val="0"/>
        </w:numPr>
        <w:tabs>
          <w:tab w:val="left" w:pos="1260"/>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eastAsia" w:ascii="黑体" w:hAnsi="黑体" w:eastAsia="仿宋_GB2312" w:cs="黑体"/>
          <w:sz w:val="32"/>
          <w:szCs w:val="32"/>
          <w:lang w:eastAsia="zh-CN"/>
        </w:rPr>
      </w:pPr>
      <w:r>
        <w:rPr>
          <w:rFonts w:hint="eastAsia" w:ascii="仿宋_GB2312" w:hAnsi="仿宋_GB2312" w:eastAsia="仿宋_GB2312" w:cs="仿宋_GB2312"/>
          <w:sz w:val="32"/>
          <w:szCs w:val="32"/>
        </w:rPr>
        <w:t>1.2  编制依据</w:t>
      </w:r>
      <w:r>
        <w:rPr>
          <w:rFonts w:hint="eastAsia" w:ascii="仿宋_GB2312" w:hAnsi="仿宋_GB2312" w:eastAsia="仿宋_GB2312" w:cs="仿宋_GB2312"/>
          <w:sz w:val="32"/>
          <w:szCs w:val="32"/>
          <w:lang w:val="en-US" w:eastAsia="zh-CN"/>
        </w:rPr>
        <w:t>.....................................4</w:t>
      </w:r>
    </w:p>
    <w:p>
      <w:pPr>
        <w:keepNext w:val="0"/>
        <w:keepLines w:val="0"/>
        <w:pageBreakBefore w:val="0"/>
        <w:widowControl/>
        <w:numPr>
          <w:ilvl w:val="0"/>
          <w:numId w:val="0"/>
        </w:numPr>
        <w:tabs>
          <w:tab w:val="left" w:pos="1260"/>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1.3  适用范围</w:t>
      </w:r>
      <w:r>
        <w:rPr>
          <w:rFonts w:hint="eastAsia" w:ascii="仿宋_GB2312" w:hAnsi="仿宋_GB2312" w:eastAsia="仿宋_GB2312" w:cs="仿宋_GB2312"/>
          <w:sz w:val="32"/>
          <w:szCs w:val="32"/>
          <w:lang w:val="en-US" w:eastAsia="zh-CN"/>
        </w:rPr>
        <w:t>.....................................4</w:t>
      </w:r>
    </w:p>
    <w:p>
      <w:pPr>
        <w:keepNext w:val="0"/>
        <w:keepLines w:val="0"/>
        <w:pageBreakBefore w:val="0"/>
        <w:widowControl/>
        <w:numPr>
          <w:ilvl w:val="0"/>
          <w:numId w:val="0"/>
        </w:numPr>
        <w:tabs>
          <w:tab w:val="left" w:pos="1260"/>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1.4  事件分级</w:t>
      </w:r>
      <w:r>
        <w:rPr>
          <w:rFonts w:hint="eastAsia" w:ascii="仿宋_GB2312" w:hAnsi="仿宋_GB2312" w:eastAsia="仿宋_GB2312" w:cs="仿宋_GB2312"/>
          <w:sz w:val="32"/>
          <w:szCs w:val="32"/>
          <w:lang w:val="en-US" w:eastAsia="zh-CN"/>
        </w:rPr>
        <w:t>.....................................4</w:t>
      </w:r>
    </w:p>
    <w:p>
      <w:pPr>
        <w:keepNext w:val="0"/>
        <w:keepLines w:val="0"/>
        <w:pageBreakBefore w:val="0"/>
        <w:widowControl/>
        <w:numPr>
          <w:ilvl w:val="0"/>
          <w:numId w:val="0"/>
        </w:numPr>
        <w:tabs>
          <w:tab w:val="left" w:pos="1260"/>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1.5  工作原则</w:t>
      </w:r>
      <w:r>
        <w:rPr>
          <w:rFonts w:hint="eastAsia" w:ascii="仿宋_GB2312" w:hAnsi="仿宋_GB2312" w:eastAsia="仿宋_GB2312" w:cs="仿宋_GB2312"/>
          <w:sz w:val="32"/>
          <w:szCs w:val="32"/>
          <w:lang w:val="en-US" w:eastAsia="zh-CN"/>
        </w:rPr>
        <w:t>.....................................5</w:t>
      </w:r>
    </w:p>
    <w:p>
      <w:pPr>
        <w:keepNext w:val="0"/>
        <w:keepLines w:val="0"/>
        <w:pageBreakBefore w:val="0"/>
        <w:widowControl/>
        <w:numPr>
          <w:ilvl w:val="0"/>
          <w:numId w:val="0"/>
        </w:numPr>
        <w:tabs>
          <w:tab w:val="left" w:pos="1260"/>
        </w:tabs>
        <w:kinsoku/>
        <w:wordWrap/>
        <w:overflowPunct/>
        <w:topLinePunct w:val="0"/>
        <w:autoSpaceDE/>
        <w:autoSpaceDN/>
        <w:bidi w:val="0"/>
        <w:adjustRightInd/>
        <w:snapToGrid/>
        <w:spacing w:after="0" w:line="600" w:lineRule="exact"/>
        <w:ind w:left="0" w:leftChars="0" w:right="0" w:righ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lang w:val="en-US" w:eastAsia="zh-CN"/>
        </w:rPr>
        <w:t xml:space="preserve">2 </w:t>
      </w:r>
      <w:r>
        <w:rPr>
          <w:rFonts w:hint="eastAsia" w:ascii="黑体" w:hAnsi="黑体" w:eastAsia="黑体" w:cs="黑体"/>
          <w:sz w:val="32"/>
          <w:szCs w:val="32"/>
        </w:rPr>
        <w:t>组织指挥体系</w:t>
      </w:r>
      <w:r>
        <w:rPr>
          <w:rFonts w:hint="eastAsia" w:ascii="黑体" w:hAnsi="黑体" w:eastAsia="黑体" w:cs="黑体"/>
          <w:sz w:val="32"/>
          <w:szCs w:val="32"/>
          <w:lang w:val="en-US" w:eastAsia="zh-CN"/>
        </w:rPr>
        <w:t>................................... 6</w:t>
      </w:r>
      <w:r>
        <w:rPr>
          <w:rFonts w:ascii="黑体" w:hAnsi="黑体" w:eastAsia="黑体" w:cs="黑体"/>
          <w:sz w:val="32"/>
          <w:szCs w:val="32"/>
        </w:rPr>
        <w:t xml:space="preserve"> </w:t>
      </w:r>
    </w:p>
    <w:p>
      <w:pPr>
        <w:keepNext w:val="0"/>
        <w:keepLines w:val="0"/>
        <w:pageBreakBefore w:val="0"/>
        <w:widowControl/>
        <w:numPr>
          <w:ilvl w:val="0"/>
          <w:numId w:val="0"/>
        </w:numPr>
        <w:tabs>
          <w:tab w:val="left" w:pos="1260"/>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eastAsia" w:ascii="黑体" w:hAnsi="黑体" w:eastAsia="仿宋_GB2312" w:cs="黑体"/>
          <w:sz w:val="32"/>
          <w:szCs w:val="32"/>
          <w:lang w:eastAsia="zh-CN"/>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指挥</w:t>
      </w:r>
      <w:r>
        <w:rPr>
          <w:rFonts w:hint="eastAsia" w:ascii="仿宋_GB2312" w:hAnsi="仿宋_GB2312" w:eastAsia="仿宋_GB2312" w:cs="仿宋_GB2312"/>
          <w:sz w:val="32"/>
          <w:szCs w:val="32"/>
          <w:lang w:eastAsia="zh-CN"/>
        </w:rPr>
        <w:t>部</w:t>
      </w:r>
      <w:r>
        <w:rPr>
          <w:rFonts w:hint="eastAsia" w:ascii="仿宋_GB2312" w:hAnsi="仿宋_GB2312" w:eastAsia="仿宋_GB2312" w:cs="仿宋_GB2312"/>
          <w:sz w:val="32"/>
          <w:szCs w:val="32"/>
          <w:lang w:val="en-US" w:eastAsia="zh-CN"/>
        </w:rPr>
        <w:t>.....................................6</w:t>
      </w:r>
    </w:p>
    <w:p>
      <w:pPr>
        <w:keepNext w:val="0"/>
        <w:keepLines w:val="0"/>
        <w:pageBreakBefore w:val="0"/>
        <w:widowControl/>
        <w:numPr>
          <w:ilvl w:val="0"/>
          <w:numId w:val="0"/>
        </w:numPr>
        <w:tabs>
          <w:tab w:val="left" w:pos="1260"/>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eastAsia" w:ascii="黑体" w:hAnsi="黑体" w:eastAsia="仿宋_GB2312" w:cs="黑体"/>
          <w:sz w:val="32"/>
          <w:szCs w:val="32"/>
          <w:lang w:eastAsia="zh-CN"/>
        </w:rPr>
      </w:pPr>
      <w:r>
        <w:rPr>
          <w:rFonts w:hint="eastAsia" w:ascii="仿宋_GB2312" w:hAnsi="仿宋_GB2312" w:eastAsia="仿宋_GB2312" w:cs="仿宋_GB2312"/>
          <w:sz w:val="32"/>
          <w:szCs w:val="32"/>
        </w:rPr>
        <w:t xml:space="preserve">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指挥部及办公室职责</w:t>
      </w:r>
      <w:r>
        <w:rPr>
          <w:rFonts w:hint="eastAsia" w:ascii="仿宋_GB2312" w:hAnsi="仿宋_GB2312" w:eastAsia="仿宋_GB2312" w:cs="仿宋_GB2312"/>
          <w:sz w:val="32"/>
          <w:szCs w:val="32"/>
          <w:lang w:val="en-US" w:eastAsia="zh-CN"/>
        </w:rPr>
        <w:t>.........................6</w:t>
      </w:r>
    </w:p>
    <w:p>
      <w:pPr>
        <w:keepNext w:val="0"/>
        <w:keepLines w:val="0"/>
        <w:pageBreakBefore w:val="0"/>
        <w:widowControl/>
        <w:numPr>
          <w:ilvl w:val="0"/>
          <w:numId w:val="0"/>
        </w:numPr>
        <w:tabs>
          <w:tab w:val="left" w:pos="1260"/>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2.3  </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指挥部成员单位职责</w:t>
      </w:r>
      <w:r>
        <w:rPr>
          <w:rFonts w:hint="eastAsia" w:ascii="仿宋_GB2312" w:hAnsi="仿宋_GB2312" w:eastAsia="仿宋_GB2312" w:cs="仿宋_GB2312"/>
          <w:sz w:val="32"/>
          <w:szCs w:val="32"/>
          <w:lang w:val="en-US" w:eastAsia="zh-CN"/>
        </w:rPr>
        <w:t>.........................7</w:t>
      </w:r>
    </w:p>
    <w:p>
      <w:pPr>
        <w:keepNext w:val="0"/>
        <w:keepLines w:val="0"/>
        <w:pageBreakBefore w:val="0"/>
        <w:widowControl/>
        <w:numPr>
          <w:ilvl w:val="0"/>
          <w:numId w:val="0"/>
        </w:numPr>
        <w:tabs>
          <w:tab w:val="left" w:pos="1260"/>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指挥部专项工作组设置及职责</w:t>
      </w:r>
      <w:r>
        <w:rPr>
          <w:rFonts w:hint="eastAsia" w:ascii="仿宋_GB2312" w:hAnsi="仿宋_GB2312" w:eastAsia="仿宋_GB2312" w:cs="仿宋_GB2312"/>
          <w:sz w:val="32"/>
          <w:szCs w:val="32"/>
          <w:lang w:val="en-US" w:eastAsia="zh-CN"/>
        </w:rPr>
        <w:t>................11</w:t>
      </w:r>
    </w:p>
    <w:p>
      <w:pPr>
        <w:keepNext w:val="0"/>
        <w:keepLines w:val="0"/>
        <w:pageBreakBefore w:val="0"/>
        <w:widowControl/>
        <w:numPr>
          <w:ilvl w:val="0"/>
          <w:numId w:val="0"/>
        </w:numPr>
        <w:tabs>
          <w:tab w:val="left" w:pos="1260"/>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eastAsia" w:ascii="黑体" w:hAnsi="黑体" w:eastAsia="仿宋_GB2312" w:cs="黑体"/>
          <w:sz w:val="32"/>
          <w:szCs w:val="32"/>
          <w:lang w:eastAsia="zh-CN"/>
        </w:rPr>
      </w:pPr>
      <w:r>
        <w:rPr>
          <w:rFonts w:hint="eastAsia" w:ascii="仿宋_GB2312" w:hAnsi="仿宋_GB2312" w:eastAsia="仿宋_GB2312" w:cs="仿宋_GB2312"/>
          <w:sz w:val="32"/>
          <w:szCs w:val="32"/>
        </w:rPr>
        <w:t>2.5  镇组织指挥</w:t>
      </w:r>
      <w:r>
        <w:rPr>
          <w:rFonts w:hint="eastAsia" w:ascii="仿宋_GB2312" w:hAnsi="仿宋_GB2312" w:eastAsia="仿宋_GB2312" w:cs="仿宋_GB2312"/>
          <w:sz w:val="32"/>
          <w:szCs w:val="32"/>
          <w:lang w:eastAsia="zh-CN"/>
        </w:rPr>
        <w:t>设置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p>
    <w:p>
      <w:pPr>
        <w:keepNext w:val="0"/>
        <w:keepLines w:val="0"/>
        <w:pageBreakBefore w:val="0"/>
        <w:widowControl/>
        <w:numPr>
          <w:ilvl w:val="0"/>
          <w:numId w:val="0"/>
        </w:numPr>
        <w:tabs>
          <w:tab w:val="left" w:pos="1260"/>
        </w:tabs>
        <w:kinsoku/>
        <w:wordWrap/>
        <w:overflowPunct/>
        <w:topLinePunct w:val="0"/>
        <w:autoSpaceDE/>
        <w:autoSpaceDN/>
        <w:bidi w:val="0"/>
        <w:adjustRightInd/>
        <w:snapToGrid/>
        <w:spacing w:after="0" w:line="600" w:lineRule="exact"/>
        <w:ind w:left="0" w:leftChars="0" w:right="0" w:righ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lang w:val="en-US" w:eastAsia="zh-CN"/>
        </w:rPr>
        <w:t xml:space="preserve">3 </w:t>
      </w:r>
      <w:r>
        <w:rPr>
          <w:rFonts w:hint="eastAsia" w:ascii="黑体" w:hAnsi="黑体" w:eastAsia="黑体" w:cs="黑体"/>
          <w:sz w:val="32"/>
          <w:szCs w:val="32"/>
        </w:rPr>
        <w:t>运行机制</w:t>
      </w:r>
      <w:r>
        <w:rPr>
          <w:rFonts w:hint="eastAsia" w:ascii="黑体" w:hAnsi="黑体" w:eastAsia="黑体" w:cs="黑体"/>
          <w:sz w:val="32"/>
          <w:szCs w:val="32"/>
          <w:lang w:val="en-US" w:eastAsia="zh-CN"/>
        </w:rPr>
        <w:t>.......................................</w:t>
      </w:r>
      <w:r>
        <w:rPr>
          <w:rFonts w:hint="eastAsia" w:ascii="黑体" w:hAnsi="黑体" w:eastAsia="黑体" w:cs="黑体"/>
          <w:sz w:val="32"/>
          <w:szCs w:val="32"/>
        </w:rPr>
        <w:t>1</w:t>
      </w:r>
      <w:r>
        <w:rPr>
          <w:rFonts w:hint="eastAsia" w:ascii="黑体" w:hAnsi="黑体" w:eastAsia="黑体" w:cs="黑体"/>
          <w:sz w:val="32"/>
          <w:szCs w:val="32"/>
          <w:lang w:val="en-US" w:eastAsia="zh-CN"/>
        </w:rPr>
        <w:t>4</w:t>
      </w:r>
      <w:r>
        <w:rPr>
          <w:rFonts w:ascii="黑体" w:hAnsi="黑体" w:eastAsia="黑体" w:cs="黑体"/>
          <w:sz w:val="32"/>
          <w:szCs w:val="32"/>
        </w:rPr>
        <w:t xml:space="preserve"> </w:t>
      </w:r>
    </w:p>
    <w:p>
      <w:pPr>
        <w:keepNext w:val="0"/>
        <w:keepLines w:val="0"/>
        <w:pageBreakBefore w:val="0"/>
        <w:widowControl/>
        <w:numPr>
          <w:ilvl w:val="0"/>
          <w:numId w:val="0"/>
        </w:numPr>
        <w:tabs>
          <w:tab w:val="left" w:pos="1260"/>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风险防控</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p>
    <w:p>
      <w:pPr>
        <w:keepNext w:val="0"/>
        <w:keepLines w:val="0"/>
        <w:pageBreakBefore w:val="0"/>
        <w:widowControl/>
        <w:numPr>
          <w:ilvl w:val="0"/>
          <w:numId w:val="0"/>
        </w:numPr>
        <w:tabs>
          <w:tab w:val="left" w:pos="1260"/>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3.2  监测与预警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p>
    <w:p>
      <w:pPr>
        <w:keepNext w:val="0"/>
        <w:keepLines w:val="0"/>
        <w:pageBreakBefore w:val="0"/>
        <w:widowControl/>
        <w:numPr>
          <w:ilvl w:val="0"/>
          <w:numId w:val="0"/>
        </w:numPr>
        <w:tabs>
          <w:tab w:val="left" w:pos="1260"/>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3.3  信息报告与通报</w:t>
      </w:r>
      <w:r>
        <w:rPr>
          <w:rFonts w:hint="eastAsia" w:ascii="仿宋_GB2312" w:hAnsi="仿宋_GB2312" w:eastAsia="仿宋_GB2312" w:cs="仿宋_GB2312"/>
          <w:sz w:val="32"/>
          <w:szCs w:val="32"/>
          <w:lang w:val="en-US" w:eastAsia="zh-CN"/>
        </w:rPr>
        <w:t>..............................17</w:t>
      </w:r>
    </w:p>
    <w:p>
      <w:pPr>
        <w:keepNext w:val="0"/>
        <w:keepLines w:val="0"/>
        <w:pageBreakBefore w:val="0"/>
        <w:widowControl/>
        <w:numPr>
          <w:ilvl w:val="0"/>
          <w:numId w:val="0"/>
        </w:numPr>
        <w:tabs>
          <w:tab w:val="left" w:pos="1260"/>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3.4  应急响应</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w:t>
      </w:r>
      <w:bookmarkStart w:id="0" w:name="page1_0"/>
      <w:bookmarkEnd w:id="0"/>
      <w:r>
        <w:rPr>
          <w:rFonts w:hint="eastAsia" w:ascii="仿宋_GB2312" w:hAnsi="仿宋_GB2312" w:eastAsia="仿宋_GB2312" w:cs="仿宋_GB2312"/>
          <w:sz w:val="32"/>
          <w:szCs w:val="32"/>
          <w:lang w:val="en-US" w:eastAsia="zh-CN"/>
        </w:rPr>
        <w:t>0</w:t>
      </w:r>
    </w:p>
    <w:p>
      <w:pPr>
        <w:keepNext w:val="0"/>
        <w:keepLines w:val="0"/>
        <w:pageBreakBefore w:val="0"/>
        <w:widowControl/>
        <w:numPr>
          <w:ilvl w:val="0"/>
          <w:numId w:val="0"/>
        </w:numPr>
        <w:tabs>
          <w:tab w:val="left" w:pos="1260"/>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eastAsia="仿宋_GB2312"/>
          <w:lang w:val="en-US" w:eastAsia="zh-CN"/>
        </w:rPr>
      </w:pPr>
      <w:r>
        <w:rPr>
          <w:rFonts w:hint="eastAsia" w:ascii="仿宋_GB2312" w:hAnsi="仿宋_GB2312" w:eastAsia="仿宋_GB2312" w:cs="仿宋_GB2312"/>
          <w:sz w:val="32"/>
          <w:szCs w:val="32"/>
        </w:rPr>
        <w:t>3.5</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后期处置</w:t>
      </w:r>
      <w:r>
        <w:rPr>
          <w:rFonts w:hint="eastAsia" w:ascii="仿宋_GB2312" w:hAnsi="仿宋_GB2312" w:eastAsia="仿宋_GB2312" w:cs="仿宋_GB2312"/>
          <w:sz w:val="32"/>
          <w:szCs w:val="32"/>
          <w:lang w:val="en-US" w:eastAsia="zh-CN"/>
        </w:rPr>
        <w:t>....................................26</w:t>
      </w:r>
    </w:p>
    <w:p>
      <w:pPr>
        <w:keepNext w:val="0"/>
        <w:keepLines w:val="0"/>
        <w:pageBreakBefore w:val="0"/>
        <w:widowControl/>
        <w:numPr>
          <w:ilvl w:val="0"/>
          <w:numId w:val="0"/>
        </w:numPr>
        <w:tabs>
          <w:tab w:val="left" w:pos="1260"/>
        </w:tabs>
        <w:kinsoku/>
        <w:wordWrap/>
        <w:overflowPunct/>
        <w:topLinePunct w:val="0"/>
        <w:autoSpaceDE/>
        <w:autoSpaceDN/>
        <w:bidi w:val="0"/>
        <w:adjustRightInd/>
        <w:snapToGrid/>
        <w:spacing w:after="0" w:line="600" w:lineRule="exact"/>
        <w:ind w:left="0" w:leftChars="0" w:right="0" w:righ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lang w:val="en-US" w:eastAsia="zh-CN"/>
        </w:rPr>
        <w:t xml:space="preserve">4 </w:t>
      </w:r>
      <w:r>
        <w:rPr>
          <w:rFonts w:hint="eastAsia" w:ascii="黑体" w:hAnsi="黑体" w:eastAsia="黑体" w:cs="黑体"/>
          <w:sz w:val="32"/>
          <w:szCs w:val="32"/>
        </w:rPr>
        <w:t>应急保障</w:t>
      </w:r>
      <w:r>
        <w:rPr>
          <w:rFonts w:hint="eastAsia" w:ascii="黑体" w:hAnsi="黑体" w:eastAsia="黑体" w:cs="黑体"/>
          <w:sz w:val="32"/>
          <w:szCs w:val="32"/>
          <w:lang w:val="en-US" w:eastAsia="zh-CN"/>
        </w:rPr>
        <w:t>.......................................28</w:t>
      </w:r>
      <w:r>
        <w:rPr>
          <w:rFonts w:ascii="黑体" w:hAnsi="黑体" w:eastAsia="黑体" w:cs="黑体"/>
          <w:sz w:val="32"/>
          <w:szCs w:val="32"/>
        </w:rPr>
        <w:t xml:space="preserve"> </w:t>
      </w:r>
    </w:p>
    <w:p>
      <w:pPr>
        <w:keepNext w:val="0"/>
        <w:keepLines w:val="0"/>
        <w:pageBreakBefore w:val="0"/>
        <w:widowControl/>
        <w:numPr>
          <w:ilvl w:val="0"/>
          <w:numId w:val="0"/>
        </w:numPr>
        <w:tabs>
          <w:tab w:val="left" w:pos="1260"/>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4.1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队伍保障</w:t>
      </w:r>
      <w:r>
        <w:rPr>
          <w:rFonts w:hint="eastAsia" w:ascii="仿宋_GB2312" w:hAnsi="仿宋_GB2312" w:eastAsia="仿宋_GB2312" w:cs="仿宋_GB2312"/>
          <w:sz w:val="32"/>
          <w:szCs w:val="32"/>
          <w:lang w:val="en-US" w:eastAsia="zh-CN"/>
        </w:rPr>
        <w:t>....................................28</w:t>
      </w:r>
    </w:p>
    <w:p>
      <w:pPr>
        <w:keepNext w:val="0"/>
        <w:keepLines w:val="0"/>
        <w:pageBreakBefore w:val="0"/>
        <w:widowControl/>
        <w:kinsoku/>
        <w:wordWrap/>
        <w:overflowPunct/>
        <w:topLinePunct w:val="0"/>
        <w:autoSpaceDE/>
        <w:autoSpaceDN/>
        <w:bidi w:val="0"/>
        <w:adjustRightInd/>
        <w:snapToGrid/>
        <w:spacing w:after="0" w:line="600" w:lineRule="exact"/>
        <w:ind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信息保障</w:t>
      </w:r>
      <w:r>
        <w:rPr>
          <w:rFonts w:hint="eastAsia" w:ascii="仿宋_GB2312" w:hAnsi="仿宋_GB2312" w:eastAsia="仿宋_GB2312" w:cs="仿宋_GB2312"/>
          <w:sz w:val="32"/>
          <w:szCs w:val="32"/>
          <w:lang w:val="en-US" w:eastAsia="zh-CN"/>
        </w:rPr>
        <w:t>....................................28</w:t>
      </w:r>
    </w:p>
    <w:p>
      <w:pPr>
        <w:keepNext w:val="0"/>
        <w:keepLines w:val="0"/>
        <w:pageBreakBefore w:val="0"/>
        <w:widowControl/>
        <w:kinsoku/>
        <w:wordWrap/>
        <w:overflowPunct/>
        <w:topLinePunct w:val="0"/>
        <w:autoSpaceDE/>
        <w:autoSpaceDN/>
        <w:bidi w:val="0"/>
        <w:adjustRightInd/>
        <w:snapToGrid/>
        <w:spacing w:after="0" w:line="600" w:lineRule="exact"/>
        <w:ind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医疗保障</w:t>
      </w:r>
      <w:r>
        <w:rPr>
          <w:rFonts w:hint="eastAsia" w:ascii="仿宋_GB2312" w:hAnsi="仿宋_GB2312" w:eastAsia="仿宋_GB2312" w:cs="仿宋_GB2312"/>
          <w:sz w:val="32"/>
          <w:szCs w:val="32"/>
          <w:lang w:val="en-US" w:eastAsia="zh-CN"/>
        </w:rPr>
        <w:t>....................................29</w:t>
      </w:r>
    </w:p>
    <w:p>
      <w:pPr>
        <w:keepNext w:val="0"/>
        <w:keepLines w:val="0"/>
        <w:pageBreakBefore w:val="0"/>
        <w:widowControl/>
        <w:kinsoku/>
        <w:wordWrap/>
        <w:overflowPunct/>
        <w:topLinePunct w:val="0"/>
        <w:autoSpaceDE/>
        <w:autoSpaceDN/>
        <w:bidi w:val="0"/>
        <w:adjustRightInd/>
        <w:snapToGrid/>
        <w:spacing w:after="0" w:line="600" w:lineRule="exact"/>
        <w:ind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4.4  技术保障</w:t>
      </w:r>
      <w:r>
        <w:rPr>
          <w:rFonts w:hint="eastAsia" w:ascii="仿宋_GB2312" w:hAnsi="仿宋_GB2312" w:eastAsia="仿宋_GB2312" w:cs="仿宋_GB2312"/>
          <w:sz w:val="32"/>
          <w:szCs w:val="32"/>
          <w:lang w:val="en-US" w:eastAsia="zh-CN"/>
        </w:rPr>
        <w:t>....................................29</w:t>
      </w:r>
    </w:p>
    <w:p>
      <w:pPr>
        <w:keepNext w:val="0"/>
        <w:keepLines w:val="0"/>
        <w:pageBreakBefore w:val="0"/>
        <w:widowControl/>
        <w:kinsoku/>
        <w:wordWrap/>
        <w:overflowPunct/>
        <w:topLinePunct w:val="0"/>
        <w:autoSpaceDE/>
        <w:autoSpaceDN/>
        <w:bidi w:val="0"/>
        <w:adjustRightInd/>
        <w:snapToGrid/>
        <w:spacing w:after="0" w:line="600" w:lineRule="exact"/>
        <w:ind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4.5  物资保障</w:t>
      </w:r>
      <w:r>
        <w:rPr>
          <w:rFonts w:hint="eastAsia" w:ascii="仿宋_GB2312" w:hAnsi="仿宋_GB2312" w:eastAsia="仿宋_GB2312" w:cs="仿宋_GB2312"/>
          <w:sz w:val="32"/>
          <w:szCs w:val="32"/>
          <w:lang w:val="en-US" w:eastAsia="zh-CN"/>
        </w:rPr>
        <w:t>....................................29</w:t>
      </w:r>
    </w:p>
    <w:p>
      <w:pPr>
        <w:keepNext w:val="0"/>
        <w:keepLines w:val="0"/>
        <w:pageBreakBefore w:val="0"/>
        <w:widowControl/>
        <w:kinsoku/>
        <w:wordWrap/>
        <w:overflowPunct/>
        <w:topLinePunct w:val="0"/>
        <w:autoSpaceDE/>
        <w:autoSpaceDN/>
        <w:bidi w:val="0"/>
        <w:adjustRightInd/>
        <w:snapToGrid/>
        <w:spacing w:after="0" w:line="600" w:lineRule="exact"/>
        <w:ind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4.6  经费保障</w:t>
      </w:r>
      <w:r>
        <w:rPr>
          <w:rFonts w:hint="eastAsia" w:ascii="仿宋_GB2312" w:hAnsi="仿宋_GB2312" w:eastAsia="仿宋_GB2312" w:cs="仿宋_GB2312"/>
          <w:sz w:val="32"/>
          <w:szCs w:val="32"/>
          <w:lang w:val="en-US" w:eastAsia="zh-CN"/>
        </w:rPr>
        <w:t>....................................29</w:t>
      </w:r>
    </w:p>
    <w:p>
      <w:pPr>
        <w:keepNext w:val="0"/>
        <w:keepLines w:val="0"/>
        <w:pageBreakBefore w:val="0"/>
        <w:widowControl/>
        <w:kinsoku/>
        <w:wordWrap/>
        <w:overflowPunct/>
        <w:topLinePunct w:val="0"/>
        <w:autoSpaceDE/>
        <w:autoSpaceDN/>
        <w:bidi w:val="0"/>
        <w:adjustRightInd/>
        <w:snapToGrid/>
        <w:spacing w:after="0" w:line="600" w:lineRule="exact"/>
        <w:ind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4.7  社会动员保障</w:t>
      </w:r>
      <w:r>
        <w:rPr>
          <w:rFonts w:hint="eastAsia" w:ascii="仿宋_GB2312" w:hAnsi="仿宋_GB2312" w:eastAsia="仿宋_GB2312" w:cs="仿宋_GB2312"/>
          <w:sz w:val="32"/>
          <w:szCs w:val="32"/>
          <w:lang w:val="en-US" w:eastAsia="zh-CN"/>
        </w:rPr>
        <w:t>................................29</w:t>
      </w:r>
    </w:p>
    <w:p>
      <w:pPr>
        <w:keepNext w:val="0"/>
        <w:keepLines w:val="0"/>
        <w:pageBreakBefore w:val="0"/>
        <w:widowControl/>
        <w:kinsoku/>
        <w:wordWrap/>
        <w:overflowPunct/>
        <w:topLinePunct w:val="0"/>
        <w:autoSpaceDE/>
        <w:autoSpaceDN/>
        <w:bidi w:val="0"/>
        <w:adjustRightInd/>
        <w:snapToGrid/>
        <w:spacing w:after="0" w:line="600" w:lineRule="exact"/>
        <w:ind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4.8  宣教培训</w:t>
      </w:r>
      <w:r>
        <w:rPr>
          <w:rFonts w:hint="eastAsia" w:ascii="仿宋_GB2312" w:hAnsi="仿宋_GB2312" w:eastAsia="仿宋_GB2312" w:cs="仿宋_GB2312"/>
          <w:sz w:val="32"/>
          <w:szCs w:val="32"/>
          <w:lang w:val="en-US" w:eastAsia="zh-CN"/>
        </w:rPr>
        <w:t>....................................29</w:t>
      </w:r>
    </w:p>
    <w:p>
      <w:pPr>
        <w:keepNext w:val="0"/>
        <w:keepLines w:val="0"/>
        <w:pageBreakBefore w:val="0"/>
        <w:widowControl/>
        <w:numPr>
          <w:ilvl w:val="0"/>
          <w:numId w:val="0"/>
        </w:numPr>
        <w:tabs>
          <w:tab w:val="left" w:pos="1260"/>
        </w:tabs>
        <w:kinsoku/>
        <w:wordWrap/>
        <w:overflowPunct/>
        <w:topLinePunct w:val="0"/>
        <w:autoSpaceDE/>
        <w:autoSpaceDN/>
        <w:bidi w:val="0"/>
        <w:adjustRightInd/>
        <w:snapToGrid/>
        <w:spacing w:after="0" w:line="600" w:lineRule="exact"/>
        <w:ind w:left="0" w:leftChars="0" w:right="0" w:rightChars="0"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5 预案管理.......................................30</w:t>
      </w:r>
    </w:p>
    <w:p>
      <w:pPr>
        <w:keepNext w:val="0"/>
        <w:keepLines w:val="0"/>
        <w:pageBreakBefore w:val="0"/>
        <w:widowControl/>
        <w:numPr>
          <w:ilvl w:val="0"/>
          <w:numId w:val="0"/>
        </w:numPr>
        <w:tabs>
          <w:tab w:val="left" w:pos="1260"/>
        </w:tabs>
        <w:kinsoku/>
        <w:wordWrap/>
        <w:overflowPunct/>
        <w:topLinePunct w:val="0"/>
        <w:autoSpaceDE/>
        <w:autoSpaceDN/>
        <w:bidi w:val="0"/>
        <w:adjustRightInd/>
        <w:snapToGrid/>
        <w:spacing w:after="0" w:line="60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预案编制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0</w:t>
      </w:r>
    </w:p>
    <w:p>
      <w:pPr>
        <w:keepNext w:val="0"/>
        <w:keepLines w:val="0"/>
        <w:pageBreakBefore w:val="0"/>
        <w:widowControl/>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5.2  应急演练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0</w:t>
      </w:r>
    </w:p>
    <w:p>
      <w:pPr>
        <w:keepNext w:val="0"/>
        <w:keepLines w:val="0"/>
        <w:pageBreakBefore w:val="0"/>
        <w:widowControl/>
        <w:kinsoku/>
        <w:wordWrap/>
        <w:overflowPunct/>
        <w:topLinePunct w:val="0"/>
        <w:autoSpaceDE/>
        <w:autoSpaceDN/>
        <w:bidi w:val="0"/>
        <w:adjustRightInd/>
        <w:snapToGrid/>
        <w:spacing w:after="0" w:line="600" w:lineRule="exact"/>
        <w:ind w:right="0" w:firstLine="640" w:firstLineChars="200"/>
        <w:textAlignment w:val="auto"/>
        <w:rPr>
          <w:rFonts w:hint="eastAsia" w:ascii="黑体" w:hAnsi="黑体" w:eastAsia="仿宋_GB2312" w:cs="黑体"/>
          <w:sz w:val="32"/>
          <w:szCs w:val="32"/>
          <w:lang w:eastAsia="zh-CN"/>
        </w:rPr>
      </w:pPr>
      <w:r>
        <w:rPr>
          <w:rFonts w:hint="eastAsia" w:ascii="仿宋_GB2312" w:hAnsi="仿宋_GB2312" w:eastAsia="仿宋_GB2312" w:cs="仿宋_GB2312"/>
          <w:sz w:val="32"/>
          <w:szCs w:val="32"/>
        </w:rPr>
        <w:t>5.3  预案修订</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0</w:t>
      </w:r>
    </w:p>
    <w:p>
      <w:pPr>
        <w:keepNext w:val="0"/>
        <w:keepLines w:val="0"/>
        <w:pageBreakBefore w:val="0"/>
        <w:widowControl/>
        <w:numPr>
          <w:ilvl w:val="0"/>
          <w:numId w:val="0"/>
        </w:numPr>
        <w:tabs>
          <w:tab w:val="left" w:pos="1260"/>
        </w:tabs>
        <w:kinsoku/>
        <w:wordWrap/>
        <w:overflowPunct/>
        <w:topLinePunct w:val="0"/>
        <w:autoSpaceDE/>
        <w:autoSpaceDN/>
        <w:bidi w:val="0"/>
        <w:adjustRightInd/>
        <w:snapToGrid/>
        <w:spacing w:after="0" w:line="600" w:lineRule="exact"/>
        <w:ind w:left="0" w:leftChars="0" w:right="0" w:rightChars="0" w:firstLine="640" w:firstLineChars="200"/>
        <w:jc w:val="both"/>
        <w:textAlignment w:val="auto"/>
        <w:rPr>
          <w:rFonts w:ascii="黑体" w:hAnsi="黑体" w:eastAsia="黑体" w:cs="黑体"/>
          <w:sz w:val="31"/>
          <w:szCs w:val="31"/>
        </w:rPr>
      </w:pPr>
      <w:r>
        <w:rPr>
          <w:rFonts w:hint="eastAsia" w:ascii="黑体" w:hAnsi="黑体" w:eastAsia="黑体" w:cs="黑体"/>
          <w:sz w:val="32"/>
          <w:szCs w:val="32"/>
          <w:lang w:val="en-US" w:eastAsia="zh-CN"/>
        </w:rPr>
        <w:t>6 附则...........................................30</w:t>
      </w:r>
    </w:p>
    <w:p>
      <w:pPr>
        <w:keepNext w:val="0"/>
        <w:keepLines w:val="0"/>
        <w:pageBreakBefore w:val="0"/>
        <w:widowControl/>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附录</w:t>
      </w:r>
      <w:r>
        <w:rPr>
          <w:rFonts w:hint="eastAsia" w:ascii="仿宋_GB2312" w:hAnsi="仿宋_GB2312" w:eastAsia="仿宋_GB2312" w:cs="仿宋_GB2312"/>
          <w:sz w:val="32"/>
          <w:szCs w:val="32"/>
          <w:lang w:val="en-US" w:eastAsia="zh-CN"/>
        </w:rPr>
        <w:t xml:space="preserve">1  </w:t>
      </w:r>
      <w:r>
        <w:rPr>
          <w:rFonts w:hint="eastAsia" w:ascii="仿宋_GB2312" w:hAnsi="仿宋_GB2312" w:eastAsia="仿宋_GB2312" w:cs="仿宋_GB2312"/>
          <w:sz w:val="32"/>
          <w:szCs w:val="32"/>
        </w:rPr>
        <w:t>级别食品安全突发事件分级标准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1</w:t>
      </w:r>
    </w:p>
    <w:p>
      <w:pPr>
        <w:keepNext w:val="0"/>
        <w:keepLines w:val="0"/>
        <w:pageBreakBefore w:val="0"/>
        <w:widowControl/>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附录</w:t>
      </w:r>
      <w:r>
        <w:rPr>
          <w:rFonts w:hint="eastAsia" w:ascii="仿宋_GB2312" w:hAnsi="仿宋_GB2312" w:eastAsia="仿宋_GB2312" w:cs="仿宋_GB2312"/>
          <w:sz w:val="32"/>
          <w:szCs w:val="32"/>
          <w:lang w:val="en-US" w:eastAsia="zh-CN"/>
        </w:rPr>
        <w:t xml:space="preserve">2  </w:t>
      </w:r>
      <w:r>
        <w:rPr>
          <w:rFonts w:hint="eastAsia" w:ascii="仿宋_GB2312" w:hAnsi="仿宋_GB2312" w:eastAsia="仿宋_GB2312" w:cs="仿宋_GB2312"/>
          <w:spacing w:val="-20"/>
          <w:sz w:val="32"/>
          <w:szCs w:val="32"/>
          <w:lang w:eastAsia="zh-CN"/>
        </w:rPr>
        <w:t>五通桥区</w:t>
      </w:r>
      <w:r>
        <w:rPr>
          <w:rFonts w:hint="eastAsia" w:ascii="仿宋_GB2312" w:hAnsi="仿宋_GB2312" w:eastAsia="仿宋_GB2312" w:cs="仿宋_GB2312"/>
          <w:spacing w:val="-20"/>
          <w:sz w:val="32"/>
          <w:szCs w:val="32"/>
        </w:rPr>
        <w:t>食品安全突发事件</w:t>
      </w:r>
      <w:r>
        <w:rPr>
          <w:rFonts w:hint="eastAsia" w:ascii="仿宋_GB2312" w:hAnsi="仿宋_GB2312" w:eastAsia="仿宋_GB2312" w:cs="仿宋_GB2312"/>
          <w:spacing w:val="-20"/>
          <w:sz w:val="32"/>
          <w:szCs w:val="32"/>
          <w:lang w:eastAsia="zh-CN"/>
        </w:rPr>
        <w:t>应急响应参考流程图</w:t>
      </w:r>
      <w:r>
        <w:rPr>
          <w:rFonts w:hint="eastAsia" w:ascii="仿宋_GB2312" w:hAnsi="仿宋_GB2312" w:eastAsia="仿宋_GB2312" w:cs="仿宋_GB2312"/>
          <w:spacing w:val="-20"/>
          <w:sz w:val="32"/>
          <w:szCs w:val="32"/>
          <w:lang w:val="en-US"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2</w:t>
      </w:r>
    </w:p>
    <w:p>
      <w:pPr>
        <w:keepNext w:val="0"/>
        <w:keepLines w:val="0"/>
        <w:pageBreakBefore w:val="0"/>
        <w:widowControl/>
        <w:kinsoku/>
        <w:wordWrap/>
        <w:overflowPunct/>
        <w:topLinePunct w:val="0"/>
        <w:autoSpaceDE/>
        <w:autoSpaceDN/>
        <w:bidi w:val="0"/>
        <w:adjustRightInd/>
        <w:snapToGrid/>
        <w:spacing w:after="0" w:line="600" w:lineRule="exact"/>
        <w:ind w:left="0" w:leftChars="0" w:right="0" w:firstLine="960" w:firstLineChars="300"/>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after="0" w:line="600" w:lineRule="exact"/>
        <w:ind w:left="0" w:leftChars="0" w:right="0"/>
        <w:jc w:val="both"/>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kinsoku/>
        <w:wordWrap/>
        <w:overflowPunct/>
        <w:topLinePunct w:val="0"/>
        <w:autoSpaceDE/>
        <w:autoSpaceDN/>
        <w:bidi w:val="0"/>
        <w:adjustRightInd/>
        <w:snapToGrid/>
        <w:spacing w:after="0" w:line="600" w:lineRule="exact"/>
        <w:ind w:left="0" w:leftChars="0" w:right="0"/>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kinsoku/>
        <w:wordWrap/>
        <w:overflowPunct/>
        <w:topLinePunct w:val="0"/>
        <w:autoSpaceDE/>
        <w:autoSpaceDN/>
        <w:bidi w:val="0"/>
        <w:adjustRightInd/>
        <w:snapToGrid/>
        <w:spacing w:after="0" w:line="700" w:lineRule="exact"/>
        <w:ind w:left="0" w:leftChars="0" w:right="0"/>
        <w:jc w:val="center"/>
        <w:textAlignment w:val="auto"/>
        <w:rPr>
          <w:rFonts w:ascii="宋体" w:hAnsi="宋体" w:eastAsia="宋体" w:cs="宋体"/>
          <w:sz w:val="44"/>
          <w:szCs w:val="44"/>
        </w:rPr>
      </w:pPr>
      <w:r>
        <w:rPr>
          <w:rFonts w:hint="eastAsia" w:ascii="方正小标宋简体" w:hAnsi="方正小标宋简体" w:eastAsia="方正小标宋简体" w:cs="方正小标宋简体"/>
          <w:sz w:val="44"/>
          <w:szCs w:val="44"/>
          <w:lang w:eastAsia="zh-CN"/>
        </w:rPr>
        <w:t>五通桥区</w:t>
      </w:r>
      <w:r>
        <w:rPr>
          <w:rFonts w:hint="eastAsia" w:ascii="方正小标宋简体" w:hAnsi="方正小标宋简体" w:eastAsia="方正小标宋简体" w:cs="方正小标宋简体"/>
          <w:sz w:val="44"/>
          <w:szCs w:val="44"/>
        </w:rPr>
        <w:t>食品安全突发事件应急预案（试行）</w:t>
      </w:r>
    </w:p>
    <w:p>
      <w:pPr>
        <w:keepNext w:val="0"/>
        <w:keepLines w:val="0"/>
        <w:pageBreakBefore w:val="0"/>
        <w:widowControl/>
        <w:tabs>
          <w:tab w:val="left" w:pos="1240"/>
        </w:tabs>
        <w:kinsoku/>
        <w:wordWrap/>
        <w:overflowPunct/>
        <w:topLinePunct w:val="0"/>
        <w:autoSpaceDE/>
        <w:autoSpaceDN/>
        <w:bidi w:val="0"/>
        <w:adjustRightInd/>
        <w:snapToGrid/>
        <w:spacing w:after="0" w:line="700" w:lineRule="exact"/>
        <w:ind w:left="0" w:leftChars="0" w:right="0"/>
        <w:jc w:val="center"/>
        <w:textAlignment w:val="auto"/>
        <w:rPr>
          <w:rFonts w:ascii="黑体" w:hAnsi="黑体" w:eastAsia="黑体" w:cs="黑体"/>
          <w:sz w:val="32"/>
          <w:szCs w:val="32"/>
        </w:rPr>
      </w:pPr>
    </w:p>
    <w:p>
      <w:pPr>
        <w:keepNext w:val="0"/>
        <w:keepLines w:val="0"/>
        <w:pageBreakBefore w:val="0"/>
        <w:widowControl/>
        <w:tabs>
          <w:tab w:val="left" w:pos="1240"/>
        </w:tabs>
        <w:kinsoku/>
        <w:wordWrap/>
        <w:overflowPunct/>
        <w:topLinePunct w:val="0"/>
        <w:autoSpaceDE/>
        <w:autoSpaceDN/>
        <w:bidi w:val="0"/>
        <w:adjustRightInd/>
        <w:snapToGrid/>
        <w:spacing w:after="0" w:line="560" w:lineRule="exact"/>
        <w:ind w:left="0" w:leftChars="0" w:right="0" w:firstLine="640" w:firstLineChars="200"/>
        <w:jc w:val="both"/>
        <w:textAlignment w:val="auto"/>
        <w:rPr>
          <w:rFonts w:eastAsiaTheme="minorEastAsia"/>
          <w:sz w:val="20"/>
          <w:szCs w:val="20"/>
        </w:rPr>
      </w:pPr>
      <w:r>
        <w:rPr>
          <w:rFonts w:hint="eastAsia" w:ascii="黑体" w:hAnsi="黑体" w:eastAsia="黑体" w:cs="黑体"/>
          <w:sz w:val="32"/>
          <w:szCs w:val="32"/>
          <w:lang w:val="en-US" w:eastAsia="zh-CN"/>
        </w:rPr>
        <w:t xml:space="preserve">1  </w:t>
      </w:r>
      <w:r>
        <w:rPr>
          <w:rFonts w:ascii="黑体" w:hAnsi="黑体" w:eastAsia="黑体" w:cs="黑体"/>
          <w:sz w:val="32"/>
          <w:szCs w:val="32"/>
        </w:rPr>
        <w:t>总则</w:t>
      </w:r>
    </w:p>
    <w:p>
      <w:pPr>
        <w:keepNext w:val="0"/>
        <w:keepLines w:val="0"/>
        <w:pageBreakBefore w:val="0"/>
        <w:widowControl/>
        <w:tabs>
          <w:tab w:val="left" w:pos="1560"/>
        </w:tabs>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1.1</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指导思想</w:t>
      </w:r>
    </w:p>
    <w:p>
      <w:pPr>
        <w:keepNext w:val="0"/>
        <w:keepLines w:val="0"/>
        <w:pageBreakBefore w:val="0"/>
        <w:widowControl/>
        <w:tabs>
          <w:tab w:val="left" w:pos="1560"/>
        </w:tabs>
        <w:kinsoku/>
        <w:wordWrap/>
        <w:overflowPunct/>
        <w:topLinePunct w:val="0"/>
        <w:autoSpaceDE/>
        <w:autoSpaceDN/>
        <w:bidi w:val="0"/>
        <w:adjustRightInd/>
        <w:snapToGrid/>
        <w:spacing w:after="0" w:line="560" w:lineRule="exact"/>
        <w:ind w:left="0" w:leftChars="0" w:right="0" w:firstLine="640" w:firstLineChars="200"/>
        <w:jc w:val="both"/>
        <w:textAlignment w:val="auto"/>
        <w:rPr>
          <w:rFonts w:eastAsiaTheme="minorEastAsia"/>
          <w:sz w:val="20"/>
          <w:szCs w:val="20"/>
        </w:rPr>
      </w:pPr>
      <w:r>
        <w:rPr>
          <w:rFonts w:hint="eastAsia" w:ascii="仿宋_GB2312" w:hAnsi="仿宋_GB2312" w:eastAsia="仿宋_GB2312" w:cs="仿宋_GB2312"/>
          <w:sz w:val="32"/>
          <w:szCs w:val="32"/>
        </w:rPr>
        <w:t>坚定以习近平新时代中国特色社会主义思想为指导，坚持人民至上、生命至上，牢固树立以人民为中心的发展思想，坚决落实“最严谨的标准、最严格的监管、最严厉的处罚、最严肃的问责”要求，把保障公众健康和生命安全作为首要任务，全面提高党委、政府科学应对、高效处置食品安全突发事件的能力。</w:t>
      </w:r>
    </w:p>
    <w:p>
      <w:pPr>
        <w:keepNext w:val="0"/>
        <w:keepLines w:val="0"/>
        <w:pageBreakBefore w:val="0"/>
        <w:widowControl/>
        <w:tabs>
          <w:tab w:val="left" w:pos="1560"/>
        </w:tabs>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1.2</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编制依据</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依据《中华人民共和国突发事件应对法》《中华人民共和国食品安全法》《中华人民共和国农产品质量安全法》《中华人民共和国食品安全法实施条例》《突发公共卫生事件应急条例》《国家突发公共事件总体应急预案》《国家食品安全事故应急预案》《四川省突发事件应对办法》《四川省突发事件总体应急预案（试行）》《四川省食品安全突发事件应急预案（试行）》《乐山市突发事件总体应急预案（试行）》等，制定本预案。</w:t>
      </w:r>
    </w:p>
    <w:p>
      <w:pPr>
        <w:keepNext w:val="0"/>
        <w:keepLines w:val="0"/>
        <w:pageBreakBefore w:val="0"/>
        <w:widowControl/>
        <w:tabs>
          <w:tab w:val="left" w:pos="1560"/>
        </w:tabs>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1.3</w:t>
      </w:r>
      <w:r>
        <w:rPr>
          <w:rFonts w:hint="eastAsia" w:ascii="楷体_GB2312" w:hAnsi="楷体_GB2312" w:eastAsia="楷体_GB2312" w:cs="楷体_GB2312"/>
          <w:sz w:val="32"/>
          <w:szCs w:val="32"/>
          <w:lang w:val="en-US" w:eastAsia="zh-CN"/>
        </w:rPr>
        <w:t xml:space="preserve">  </w:t>
      </w:r>
      <w:r>
        <w:rPr>
          <w:rFonts w:hint="default" w:ascii="楷体_GB2312" w:hAnsi="楷体_GB2312" w:eastAsia="楷体_GB2312" w:cs="楷体_GB2312"/>
          <w:sz w:val="32"/>
          <w:szCs w:val="32"/>
          <w:lang w:val="en-US" w:eastAsia="zh-CN"/>
        </w:rPr>
        <w:t>适用范围</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本预案适用于</w:t>
      </w:r>
      <w:r>
        <w:rPr>
          <w:rFonts w:hint="eastAsia" w:ascii="仿宋_GB2312" w:hAnsi="仿宋_GB2312" w:eastAsia="仿宋_GB2312" w:cs="仿宋_GB2312"/>
          <w:sz w:val="32"/>
          <w:szCs w:val="32"/>
          <w:lang w:val="en-US" w:eastAsia="zh-CN"/>
        </w:rPr>
        <w:t>五通桥区</w:t>
      </w:r>
      <w:r>
        <w:rPr>
          <w:rFonts w:hint="default" w:ascii="仿宋_GB2312" w:hAnsi="仿宋_GB2312" w:eastAsia="仿宋_GB2312" w:cs="仿宋_GB2312"/>
          <w:sz w:val="32"/>
          <w:szCs w:val="32"/>
          <w:lang w:val="en-US" w:eastAsia="zh-CN"/>
        </w:rPr>
        <w:t>行政区域内发生的食品安全突发事件应对工作。</w:t>
      </w:r>
    </w:p>
    <w:p>
      <w:pPr>
        <w:keepNext w:val="0"/>
        <w:keepLines w:val="0"/>
        <w:pageBreakBefore w:val="0"/>
        <w:widowControl w:val="0"/>
        <w:tabs>
          <w:tab w:val="left" w:pos="1560"/>
        </w:tabs>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lang w:val="en-US" w:eastAsia="zh-CN"/>
        </w:rPr>
        <w:t>4  事件分级</w:t>
      </w:r>
    </w:p>
    <w:p>
      <w:pPr>
        <w:keepNext w:val="0"/>
        <w:keepLines w:val="0"/>
        <w:pageBreakBefore w:val="0"/>
        <w:widowControl w:val="0"/>
        <w:tabs>
          <w:tab w:val="left" w:pos="1560"/>
        </w:tabs>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结合我区实际，按照危害程度将食品安全事件分为级别食品安全突发事件和非级别食品安全突发事件。</w:t>
      </w:r>
      <w:r>
        <w:rPr>
          <w:rFonts w:hint="default" w:ascii="仿宋_GB2312" w:hAnsi="仿宋_GB2312" w:eastAsia="仿宋_GB2312" w:cs="仿宋_GB2312"/>
          <w:sz w:val="32"/>
          <w:szCs w:val="32"/>
          <w:lang w:val="en-US" w:eastAsia="zh-CN"/>
        </w:rPr>
        <w:t>级别食品安全突发事件按照事件严重程度，分为特别重大、重大、较大和一般四级。级别食品安全突发事件分级标准见附录1。非级别食品安全突发事件是指该事件符合食品安全突发事件标准但危害程度未达到一般食品安全突发事件标准的事件。</w:t>
      </w:r>
    </w:p>
    <w:p>
      <w:pPr>
        <w:keepNext w:val="0"/>
        <w:keepLines w:val="0"/>
        <w:pageBreakBefore w:val="0"/>
        <w:widowControl/>
        <w:tabs>
          <w:tab w:val="left" w:pos="1560"/>
        </w:tabs>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1.5</w:t>
      </w:r>
      <w:r>
        <w:rPr>
          <w:rFonts w:hint="eastAsia" w:ascii="楷体_GB2312" w:hAnsi="楷体_GB2312" w:eastAsia="楷体_GB2312" w:cs="楷体_GB2312"/>
          <w:sz w:val="32"/>
          <w:szCs w:val="32"/>
          <w:lang w:val="en-US" w:eastAsia="zh-CN"/>
        </w:rPr>
        <w:t xml:space="preserve">  </w:t>
      </w:r>
      <w:r>
        <w:rPr>
          <w:rFonts w:hint="default" w:ascii="楷体_GB2312" w:hAnsi="楷体_GB2312" w:eastAsia="楷体_GB2312" w:cs="楷体_GB2312"/>
          <w:sz w:val="32"/>
          <w:szCs w:val="32"/>
          <w:lang w:val="en-US" w:eastAsia="zh-CN"/>
        </w:rPr>
        <w:t>工作原则</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（1）以人为本，控制危害。坚持把保障公众健康和生命安全作为应急处置的首要任务，最大限度减少食品安全突发事件造成的人员伤亡和健康损害。</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（2）预防为主，防治并重。突出预防与应急相结合，常态与非常态相结合，加强食品安全风险监测、评估和预警，及时发现并消除食品安全突发事件苗头，防患于未然；食品安全突发事件发生后，区</w:t>
      </w:r>
      <w:r>
        <w:rPr>
          <w:rFonts w:hint="eastAsia" w:ascii="仿宋_GB2312" w:hAnsi="仿宋_GB2312" w:eastAsia="仿宋_GB2312" w:cs="仿宋_GB2312"/>
          <w:sz w:val="32"/>
          <w:szCs w:val="32"/>
          <w:lang w:val="en-US" w:eastAsia="zh-CN"/>
        </w:rPr>
        <w:t>、镇</w:t>
      </w:r>
      <w:r>
        <w:rPr>
          <w:rFonts w:hint="default" w:ascii="仿宋_GB2312" w:hAnsi="仿宋_GB2312" w:eastAsia="仿宋_GB2312" w:cs="仿宋_GB2312"/>
          <w:sz w:val="32"/>
          <w:szCs w:val="32"/>
          <w:lang w:val="en-US" w:eastAsia="zh-CN"/>
        </w:rPr>
        <w:t>人民政府和有关部门应立即按照职责分工和预案要求果断处置。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（3）统一领导，分级负责。构建“统一领导、综合协调、分类管理、分级负责、属地为主”的应急管理体制，形成“信息互通、资源共享、快速响应、协同应对”的食品安全突发事件应急处置机制。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科学评估，依法处置。利用科学手段和技术装备，发挥专业队伍作用，及时做好风险监测、研判、评估和预警等工作，提高应对食品安全突发事件的水平和能力。依照法律法规和职能职责要求，依法做好食品安全突发事件防范应对工作，及时公开</w:t>
      </w:r>
      <w:bookmarkStart w:id="1" w:name="page2_1"/>
      <w:bookmarkEnd w:id="1"/>
      <w:r>
        <w:rPr>
          <w:rFonts w:hint="default" w:ascii="仿宋_GB2312" w:hAnsi="仿宋_GB2312" w:eastAsia="仿宋_GB2312" w:cs="仿宋_GB2312"/>
          <w:sz w:val="32"/>
          <w:szCs w:val="32"/>
          <w:lang w:val="en-US" w:eastAsia="zh-CN"/>
        </w:rPr>
        <w:t>处理结果。</w:t>
      </w:r>
    </w:p>
    <w:p>
      <w:pPr>
        <w:keepNext w:val="0"/>
        <w:keepLines w:val="0"/>
        <w:pageBreakBefore w:val="0"/>
        <w:widowControl/>
        <w:tabs>
          <w:tab w:val="left" w:pos="1400"/>
        </w:tabs>
        <w:kinsoku/>
        <w:wordWrap/>
        <w:overflowPunct/>
        <w:topLinePunct w:val="0"/>
        <w:autoSpaceDE/>
        <w:autoSpaceDN/>
        <w:bidi w:val="0"/>
        <w:adjustRightInd/>
        <w:snapToGrid/>
        <w:spacing w:after="0" w:line="560" w:lineRule="exact"/>
        <w:ind w:left="0" w:leftChars="0" w:right="0" w:firstLine="640" w:firstLineChars="200"/>
        <w:jc w:val="both"/>
        <w:textAlignment w:val="auto"/>
        <w:rPr>
          <w:rFonts w:eastAsiaTheme="minorEastAsia"/>
          <w:sz w:val="20"/>
          <w:szCs w:val="20"/>
        </w:rPr>
      </w:pPr>
      <w:r>
        <w:rPr>
          <w:rFonts w:ascii="黑体" w:hAnsi="黑体" w:eastAsia="黑体" w:cs="黑体"/>
          <w:sz w:val="32"/>
          <w:szCs w:val="32"/>
        </w:rPr>
        <w:t>2</w:t>
      </w:r>
      <w:r>
        <w:rPr>
          <w:rFonts w:hint="eastAsia" w:ascii="黑体" w:hAnsi="黑体" w:eastAsia="黑体" w:cs="黑体"/>
          <w:sz w:val="32"/>
          <w:szCs w:val="32"/>
          <w:lang w:val="en-US" w:eastAsia="zh-CN"/>
        </w:rPr>
        <w:t xml:space="preserve">  </w:t>
      </w:r>
      <w:r>
        <w:rPr>
          <w:rFonts w:ascii="黑体" w:hAnsi="黑体" w:eastAsia="黑体" w:cs="黑体"/>
          <w:sz w:val="32"/>
          <w:szCs w:val="32"/>
        </w:rPr>
        <w:t>组织指挥体系</w:t>
      </w:r>
    </w:p>
    <w:p>
      <w:pPr>
        <w:keepNext w:val="0"/>
        <w:keepLines w:val="0"/>
        <w:pageBreakBefore w:val="0"/>
        <w:widowControl/>
        <w:tabs>
          <w:tab w:val="left" w:pos="1560"/>
        </w:tabs>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2.1</w:t>
      </w:r>
      <w:r>
        <w:rPr>
          <w:rFonts w:hint="eastAsia" w:ascii="楷体_GB2312" w:hAnsi="楷体_GB2312" w:eastAsia="楷体_GB2312" w:cs="楷体_GB2312"/>
          <w:sz w:val="32"/>
          <w:szCs w:val="32"/>
          <w:lang w:val="en-US" w:eastAsia="zh-CN"/>
        </w:rPr>
        <w:t xml:space="preserve">  区</w:t>
      </w:r>
      <w:r>
        <w:rPr>
          <w:rFonts w:hint="default" w:ascii="楷体_GB2312" w:hAnsi="楷体_GB2312" w:eastAsia="楷体_GB2312" w:cs="楷体_GB2312"/>
          <w:sz w:val="32"/>
          <w:szCs w:val="32"/>
          <w:lang w:val="en-US" w:eastAsia="zh-CN"/>
        </w:rPr>
        <w:t>指挥</w:t>
      </w:r>
      <w:r>
        <w:rPr>
          <w:rFonts w:hint="eastAsia" w:ascii="楷体_GB2312" w:hAnsi="楷体_GB2312" w:eastAsia="楷体_GB2312" w:cs="楷体_GB2312"/>
          <w:sz w:val="32"/>
          <w:szCs w:val="32"/>
          <w:lang w:val="en-US" w:eastAsia="zh-CN"/>
        </w:rPr>
        <w:t>部</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委、</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政府领导下，在</w:t>
      </w:r>
      <w:r>
        <w:rPr>
          <w:rFonts w:hint="eastAsia" w:ascii="仿宋_GB2312" w:hAnsi="仿宋_GB2312" w:eastAsia="仿宋_GB2312" w:cs="仿宋_GB2312"/>
          <w:color w:val="auto"/>
          <w:sz w:val="32"/>
          <w:szCs w:val="32"/>
          <w:u w:val="none"/>
          <w:lang w:val="en-US" w:eastAsia="zh-CN"/>
        </w:rPr>
        <w:t>区</w:t>
      </w:r>
      <w:r>
        <w:rPr>
          <w:rFonts w:hint="default" w:ascii="仿宋_GB2312" w:hAnsi="仿宋_GB2312" w:eastAsia="仿宋_GB2312" w:cs="仿宋_GB2312"/>
          <w:color w:val="auto"/>
          <w:sz w:val="32"/>
          <w:szCs w:val="32"/>
          <w:u w:val="none"/>
          <w:lang w:val="en-US" w:eastAsia="zh-CN"/>
        </w:rPr>
        <w:t>应急委员会</w:t>
      </w:r>
      <w:r>
        <w:rPr>
          <w:rFonts w:hint="default" w:ascii="仿宋_GB2312" w:hAnsi="仿宋_GB2312" w:eastAsia="仿宋_GB2312" w:cs="仿宋_GB2312"/>
          <w:sz w:val="32"/>
          <w:szCs w:val="32"/>
          <w:lang w:val="en-US" w:eastAsia="zh-CN"/>
        </w:rPr>
        <w:t>的统筹协调下，</w:t>
      </w:r>
      <w:r>
        <w:rPr>
          <w:rFonts w:hint="eastAsia" w:ascii="仿宋_GB2312" w:hAnsi="仿宋_GB2312" w:eastAsia="仿宋_GB2312" w:cs="仿宋_GB2312"/>
          <w:sz w:val="32"/>
          <w:szCs w:val="32"/>
          <w:lang w:val="en-US" w:eastAsia="zh-CN"/>
        </w:rPr>
        <w:t>五通桥区</w:t>
      </w:r>
      <w:r>
        <w:rPr>
          <w:rFonts w:hint="default" w:ascii="仿宋_GB2312" w:hAnsi="仿宋_GB2312" w:eastAsia="仿宋_GB2312" w:cs="仿宋_GB2312"/>
          <w:sz w:val="32"/>
          <w:szCs w:val="32"/>
          <w:lang w:val="en-US" w:eastAsia="zh-CN"/>
        </w:rPr>
        <w:t>食品安全突发事件应急指挥部（以下简称</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指挥部）负责</w:t>
      </w:r>
      <w:r>
        <w:rPr>
          <w:rFonts w:hint="eastAsia" w:ascii="仿宋_GB2312" w:hAnsi="仿宋_GB2312" w:eastAsia="仿宋_GB2312" w:cs="仿宋_GB2312"/>
          <w:sz w:val="32"/>
          <w:szCs w:val="32"/>
          <w:lang w:val="en-US" w:eastAsia="zh-CN"/>
        </w:rPr>
        <w:t>组织一般食品安全突发事件处置工作，区市场监管局（区食品安全委员会办公室，以下简称区食安办）牵头组织开展应急处置和调查处理工作。事发地</w:t>
      </w:r>
      <w:r>
        <w:rPr>
          <w:rFonts w:hint="eastAsia" w:ascii="仿宋_GB2312" w:hAnsi="仿宋_GB2312" w:eastAsia="仿宋_GB2312" w:cs="仿宋_GB2312"/>
          <w:color w:val="auto"/>
          <w:sz w:val="32"/>
          <w:szCs w:val="32"/>
          <w:lang w:val="en-US" w:eastAsia="zh-CN"/>
        </w:rPr>
        <w:t>镇党委、政府及其指挥机构</w:t>
      </w:r>
      <w:r>
        <w:rPr>
          <w:rFonts w:hint="eastAsia" w:ascii="仿宋_GB2312" w:hAnsi="仿宋_GB2312" w:eastAsia="仿宋_GB2312" w:cs="仿宋_GB2312"/>
          <w:sz w:val="32"/>
          <w:szCs w:val="32"/>
          <w:lang w:val="en-US" w:eastAsia="zh-CN"/>
        </w:rPr>
        <w:t>在区指挥部的统一领导下开展应对工作。</w:t>
      </w:r>
    </w:p>
    <w:p>
      <w:pPr>
        <w:keepNext w:val="0"/>
        <w:keepLines w:val="0"/>
        <w:pageBreakBefore w:val="0"/>
        <w:widowControl/>
        <w:tabs>
          <w:tab w:val="left" w:pos="1560"/>
        </w:tabs>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2.2</w:t>
      </w:r>
      <w:r>
        <w:rPr>
          <w:rFonts w:hint="eastAsia" w:ascii="楷体_GB2312" w:hAnsi="楷体_GB2312" w:eastAsia="楷体_GB2312" w:cs="楷体_GB2312"/>
          <w:sz w:val="32"/>
          <w:szCs w:val="32"/>
          <w:lang w:val="en-US" w:eastAsia="zh-CN"/>
        </w:rPr>
        <w:t xml:space="preserve">  区</w:t>
      </w:r>
      <w:r>
        <w:rPr>
          <w:rFonts w:hint="default" w:ascii="楷体_GB2312" w:hAnsi="楷体_GB2312" w:eastAsia="楷体_GB2312" w:cs="楷体_GB2312"/>
          <w:sz w:val="32"/>
          <w:szCs w:val="32"/>
          <w:lang w:val="en-US" w:eastAsia="zh-CN"/>
        </w:rPr>
        <w:t>指挥部及办公室职责</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指挥部实行指挥长负责制，由</w:t>
      </w:r>
      <w:r>
        <w:rPr>
          <w:rFonts w:hint="eastAsia" w:ascii="仿宋_GB2312" w:hAnsi="仿宋_GB2312" w:eastAsia="仿宋_GB2312" w:cs="仿宋_GB2312"/>
          <w:color w:val="auto"/>
          <w:sz w:val="32"/>
          <w:szCs w:val="32"/>
          <w:lang w:val="en-US" w:eastAsia="zh-CN"/>
        </w:rPr>
        <w:t>区政府分管领导</w:t>
      </w:r>
      <w:r>
        <w:rPr>
          <w:rFonts w:hint="default" w:ascii="仿宋_GB2312" w:hAnsi="仿宋_GB2312" w:eastAsia="仿宋_GB2312" w:cs="仿宋_GB2312"/>
          <w:sz w:val="32"/>
          <w:szCs w:val="32"/>
          <w:lang w:val="en-US" w:eastAsia="zh-CN"/>
        </w:rPr>
        <w:t>任指挥长，</w:t>
      </w:r>
      <w:r>
        <w:rPr>
          <w:rFonts w:hint="eastAsia" w:ascii="仿宋_GB2312" w:hAnsi="仿宋_GB2312" w:eastAsia="仿宋_GB2312" w:cs="仿宋_GB2312"/>
          <w:color w:val="auto"/>
          <w:sz w:val="32"/>
          <w:szCs w:val="32"/>
          <w:lang w:val="en-US" w:eastAsia="zh-CN"/>
        </w:rPr>
        <w:t>区市场监管局（区食安办）主要负责人</w:t>
      </w:r>
      <w:r>
        <w:rPr>
          <w:rFonts w:hint="default" w:ascii="仿宋_GB2312" w:hAnsi="仿宋_GB2312" w:eastAsia="仿宋_GB2312" w:cs="仿宋_GB2312"/>
          <w:sz w:val="32"/>
          <w:szCs w:val="32"/>
          <w:lang w:val="en-US" w:eastAsia="zh-CN"/>
        </w:rPr>
        <w:t>任副指挥长，统一领导、组织和指挥食品安全突发事件应急处置工作。发生</w:t>
      </w:r>
      <w:r>
        <w:rPr>
          <w:rFonts w:hint="eastAsia" w:ascii="仿宋_GB2312" w:hAnsi="仿宋_GB2312" w:eastAsia="仿宋_GB2312" w:cs="仿宋_GB2312"/>
          <w:sz w:val="32"/>
          <w:szCs w:val="32"/>
          <w:lang w:val="en-US" w:eastAsia="zh-CN"/>
        </w:rPr>
        <w:t>较大及以上</w:t>
      </w:r>
      <w:r>
        <w:rPr>
          <w:rFonts w:hint="default" w:ascii="仿宋_GB2312" w:hAnsi="仿宋_GB2312" w:eastAsia="仿宋_GB2312" w:cs="仿宋_GB2312"/>
          <w:sz w:val="32"/>
          <w:szCs w:val="32"/>
          <w:lang w:val="en-US" w:eastAsia="zh-CN"/>
        </w:rPr>
        <w:t>食品安全突发事件，</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政府在</w:t>
      </w:r>
      <w:r>
        <w:rPr>
          <w:rFonts w:hint="eastAsia" w:ascii="仿宋_GB2312" w:hAnsi="仿宋_GB2312" w:eastAsia="仿宋_GB2312" w:cs="仿宋_GB2312"/>
          <w:sz w:val="32"/>
          <w:szCs w:val="32"/>
          <w:lang w:val="en-US" w:eastAsia="zh-CN"/>
        </w:rPr>
        <w:t>上级人民政府</w:t>
      </w:r>
      <w:r>
        <w:rPr>
          <w:rFonts w:hint="default" w:ascii="仿宋_GB2312" w:hAnsi="仿宋_GB2312" w:eastAsia="仿宋_GB2312" w:cs="仿宋_GB2312"/>
          <w:sz w:val="32"/>
          <w:szCs w:val="32"/>
          <w:lang w:val="en-US" w:eastAsia="zh-CN"/>
        </w:rPr>
        <w:t>领导下开展应急处置工作。</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指挥部成员单位包括</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食安委成员单位</w:t>
      </w:r>
      <w:r>
        <w:rPr>
          <w:rFonts w:hint="eastAsia" w:ascii="仿宋_GB2312" w:hAnsi="仿宋_GB2312" w:eastAsia="仿宋_GB2312" w:cs="仿宋_GB2312"/>
          <w:color w:val="auto"/>
          <w:sz w:val="32"/>
          <w:szCs w:val="32"/>
          <w:lang w:val="en-US" w:eastAsia="zh-CN"/>
        </w:rPr>
        <w:t>以及区</w:t>
      </w:r>
      <w:r>
        <w:rPr>
          <w:rFonts w:hint="default" w:ascii="仿宋_GB2312" w:hAnsi="仿宋_GB2312" w:eastAsia="仿宋_GB2312" w:cs="仿宋_GB2312"/>
          <w:color w:val="auto"/>
          <w:sz w:val="32"/>
          <w:szCs w:val="32"/>
          <w:lang w:val="en-US" w:eastAsia="zh-CN"/>
        </w:rPr>
        <w:t>级有关部门</w:t>
      </w:r>
      <w:r>
        <w:rPr>
          <w:rFonts w:hint="eastAsia" w:ascii="仿宋_GB2312" w:hAnsi="仿宋_GB2312" w:eastAsia="仿宋_GB2312" w:cs="仿宋_GB2312"/>
          <w:color w:val="auto"/>
          <w:sz w:val="32"/>
          <w:szCs w:val="32"/>
          <w:lang w:val="en-US" w:eastAsia="zh-CN"/>
        </w:rPr>
        <w:t>、有关市在桥单位以及行业社会组织等</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指挥部办公室设在</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市场监管局（</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食安办），承担指挥部的日常工作，建立健全协调、会商、督查和信息发布等制度，确保快速反应、高效处置。办公室主任由</w:t>
      </w:r>
      <w:r>
        <w:rPr>
          <w:rFonts w:hint="eastAsia" w:ascii="仿宋_GB2312" w:hAnsi="仿宋_GB2312" w:eastAsia="仿宋_GB2312" w:cs="仿宋_GB2312"/>
          <w:color w:val="auto"/>
          <w:sz w:val="32"/>
          <w:szCs w:val="32"/>
          <w:lang w:val="en-US" w:eastAsia="zh-CN"/>
        </w:rPr>
        <w:t>区食安办主任</w:t>
      </w:r>
      <w:r>
        <w:rPr>
          <w:rFonts w:hint="default" w:ascii="仿宋_GB2312" w:hAnsi="仿宋_GB2312" w:eastAsia="仿宋_GB2312" w:cs="仿宋_GB2312"/>
          <w:sz w:val="32"/>
          <w:szCs w:val="32"/>
          <w:lang w:val="en-US" w:eastAsia="zh-CN"/>
        </w:rPr>
        <w:t>担任，副主任由</w:t>
      </w:r>
      <w:r>
        <w:rPr>
          <w:rFonts w:hint="eastAsia" w:ascii="仿宋_GB2312" w:hAnsi="仿宋_GB2312" w:eastAsia="仿宋_GB2312" w:cs="仿宋_GB2312"/>
          <w:color w:val="auto"/>
          <w:sz w:val="32"/>
          <w:szCs w:val="32"/>
          <w:lang w:val="en-US" w:eastAsia="zh-CN"/>
        </w:rPr>
        <w:t>区食安办副主任</w:t>
      </w:r>
      <w:r>
        <w:rPr>
          <w:rFonts w:hint="default" w:ascii="仿宋_GB2312" w:hAnsi="仿宋_GB2312" w:eastAsia="仿宋_GB2312" w:cs="仿宋_GB2312"/>
          <w:sz w:val="32"/>
          <w:szCs w:val="32"/>
          <w:lang w:val="en-US" w:eastAsia="zh-CN"/>
        </w:rPr>
        <w:t>担任。</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医疗、疾病预防控制、食品检验检测等相关技术机构作为食品安全突发事件应急处置技术支撑机构，在有关部门组织领导下统筹开展应急处置相关工作。</w:t>
      </w:r>
    </w:p>
    <w:p>
      <w:pPr>
        <w:keepNext w:val="0"/>
        <w:keepLines w:val="0"/>
        <w:pageBreakBefore w:val="0"/>
        <w:widowControl/>
        <w:tabs>
          <w:tab w:val="left" w:pos="1560"/>
        </w:tabs>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2.3</w:t>
      </w:r>
      <w:r>
        <w:rPr>
          <w:rFonts w:hint="eastAsia" w:ascii="楷体_GB2312" w:hAnsi="楷体_GB2312" w:eastAsia="楷体_GB2312" w:cs="楷体_GB2312"/>
          <w:sz w:val="32"/>
          <w:szCs w:val="32"/>
          <w:lang w:val="en-US" w:eastAsia="zh-CN"/>
        </w:rPr>
        <w:t xml:space="preserve">  区</w:t>
      </w:r>
      <w:r>
        <w:rPr>
          <w:rFonts w:hint="default" w:ascii="楷体_GB2312" w:hAnsi="楷体_GB2312" w:eastAsia="楷体_GB2312" w:cs="楷体_GB2312"/>
          <w:sz w:val="32"/>
          <w:szCs w:val="32"/>
          <w:lang w:val="en-US" w:eastAsia="zh-CN"/>
        </w:rPr>
        <w:t>指挥部成员单位职责</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各成员单位在</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指挥部统一领导下开展工作，加强对事件发生地党委、政府的督促、指导，积极参与应急救援工作。具体职责是：</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食安办。负责指挥部办公室日常工作；按照权限负责发布或解除食品安全事件预警信息；按照规定向</w:t>
      </w:r>
      <w:r>
        <w:rPr>
          <w:rFonts w:hint="eastAsia" w:ascii="仿宋_GB2312" w:hAnsi="仿宋_GB2312" w:eastAsia="仿宋_GB2312" w:cs="仿宋_GB2312"/>
          <w:sz w:val="32"/>
          <w:szCs w:val="32"/>
          <w:lang w:val="en-US" w:eastAsia="zh-CN"/>
        </w:rPr>
        <w:t>市</w:t>
      </w:r>
      <w:r>
        <w:rPr>
          <w:rFonts w:hint="default" w:ascii="仿宋_GB2312" w:hAnsi="仿宋_GB2312" w:eastAsia="仿宋_GB2312" w:cs="仿宋_GB2312"/>
          <w:sz w:val="32"/>
          <w:szCs w:val="32"/>
          <w:lang w:val="en-US" w:eastAsia="zh-CN"/>
        </w:rPr>
        <w:t>食安办及</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政府报告应急处置工作；监督、指导、协调</w:t>
      </w:r>
      <w:r>
        <w:rPr>
          <w:rFonts w:hint="eastAsia" w:ascii="仿宋_GB2312" w:hAnsi="仿宋_GB2312" w:eastAsia="仿宋_GB2312" w:cs="仿宋_GB2312"/>
          <w:sz w:val="32"/>
          <w:szCs w:val="32"/>
          <w:lang w:val="en-US" w:eastAsia="zh-CN"/>
        </w:rPr>
        <w:t>一般</w:t>
      </w:r>
      <w:r>
        <w:rPr>
          <w:rFonts w:hint="default" w:ascii="仿宋_GB2312" w:hAnsi="仿宋_GB2312" w:eastAsia="仿宋_GB2312" w:cs="仿宋_GB2312"/>
          <w:sz w:val="32"/>
          <w:szCs w:val="32"/>
          <w:lang w:val="en-US" w:eastAsia="zh-CN"/>
        </w:rPr>
        <w:t>食品安全突发事件处置及责任调查处理工作；完成市指挥部交办的其他食品安全突发事件处置工作任务。</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委宣传部（</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委网信办</w:t>
      </w:r>
      <w:r>
        <w:rPr>
          <w:rFonts w:hint="eastAsia" w:ascii="仿宋_GB2312" w:hAnsi="仿宋_GB2312" w:eastAsia="仿宋_GB2312" w:cs="仿宋_GB2312"/>
          <w:sz w:val="32"/>
          <w:szCs w:val="32"/>
          <w:lang w:val="en-US" w:eastAsia="zh-CN"/>
        </w:rPr>
        <w:t>、区政府新闻办</w:t>
      </w:r>
      <w:r>
        <w:rPr>
          <w:rFonts w:hint="default" w:ascii="仿宋_GB2312" w:hAnsi="仿宋_GB2312" w:eastAsia="仿宋_GB2312" w:cs="仿宋_GB2312"/>
          <w:sz w:val="32"/>
          <w:szCs w:val="32"/>
          <w:lang w:val="en-US" w:eastAsia="zh-CN"/>
        </w:rPr>
        <w:t>）。负责组织食品安全突发事件应急处置宣传报道、舆情监测和舆论引导，指导有关部门做好信息发布工作；负责把握食品安全事件网络宣传工作的正确导向，指导协调</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内网络平台做好食品安全突发事件的新闻报道；</w:t>
      </w:r>
      <w:r>
        <w:rPr>
          <w:rFonts w:hint="eastAsia" w:ascii="仿宋_GB2312" w:hAnsi="仿宋_GB2312" w:eastAsia="仿宋_GB2312" w:cs="仿宋_GB2312"/>
          <w:sz w:val="32"/>
          <w:szCs w:val="32"/>
          <w:lang w:val="en-US" w:eastAsia="zh-CN"/>
        </w:rPr>
        <w:t>负责</w:t>
      </w:r>
      <w:r>
        <w:rPr>
          <w:rFonts w:hint="default" w:ascii="仿宋_GB2312" w:hAnsi="仿宋_GB2312" w:eastAsia="仿宋_GB2312" w:cs="仿宋_GB2312"/>
          <w:sz w:val="32"/>
          <w:szCs w:val="32"/>
          <w:lang w:val="en-US" w:eastAsia="zh-CN"/>
        </w:rPr>
        <w:t>做好食品安全事件网络舆情监测和处置工作；完成</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指挥部交办的其他食品安全突发事件处置工作任务。</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委统战部。</w:t>
      </w:r>
      <w:r>
        <w:rPr>
          <w:rFonts w:hint="default" w:ascii="仿宋_GB2312" w:hAnsi="仿宋_GB2312" w:eastAsia="仿宋_GB2312" w:cs="仿宋_GB2312"/>
          <w:color w:val="auto"/>
          <w:sz w:val="32"/>
          <w:szCs w:val="32"/>
          <w:lang w:val="en-US" w:eastAsia="zh-CN"/>
        </w:rPr>
        <w:t>负责食品安全突发事件涉及台湾地区时的沟通联络工作；</w:t>
      </w:r>
      <w:r>
        <w:rPr>
          <w:rFonts w:hint="default"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指挥部交办的其他食品安全突发事件处置工作任务。</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发展改革</w:t>
      </w:r>
      <w:r>
        <w:rPr>
          <w:rFonts w:hint="eastAsia" w:ascii="仿宋_GB2312" w:hAnsi="仿宋_GB2312" w:eastAsia="仿宋_GB2312" w:cs="仿宋_GB2312"/>
          <w:sz w:val="32"/>
          <w:szCs w:val="32"/>
          <w:lang w:val="en-US" w:eastAsia="zh-CN"/>
        </w:rPr>
        <w:t>局</w:t>
      </w:r>
      <w:r>
        <w:rPr>
          <w:rFonts w:hint="default" w:ascii="仿宋_GB2312" w:hAnsi="仿宋_GB2312" w:eastAsia="仿宋_GB2312" w:cs="仿宋_GB2312"/>
          <w:sz w:val="32"/>
          <w:szCs w:val="32"/>
          <w:lang w:val="en-US" w:eastAsia="zh-CN"/>
        </w:rPr>
        <w:t>。负责配合食品安全监管部门做好应急</w:t>
      </w:r>
      <w:bookmarkStart w:id="2" w:name="page2_2"/>
      <w:bookmarkEnd w:id="2"/>
      <w:r>
        <w:rPr>
          <w:rFonts w:hint="default" w:ascii="仿宋_GB2312" w:hAnsi="仿宋_GB2312" w:eastAsia="仿宋_GB2312" w:cs="仿宋_GB2312"/>
          <w:sz w:val="32"/>
          <w:szCs w:val="32"/>
          <w:lang w:val="en-US" w:eastAsia="zh-CN"/>
        </w:rPr>
        <w:t>规划衔接工作；负责为突发事件处置提供技术支持；完成</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指挥部交办的其他食品安全突发事件处置工作任务。</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经济信息化局。负责</w:t>
      </w:r>
      <w:r>
        <w:rPr>
          <w:rFonts w:hint="eastAsia" w:ascii="仿宋_GB2312" w:hAnsi="仿宋_GB2312" w:eastAsia="仿宋_GB2312" w:cs="仿宋_GB2312"/>
          <w:sz w:val="32"/>
          <w:szCs w:val="32"/>
          <w:lang w:val="en-US" w:eastAsia="zh-CN"/>
        </w:rPr>
        <w:t>做好</w:t>
      </w:r>
      <w:r>
        <w:rPr>
          <w:rFonts w:hint="default" w:ascii="仿宋_GB2312" w:hAnsi="仿宋_GB2312" w:eastAsia="仿宋_GB2312" w:cs="仿宋_GB2312"/>
          <w:sz w:val="32"/>
          <w:szCs w:val="32"/>
          <w:lang w:val="en-US" w:eastAsia="zh-CN"/>
        </w:rPr>
        <w:t>食品安全突发事件应急处置中应急药品的有偿调拨使用工作；配合</w:t>
      </w:r>
      <w:r>
        <w:rPr>
          <w:rFonts w:hint="eastAsia" w:ascii="仿宋_GB2312" w:hAnsi="仿宋_GB2312" w:eastAsia="仿宋_GB2312" w:cs="仿宋_GB2312"/>
          <w:sz w:val="32"/>
          <w:szCs w:val="32"/>
          <w:lang w:val="en-US" w:eastAsia="zh-CN"/>
        </w:rPr>
        <w:t>有关部门</w:t>
      </w:r>
      <w:r>
        <w:rPr>
          <w:rFonts w:hint="default" w:ascii="仿宋_GB2312" w:hAnsi="仿宋_GB2312" w:eastAsia="仿宋_GB2312" w:cs="仿宋_GB2312"/>
          <w:sz w:val="32"/>
          <w:szCs w:val="32"/>
          <w:lang w:val="en-US" w:eastAsia="zh-CN"/>
        </w:rPr>
        <w:t>依法查处网络销售食品安全事件和网络违法销售食品案件；依据食品安全监管部门的书面认定意见，</w:t>
      </w:r>
      <w:r>
        <w:rPr>
          <w:rFonts w:hint="eastAsia" w:ascii="仿宋_GB2312" w:hAnsi="仿宋_GB2312" w:eastAsia="仿宋_GB2312" w:cs="仿宋_GB2312"/>
          <w:sz w:val="32"/>
          <w:szCs w:val="32"/>
          <w:lang w:val="en-US" w:eastAsia="zh-CN"/>
        </w:rPr>
        <w:t>做好</w:t>
      </w:r>
      <w:r>
        <w:rPr>
          <w:rFonts w:hint="default" w:ascii="仿宋_GB2312" w:hAnsi="仿宋_GB2312" w:eastAsia="仿宋_GB2312" w:cs="仿宋_GB2312"/>
          <w:sz w:val="32"/>
          <w:szCs w:val="32"/>
          <w:lang w:val="en-US" w:eastAsia="zh-CN"/>
        </w:rPr>
        <w:t>违法违规网站</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处理</w:t>
      </w:r>
      <w:r>
        <w:rPr>
          <w:rFonts w:hint="eastAsia" w:ascii="仿宋_GB2312" w:hAnsi="仿宋_GB2312" w:eastAsia="仿宋_GB2312" w:cs="仿宋_GB2312"/>
          <w:sz w:val="32"/>
          <w:szCs w:val="32"/>
          <w:lang w:val="en-US" w:eastAsia="zh-CN"/>
        </w:rPr>
        <w:t>工作；</w:t>
      </w:r>
      <w:r>
        <w:rPr>
          <w:rFonts w:hint="default" w:ascii="仿宋_GB2312" w:hAnsi="仿宋_GB2312" w:eastAsia="仿宋_GB2312" w:cs="仿宋_GB2312"/>
          <w:sz w:val="32"/>
          <w:szCs w:val="32"/>
          <w:lang w:val="en-US" w:eastAsia="zh-CN"/>
        </w:rPr>
        <w:t>牵头负责发生食品安全突发事件时主要生活必需品的市场供应工作；负责食品安全突发事件涉及国外、港澳地区时的沟通联络工作；完成</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指挥部交办的其他食品安全突发事件处置工作任务。</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教育局。负责配合有关部门对教育部门管辖的学校、幼儿园、培训机构等发生的食品安全突发事件进行应急处置和调查处理；指导学校、幼儿园、培训机构等制定完善食品安全突发事件应急预案或处置方案；完成</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指挥部交办的其他食品安全突发事件处置工作任务。</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公安</w:t>
      </w:r>
      <w:r>
        <w:rPr>
          <w:rFonts w:hint="eastAsia" w:ascii="仿宋_GB2312" w:hAnsi="仿宋_GB2312" w:eastAsia="仿宋_GB2312" w:cs="仿宋_GB2312"/>
          <w:sz w:val="32"/>
          <w:szCs w:val="32"/>
          <w:lang w:val="en-US" w:eastAsia="zh-CN"/>
        </w:rPr>
        <w:t>分</w:t>
      </w:r>
      <w:r>
        <w:rPr>
          <w:rFonts w:hint="default" w:ascii="仿宋_GB2312" w:hAnsi="仿宋_GB2312" w:eastAsia="仿宋_GB2312" w:cs="仿宋_GB2312"/>
          <w:sz w:val="32"/>
          <w:szCs w:val="32"/>
          <w:lang w:val="en-US" w:eastAsia="zh-CN"/>
        </w:rPr>
        <w:t>局。负责食品安全突发事件现场治安秩序维护；对涉嫌违法犯罪案件依法进行查处；完成</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指挥部交办的其他食品安全突发事件处置工作任务。</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区民宗局</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color w:val="auto"/>
          <w:sz w:val="32"/>
          <w:szCs w:val="32"/>
          <w:lang w:val="en-US" w:eastAsia="zh-CN"/>
        </w:rPr>
        <w:t>负责配合有关部门做好因清真食品造成食品安全突发事件的应急处置、调查处理以及相关技术鉴定工作</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指挥部交办的其他食品安全突发事件处置工作任务。</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民政局。负责配合有关部门对养老机构食品安全突发事件进行应急处置和调查处理；完成</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指挥部交办的其他食品安全突发事件处置工作任务。</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司法局。负责配合有关部门做好《中华人民共和国食品安全法》《中华人民共和国食品安全法实施条例》</w:t>
      </w:r>
      <w:r>
        <w:rPr>
          <w:rFonts w:hint="eastAsia" w:ascii="仿宋_GB2312" w:hAnsi="仿宋_GB2312" w:eastAsia="仿宋_GB2312" w:cs="仿宋_GB2312"/>
          <w:sz w:val="32"/>
          <w:szCs w:val="32"/>
          <w:lang w:val="en-US" w:eastAsia="zh-CN"/>
        </w:rPr>
        <w:t>《四川省食品安全条例》</w:t>
      </w:r>
      <w:r>
        <w:rPr>
          <w:rFonts w:hint="default" w:ascii="仿宋_GB2312" w:hAnsi="仿宋_GB2312" w:eastAsia="仿宋_GB2312" w:cs="仿宋_GB2312"/>
          <w:sz w:val="32"/>
          <w:szCs w:val="32"/>
          <w:lang w:val="en-US" w:eastAsia="zh-CN"/>
        </w:rPr>
        <w:t>和应急管理法律法规的宣传普及等工作；完成</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指挥部交办的其他食品安全突发事件处置工作任务。</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财政局。负责统筹做好食品安全突发事件应急处置相关经费保障，并加强资金监管；完成</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指挥部交办的其他食品安全突发事件处置工作任务。</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五通桥</w:t>
      </w:r>
      <w:r>
        <w:rPr>
          <w:rFonts w:hint="default" w:ascii="仿宋_GB2312" w:hAnsi="仿宋_GB2312" w:eastAsia="仿宋_GB2312" w:cs="仿宋_GB2312"/>
          <w:sz w:val="32"/>
          <w:szCs w:val="32"/>
          <w:lang w:val="en-US" w:eastAsia="zh-CN"/>
        </w:rPr>
        <w:t>生态环境局。负责食品安全突发事件次生突发环境事件的环境监测，提出控制及消除污染建议；完成</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指挥部交办的其他食品安全突发事件处置工作任务。</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住房城乡建设局。负责食品安全突发事件中受污染食品及餐厨废弃物的收运处置；负责配合有关部门对建筑工地食堂发生的食品安全突发事件进行应急处置和调查处理，督促建筑业企业开展相应的应急处置工作；完成</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指挥部交办的其他食品安全突发事件处置工作任务。</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交通运输局。负责会同公安交警部门做好食品安全突发事件应急处置中的公路保通畅通工作，协调运力优先保障救援队伍、物资和病员运输；完成</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指挥部交办的其他食品安全突发事件处置工作任务。</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农业农村局。负责食用农产品种植养殖环节、畜禽屠宰环节、水产品养殖环节和生鲜乳收购环节质量安全事件中违法行为的调查处理并依法采取必要的应急处置措施，防止或减轻社会危害；负责有关应急处置检测队伍建设，组织开展食用农产品检测评估，提出评估结论；完成</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指挥部交办的其他食品安全突发事件处置工作任务。</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区文广体育旅游</w:t>
      </w:r>
      <w:r>
        <w:rPr>
          <w:rFonts w:hint="default" w:ascii="仿宋_GB2312" w:hAnsi="仿宋_GB2312" w:eastAsia="仿宋_GB2312" w:cs="仿宋_GB2312"/>
          <w:sz w:val="32"/>
          <w:szCs w:val="32"/>
          <w:lang w:val="en-US" w:eastAsia="zh-CN"/>
        </w:rPr>
        <w:t>局。负责配合有关部门对A级旅游景区、星级酒店的食品安全突发事件进行应急处置和调查处理；完成</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指挥部交办的其他食品安全突发事件处置工作任务。</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17</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卫生健康</w:t>
      </w:r>
      <w:r>
        <w:rPr>
          <w:rFonts w:hint="eastAsia" w:ascii="仿宋_GB2312" w:hAnsi="仿宋_GB2312" w:eastAsia="仿宋_GB2312" w:cs="仿宋_GB2312"/>
          <w:sz w:val="32"/>
          <w:szCs w:val="32"/>
          <w:lang w:val="en-US" w:eastAsia="zh-CN"/>
        </w:rPr>
        <w:t>局</w:t>
      </w:r>
      <w:r>
        <w:rPr>
          <w:rFonts w:hint="default" w:ascii="仿宋_GB2312" w:hAnsi="仿宋_GB2312" w:eastAsia="仿宋_GB2312" w:cs="仿宋_GB2312"/>
          <w:sz w:val="32"/>
          <w:szCs w:val="32"/>
          <w:lang w:val="en-US" w:eastAsia="zh-CN"/>
        </w:rPr>
        <w:t>。负责医疗卫生救援、流行病学调查、食品安全风险监测工作，以及向</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市场监管局通报食品安全风险预警信息；完成</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指挥部交办的其他食品安全突发事件处置工作任务。</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18</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应急局。负责督促指导食品安全突发事件应急预案修订与应急演练工作；完成</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指挥部交办的其他食品安全突发事件处置工作任务。</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（19）区国资局。负责国有企业食品安全工作；完成区指挥部交办的其他食品安全突发事件处置工作任务。</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（20）区市场监管局。负责食品生产经营环节食品安全突发</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事件</w:t>
      </w:r>
      <w:r>
        <w:rPr>
          <w:rFonts w:hint="eastAsia" w:ascii="仿宋_GB2312" w:hAnsi="仿宋_GB2312" w:eastAsia="仿宋_GB2312" w:cs="仿宋_GB2312"/>
          <w:sz w:val="32"/>
          <w:szCs w:val="32"/>
          <w:lang w:val="en-US" w:eastAsia="zh-CN"/>
        </w:rPr>
        <w:t>中违法行为的调查处理；负责食品包装材料、容器、食品生产经营工具等食品相关产品质量安全事件中生产加工环节违法行为的调查处理，依法采取必要的应急处置措施，防止或者减轻社会危害；负责对食品安全突发事件发生单位法定代表人主体资格进行调查处理；负责有关应急处置检测队伍建设；完成区指挥部交办的其他食品安全突发事件处置工作任务。</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21</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区自然资源</w:t>
      </w:r>
      <w:r>
        <w:rPr>
          <w:rFonts w:hint="default" w:ascii="仿宋_GB2312" w:hAnsi="仿宋_GB2312" w:eastAsia="仿宋_GB2312" w:cs="仿宋_GB2312"/>
          <w:color w:val="auto"/>
          <w:sz w:val="32"/>
          <w:szCs w:val="32"/>
          <w:lang w:val="en-US" w:eastAsia="zh-CN"/>
        </w:rPr>
        <w:t>局。负责配合有关部门对因食用林产品造成的食品安全突发事件进行应急处置、调查处理以及相关技术鉴</w:t>
      </w:r>
      <w:r>
        <w:rPr>
          <w:rFonts w:hint="default" w:ascii="仿宋_GB2312" w:hAnsi="仿宋_GB2312" w:eastAsia="仿宋_GB2312" w:cs="仿宋_GB2312"/>
          <w:color w:val="auto"/>
          <w:spacing w:val="-6"/>
          <w:kern w:val="2"/>
          <w:sz w:val="32"/>
          <w:szCs w:val="32"/>
          <w:lang w:val="en-US" w:eastAsia="zh-CN"/>
        </w:rPr>
        <w:t>定工作；完成</w:t>
      </w:r>
      <w:r>
        <w:rPr>
          <w:rFonts w:hint="eastAsia" w:ascii="仿宋_GB2312" w:hAnsi="仿宋_GB2312" w:eastAsia="仿宋_GB2312" w:cs="仿宋_GB2312"/>
          <w:color w:val="auto"/>
          <w:spacing w:val="-6"/>
          <w:kern w:val="2"/>
          <w:sz w:val="32"/>
          <w:szCs w:val="32"/>
          <w:lang w:val="en-US" w:eastAsia="zh-CN"/>
        </w:rPr>
        <w:t>区</w:t>
      </w:r>
      <w:r>
        <w:rPr>
          <w:rFonts w:hint="default" w:ascii="仿宋_GB2312" w:hAnsi="仿宋_GB2312" w:eastAsia="仿宋_GB2312" w:cs="仿宋_GB2312"/>
          <w:color w:val="auto"/>
          <w:spacing w:val="-6"/>
          <w:kern w:val="2"/>
          <w:sz w:val="32"/>
          <w:szCs w:val="32"/>
          <w:lang w:val="en-US" w:eastAsia="zh-CN"/>
        </w:rPr>
        <w:t>指挥部交办的其他食品安全突发事件处置工作任</w:t>
      </w:r>
      <w:r>
        <w:rPr>
          <w:rFonts w:hint="default" w:ascii="仿宋_GB2312" w:hAnsi="仿宋_GB2312" w:eastAsia="仿宋_GB2312" w:cs="仿宋_GB2312"/>
          <w:color w:val="auto"/>
          <w:sz w:val="32"/>
          <w:szCs w:val="32"/>
          <w:lang w:val="en-US" w:eastAsia="zh-CN"/>
        </w:rPr>
        <w:t>务。</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区综合行政执法</w:t>
      </w:r>
      <w:r>
        <w:rPr>
          <w:rFonts w:hint="default"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val="en-US" w:eastAsia="zh-CN"/>
        </w:rPr>
        <w:t>负责配合有关部门开展食品生产经营环节食品安全突发事件中违法行为的调查处理；</w:t>
      </w:r>
      <w:r>
        <w:rPr>
          <w:rFonts w:hint="default" w:ascii="仿宋_GB2312" w:hAnsi="仿宋_GB2312" w:eastAsia="仿宋_GB2312" w:cs="仿宋_GB2312"/>
          <w:sz w:val="32"/>
          <w:szCs w:val="32"/>
          <w:lang w:val="en-US" w:eastAsia="zh-CN"/>
        </w:rPr>
        <w:t>配合有关部门对无证流动摊贩经营食品造成的食品安全突发事件进行应急处置和调查处理；完成</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指挥部交办的其他食品安全突发事件处置工作任务。</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粮食物资储备中心。负责政策性粮油储运和购销中粮油质量安全事件的预防控制、应急处置和调查处理工作；完成</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指挥部交办的其他食品安全突发事件处置工作任务。</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default" w:ascii="仿宋_GB2312" w:hAnsi="仿宋_GB2312" w:eastAsia="仿宋_GB2312" w:cs="仿宋_GB2312"/>
          <w:color w:val="FF0000"/>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供销社。负责发生食品安全突发事件时供销</w:t>
      </w:r>
      <w:r>
        <w:rPr>
          <w:rFonts w:hint="eastAsia" w:ascii="仿宋_GB2312" w:hAnsi="仿宋_GB2312" w:eastAsia="仿宋_GB2312" w:cs="仿宋_GB2312"/>
          <w:sz w:val="32"/>
          <w:szCs w:val="32"/>
          <w:lang w:val="en-US" w:eastAsia="zh-CN"/>
        </w:rPr>
        <w:t>联</w:t>
      </w:r>
      <w:r>
        <w:rPr>
          <w:rFonts w:hint="default" w:ascii="仿宋_GB2312" w:hAnsi="仿宋_GB2312" w:eastAsia="仿宋_GB2312" w:cs="仿宋_GB2312"/>
          <w:sz w:val="32"/>
          <w:szCs w:val="32"/>
          <w:lang w:val="en-US" w:eastAsia="zh-CN"/>
        </w:rPr>
        <w:t>社系统全资及控股企业的配送中心、经营网点、农产品市场、专业合作社的食品供应调度；完成</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指挥部交办的其他食品安全突发事件处置工作任务。</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default" w:ascii="仿宋_GB2312" w:hAnsi="仿宋_GB2312" w:eastAsia="仿宋_GB2312" w:cs="仿宋_GB2312"/>
          <w:color w:val="FF0000"/>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25</w:t>
      </w:r>
      <w:r>
        <w:rPr>
          <w:rFonts w:hint="default" w:ascii="仿宋_GB2312" w:hAnsi="仿宋_GB2312" w:eastAsia="仿宋_GB2312" w:cs="仿宋_GB2312"/>
          <w:color w:val="auto"/>
          <w:sz w:val="32"/>
          <w:szCs w:val="32"/>
          <w:lang w:val="en-US" w:eastAsia="zh-CN"/>
        </w:rPr>
        <w:t>）食品相关行业社会组织。负责食品安全突发事件应急处置中技术支持、企业联络工作；完成</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指挥部交办的其他食品安全突发事件处置工作任务。</w:t>
      </w:r>
    </w:p>
    <w:p>
      <w:pPr>
        <w:keepNext w:val="0"/>
        <w:keepLines w:val="0"/>
        <w:pageBreakBefore w:val="0"/>
        <w:widowControl/>
        <w:tabs>
          <w:tab w:val="left" w:pos="1560"/>
        </w:tabs>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2.4</w:t>
      </w:r>
      <w:r>
        <w:rPr>
          <w:rFonts w:hint="eastAsia" w:ascii="楷体_GB2312" w:hAnsi="楷体_GB2312" w:eastAsia="楷体_GB2312" w:cs="楷体_GB2312"/>
          <w:sz w:val="32"/>
          <w:szCs w:val="32"/>
          <w:lang w:val="en-US" w:eastAsia="zh-CN"/>
        </w:rPr>
        <w:t xml:space="preserve">  区</w:t>
      </w:r>
      <w:r>
        <w:rPr>
          <w:rFonts w:hint="default" w:ascii="楷体_GB2312" w:hAnsi="楷体_GB2312" w:eastAsia="楷体_GB2312" w:cs="楷体_GB2312"/>
          <w:sz w:val="32"/>
          <w:szCs w:val="32"/>
          <w:lang w:val="en-US" w:eastAsia="zh-CN"/>
        </w:rPr>
        <w:t>指挥部专项工作组设置及职责</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根据事件处置需要，</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指挥部下设综合协调组、事件调查组、危害控制组、医疗救治组、检测评估组、维护稳定组、新闻宣传组、专家指导组等专项工作组，分别开展相关工作。如事件涉及较大范围经济赔偿问题，可单设民事赔偿组，民事赔偿组牵头部门由</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指挥部临时指定，指导事件发生地做好善后工作。各专项工作组在</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指挥部的统一指挥下开展工作，随时向</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指挥部办公室报告工作开展情况，必要时增加</w:t>
      </w:r>
      <w:r>
        <w:rPr>
          <w:rFonts w:hint="eastAsia" w:ascii="仿宋_GB2312" w:hAnsi="仿宋_GB2312" w:eastAsia="仿宋_GB2312" w:cs="仿宋_GB2312"/>
          <w:sz w:val="32"/>
          <w:szCs w:val="32"/>
          <w:lang w:val="en-US" w:eastAsia="zh-CN"/>
        </w:rPr>
        <w:t>有关镇</w:t>
      </w:r>
      <w:r>
        <w:rPr>
          <w:rFonts w:hint="default" w:ascii="仿宋_GB2312" w:hAnsi="仿宋_GB2312" w:eastAsia="仿宋_GB2312" w:cs="仿宋_GB2312"/>
          <w:sz w:val="32"/>
          <w:szCs w:val="32"/>
          <w:lang w:val="en-US" w:eastAsia="zh-CN"/>
        </w:rPr>
        <w:t>人民政府和其他有关部门参加相关工作组，共同做好事件应对工作。</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（1）综合协调组。由</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食安办牵头，会同</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发展改革</w:t>
      </w:r>
      <w:r>
        <w:rPr>
          <w:rFonts w:hint="eastAsia" w:ascii="仿宋_GB2312" w:hAnsi="仿宋_GB2312" w:eastAsia="仿宋_GB2312" w:cs="仿宋_GB2312"/>
          <w:sz w:val="32"/>
          <w:szCs w:val="32"/>
          <w:lang w:val="en-US" w:eastAsia="zh-CN"/>
        </w:rPr>
        <w:t>局</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区教育局、区民政局、区民宗局、区</w:t>
      </w:r>
      <w:r>
        <w:rPr>
          <w:rFonts w:hint="default" w:ascii="仿宋_GB2312" w:hAnsi="仿宋_GB2312" w:eastAsia="仿宋_GB2312" w:cs="仿宋_GB2312"/>
          <w:sz w:val="32"/>
          <w:szCs w:val="32"/>
          <w:lang w:val="en-US" w:eastAsia="zh-CN"/>
        </w:rPr>
        <w:t>农业农村局、</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卫生健康</w:t>
      </w:r>
      <w:r>
        <w:rPr>
          <w:rFonts w:hint="eastAsia" w:ascii="仿宋_GB2312" w:hAnsi="仿宋_GB2312" w:eastAsia="仿宋_GB2312" w:cs="仿宋_GB2312"/>
          <w:sz w:val="32"/>
          <w:szCs w:val="32"/>
          <w:lang w:val="en-US" w:eastAsia="zh-CN"/>
        </w:rPr>
        <w:t>局</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市场监管局</w:t>
      </w:r>
      <w:r>
        <w:rPr>
          <w:rFonts w:hint="eastAsia" w:ascii="仿宋_GB2312" w:hAnsi="仿宋_GB2312" w:eastAsia="仿宋_GB2312" w:cs="仿宋_GB2312"/>
          <w:sz w:val="32"/>
          <w:szCs w:val="32"/>
          <w:lang w:val="en-US" w:eastAsia="zh-CN"/>
        </w:rPr>
        <w:t>、区综合行政执法局、区</w:t>
      </w:r>
      <w:r>
        <w:rPr>
          <w:rFonts w:hint="default" w:ascii="仿宋_GB2312" w:hAnsi="仿宋_GB2312" w:eastAsia="仿宋_GB2312" w:cs="仿宋_GB2312"/>
          <w:sz w:val="32"/>
          <w:szCs w:val="32"/>
          <w:lang w:val="en-US" w:eastAsia="zh-CN"/>
        </w:rPr>
        <w:t>粮食物资储备中心等，传达贯彻党中央、国务院领导指示批示精神，推动落实国务院食安委、省委、省政府和市委、市政府</w:t>
      </w:r>
      <w:r>
        <w:rPr>
          <w:rFonts w:hint="eastAsia" w:ascii="仿宋_GB2312" w:hAnsi="仿宋_GB2312" w:eastAsia="仿宋_GB2312" w:cs="仿宋_GB2312"/>
          <w:sz w:val="32"/>
          <w:szCs w:val="32"/>
          <w:lang w:val="en-US" w:eastAsia="zh-CN"/>
        </w:rPr>
        <w:t>以及区委、区政府</w:t>
      </w:r>
      <w:r>
        <w:rPr>
          <w:rFonts w:hint="default" w:ascii="仿宋_GB2312" w:hAnsi="仿宋_GB2312" w:eastAsia="仿宋_GB2312" w:cs="仿宋_GB2312"/>
          <w:sz w:val="32"/>
          <w:szCs w:val="32"/>
          <w:lang w:val="en-US" w:eastAsia="zh-CN"/>
        </w:rPr>
        <w:t>安排部署，做好食品安全突发事件处置综合协调工作。完成</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指挥部交办的其他任务。</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（2）事件调查组。由</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市场监管局牵头，会同</w:t>
      </w:r>
      <w:r>
        <w:rPr>
          <w:rFonts w:hint="eastAsia" w:ascii="仿宋_GB2312" w:hAnsi="仿宋_GB2312" w:eastAsia="仿宋_GB2312" w:cs="仿宋_GB2312"/>
          <w:sz w:val="32"/>
          <w:szCs w:val="32"/>
          <w:lang w:val="en-US" w:eastAsia="zh-CN"/>
        </w:rPr>
        <w:t>区发展改革局、区</w:t>
      </w:r>
      <w:r>
        <w:rPr>
          <w:rFonts w:hint="default" w:ascii="仿宋_GB2312" w:hAnsi="仿宋_GB2312" w:eastAsia="仿宋_GB2312" w:cs="仿宋_GB2312"/>
          <w:sz w:val="32"/>
          <w:szCs w:val="32"/>
          <w:lang w:val="en-US" w:eastAsia="zh-CN"/>
        </w:rPr>
        <w:t>教育局、</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公安</w:t>
      </w:r>
      <w:r>
        <w:rPr>
          <w:rFonts w:hint="eastAsia" w:ascii="仿宋_GB2312" w:hAnsi="仿宋_GB2312" w:eastAsia="仿宋_GB2312" w:cs="仿宋_GB2312"/>
          <w:sz w:val="32"/>
          <w:szCs w:val="32"/>
          <w:lang w:val="en-US" w:eastAsia="zh-CN"/>
        </w:rPr>
        <w:t>分</w:t>
      </w:r>
      <w:r>
        <w:rPr>
          <w:rFonts w:hint="default"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val="en-US" w:eastAsia="zh-CN"/>
        </w:rPr>
        <w:t>区民政局、区</w:t>
      </w:r>
      <w:r>
        <w:rPr>
          <w:rFonts w:hint="default" w:ascii="仿宋_GB2312" w:hAnsi="仿宋_GB2312" w:eastAsia="仿宋_GB2312" w:cs="仿宋_GB2312"/>
          <w:sz w:val="32"/>
          <w:szCs w:val="32"/>
          <w:lang w:val="en-US" w:eastAsia="zh-CN"/>
        </w:rPr>
        <w:t>农业农村局、</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卫生健康</w:t>
      </w:r>
      <w:r>
        <w:rPr>
          <w:rFonts w:hint="eastAsia" w:ascii="仿宋_GB2312" w:hAnsi="仿宋_GB2312" w:eastAsia="仿宋_GB2312" w:cs="仿宋_GB2312"/>
          <w:sz w:val="32"/>
          <w:szCs w:val="32"/>
          <w:lang w:val="en-US" w:eastAsia="zh-CN"/>
        </w:rPr>
        <w:t>局</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区文广体育旅游</w:t>
      </w:r>
      <w:r>
        <w:rPr>
          <w:rFonts w:hint="default"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val="en-US" w:eastAsia="zh-CN"/>
        </w:rPr>
        <w:t>、区综合行政执法局</w:t>
      </w:r>
      <w:r>
        <w:rPr>
          <w:rFonts w:hint="default" w:ascii="仿宋_GB2312" w:hAnsi="仿宋_GB2312" w:eastAsia="仿宋_GB2312" w:cs="仿宋_GB2312"/>
          <w:sz w:val="32"/>
          <w:szCs w:val="32"/>
          <w:lang w:val="en-US" w:eastAsia="zh-CN"/>
        </w:rPr>
        <w:t>等，负责调查事件发生原因，评估事件影响；查清</w:t>
      </w:r>
      <w:r>
        <w:rPr>
          <w:rFonts w:hint="eastAsia" w:ascii="仿宋_GB2312" w:hAnsi="仿宋_GB2312" w:eastAsia="仿宋_GB2312" w:cs="仿宋_GB2312"/>
          <w:sz w:val="32"/>
          <w:szCs w:val="32"/>
          <w:lang w:val="en-US" w:eastAsia="zh-CN"/>
        </w:rPr>
        <w:t>镇</w:t>
      </w:r>
      <w:r>
        <w:rPr>
          <w:rFonts w:hint="default" w:ascii="仿宋_GB2312" w:hAnsi="仿宋_GB2312" w:eastAsia="仿宋_GB2312" w:cs="仿宋_GB2312"/>
          <w:sz w:val="32"/>
          <w:szCs w:val="32"/>
          <w:lang w:val="en-US" w:eastAsia="zh-CN"/>
        </w:rPr>
        <w:t>党委政府和职能部门</w:t>
      </w:r>
      <w:r>
        <w:rPr>
          <w:rFonts w:hint="eastAsia" w:ascii="仿宋_GB2312" w:hAnsi="仿宋_GB2312" w:eastAsia="仿宋_GB2312" w:cs="仿宋_GB2312"/>
          <w:sz w:val="32"/>
          <w:szCs w:val="32"/>
          <w:lang w:val="en-US" w:eastAsia="zh-CN"/>
        </w:rPr>
        <w:t>、相关单位</w:t>
      </w:r>
      <w:r>
        <w:rPr>
          <w:rFonts w:hint="default" w:ascii="仿宋_GB2312" w:hAnsi="仿宋_GB2312" w:eastAsia="仿宋_GB2312" w:cs="仿宋_GB2312"/>
          <w:sz w:val="32"/>
          <w:szCs w:val="32"/>
          <w:lang w:val="en-US" w:eastAsia="zh-CN"/>
        </w:rPr>
        <w:t>管理责任，提出应当追责问责的党员、干部以及监察对象建议名单及人员责任事实，移送纪检监察机关审查调查或问责调查；对涉嫌犯罪的，由</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公安</w:t>
      </w:r>
      <w:r>
        <w:rPr>
          <w:rFonts w:hint="eastAsia" w:ascii="仿宋_GB2312" w:hAnsi="仿宋_GB2312" w:eastAsia="仿宋_GB2312" w:cs="仿宋_GB2312"/>
          <w:sz w:val="32"/>
          <w:szCs w:val="32"/>
          <w:lang w:val="en-US" w:eastAsia="zh-CN"/>
        </w:rPr>
        <w:t>分</w:t>
      </w:r>
      <w:r>
        <w:rPr>
          <w:rFonts w:hint="default" w:ascii="仿宋_GB2312" w:hAnsi="仿宋_GB2312" w:eastAsia="仿宋_GB2312" w:cs="仿宋_GB2312"/>
          <w:sz w:val="32"/>
          <w:szCs w:val="32"/>
          <w:lang w:val="en-US" w:eastAsia="zh-CN"/>
        </w:rPr>
        <w:t>局立案侦办。根据实际需要，事件调查组可以设置在事件发生地或派出部分人员赴现场开展事件调查。完成</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指挥部交办的其他任务。</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（3）危害控制组。由</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市场监管局牵头，会同</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经济信息化局、</w:t>
      </w:r>
      <w:r>
        <w:rPr>
          <w:rFonts w:hint="eastAsia" w:ascii="仿宋_GB2312" w:hAnsi="仿宋_GB2312" w:eastAsia="仿宋_GB2312" w:cs="仿宋_GB2312"/>
          <w:sz w:val="32"/>
          <w:szCs w:val="32"/>
          <w:lang w:val="en-US" w:eastAsia="zh-CN"/>
        </w:rPr>
        <w:t>区教育局、区</w:t>
      </w:r>
      <w:r>
        <w:rPr>
          <w:rFonts w:hint="default" w:ascii="仿宋_GB2312" w:hAnsi="仿宋_GB2312" w:eastAsia="仿宋_GB2312" w:cs="仿宋_GB2312"/>
          <w:sz w:val="32"/>
          <w:szCs w:val="32"/>
          <w:lang w:val="en-US" w:eastAsia="zh-CN"/>
        </w:rPr>
        <w:t>公安</w:t>
      </w:r>
      <w:r>
        <w:rPr>
          <w:rFonts w:hint="eastAsia" w:ascii="仿宋_GB2312" w:hAnsi="仿宋_GB2312" w:eastAsia="仿宋_GB2312" w:cs="仿宋_GB2312"/>
          <w:sz w:val="32"/>
          <w:szCs w:val="32"/>
          <w:lang w:val="en-US" w:eastAsia="zh-CN"/>
        </w:rPr>
        <w:t>分</w:t>
      </w:r>
      <w:r>
        <w:rPr>
          <w:rFonts w:hint="default"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民政局、</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住房城乡建设局、</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农业农村局、</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卫生健康</w:t>
      </w:r>
      <w:r>
        <w:rPr>
          <w:rFonts w:hint="eastAsia" w:ascii="仿宋_GB2312" w:hAnsi="仿宋_GB2312" w:eastAsia="仿宋_GB2312" w:cs="仿宋_GB2312"/>
          <w:sz w:val="32"/>
          <w:szCs w:val="32"/>
          <w:lang w:val="en-US" w:eastAsia="zh-CN"/>
        </w:rPr>
        <w:t>局、区</w:t>
      </w:r>
      <w:r>
        <w:rPr>
          <w:rFonts w:hint="default" w:ascii="仿宋_GB2312" w:hAnsi="仿宋_GB2312" w:eastAsia="仿宋_GB2312" w:cs="仿宋_GB2312"/>
          <w:sz w:val="32"/>
          <w:szCs w:val="32"/>
          <w:lang w:val="en-US" w:eastAsia="zh-CN"/>
        </w:rPr>
        <w:t>粮食物资储备中心等，负责监督、指导</w:t>
      </w:r>
      <w:r>
        <w:rPr>
          <w:rFonts w:hint="eastAsia" w:ascii="仿宋_GB2312" w:hAnsi="仿宋_GB2312" w:eastAsia="仿宋_GB2312" w:cs="仿宋_GB2312"/>
          <w:color w:val="auto"/>
          <w:sz w:val="32"/>
          <w:szCs w:val="32"/>
          <w:lang w:val="en-US" w:eastAsia="zh-CN"/>
        </w:rPr>
        <w:t>相关</w:t>
      </w:r>
      <w:r>
        <w:rPr>
          <w:rFonts w:hint="default" w:ascii="仿宋_GB2312" w:hAnsi="仿宋_GB2312" w:eastAsia="仿宋_GB2312" w:cs="仿宋_GB2312"/>
          <w:color w:val="auto"/>
          <w:sz w:val="32"/>
          <w:szCs w:val="32"/>
          <w:lang w:val="en-US" w:eastAsia="zh-CN"/>
        </w:rPr>
        <w:t>职能部门</w:t>
      </w:r>
      <w:r>
        <w:rPr>
          <w:rFonts w:hint="default" w:ascii="仿宋_GB2312" w:hAnsi="仿宋_GB2312" w:eastAsia="仿宋_GB2312" w:cs="仿宋_GB2312"/>
          <w:sz w:val="32"/>
          <w:szCs w:val="32"/>
          <w:lang w:val="en-US" w:eastAsia="zh-CN"/>
        </w:rPr>
        <w:t>召回、下架、封存有关食品、原料、食品添加剂及食品相关产品，严格控制流通渠道，防止危害蔓延扩大。对有关食品生产经营场所、问题食品污染区域和病害可能的传播区域实施消毒、防疫。完成</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指挥部交办的其他任务。</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（4）医疗救治组。由</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卫生健康</w:t>
      </w:r>
      <w:r>
        <w:rPr>
          <w:rFonts w:hint="eastAsia" w:ascii="仿宋_GB2312" w:hAnsi="仿宋_GB2312" w:eastAsia="仿宋_GB2312" w:cs="仿宋_GB2312"/>
          <w:sz w:val="32"/>
          <w:szCs w:val="32"/>
          <w:lang w:val="en-US" w:eastAsia="zh-CN"/>
        </w:rPr>
        <w:t>局</w:t>
      </w:r>
      <w:r>
        <w:rPr>
          <w:rFonts w:hint="default" w:ascii="仿宋_GB2312" w:hAnsi="仿宋_GB2312" w:eastAsia="仿宋_GB2312" w:cs="仿宋_GB2312"/>
          <w:sz w:val="32"/>
          <w:szCs w:val="32"/>
          <w:lang w:val="en-US" w:eastAsia="zh-CN"/>
        </w:rPr>
        <w:t>牵头，会同有关部门制定最佳救治方案，指导</w:t>
      </w:r>
      <w:r>
        <w:rPr>
          <w:rFonts w:hint="eastAsia" w:ascii="仿宋_GB2312" w:hAnsi="仿宋_GB2312" w:eastAsia="仿宋_GB2312" w:cs="仿宋_GB2312"/>
          <w:sz w:val="32"/>
          <w:szCs w:val="32"/>
          <w:lang w:val="en-US" w:eastAsia="zh-CN"/>
        </w:rPr>
        <w:t>医疗机构</w:t>
      </w:r>
      <w:r>
        <w:rPr>
          <w:rFonts w:hint="default" w:ascii="仿宋_GB2312" w:hAnsi="仿宋_GB2312" w:eastAsia="仿宋_GB2312" w:cs="仿宋_GB2312"/>
          <w:sz w:val="32"/>
          <w:szCs w:val="32"/>
          <w:lang w:val="en-US" w:eastAsia="zh-CN"/>
        </w:rPr>
        <w:t>对健康受到危害的人员进行医疗救治。完成</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指挥部交办的其他任务。</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（5）检测评估组。由</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市场监管局牵头，会同</w:t>
      </w:r>
      <w:r>
        <w:rPr>
          <w:rFonts w:hint="eastAsia" w:ascii="仿宋_GB2312" w:hAnsi="仿宋_GB2312" w:eastAsia="仿宋_GB2312" w:cs="仿宋_GB2312"/>
          <w:sz w:val="32"/>
          <w:szCs w:val="32"/>
          <w:lang w:val="en-US" w:eastAsia="zh-CN"/>
        </w:rPr>
        <w:t>区发展改革</w:t>
      </w:r>
      <w:r>
        <w:rPr>
          <w:rFonts w:hint="default"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农业农村局、</w:t>
      </w:r>
      <w:r>
        <w:rPr>
          <w:rFonts w:hint="eastAsia" w:ascii="仿宋_GB2312" w:hAnsi="仿宋_GB2312" w:eastAsia="仿宋_GB2312" w:cs="仿宋_GB2312"/>
          <w:sz w:val="32"/>
          <w:szCs w:val="32"/>
          <w:lang w:val="en-US" w:eastAsia="zh-CN"/>
        </w:rPr>
        <w:t>五通桥</w:t>
      </w:r>
      <w:r>
        <w:rPr>
          <w:rFonts w:hint="default" w:ascii="仿宋_GB2312" w:hAnsi="仿宋_GB2312" w:eastAsia="仿宋_GB2312" w:cs="仿宋_GB2312"/>
          <w:sz w:val="32"/>
          <w:szCs w:val="32"/>
          <w:lang w:val="en-US" w:eastAsia="zh-CN"/>
        </w:rPr>
        <w:t>生态环境局、</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卫生健康</w:t>
      </w:r>
      <w:r>
        <w:rPr>
          <w:rFonts w:hint="eastAsia" w:ascii="仿宋_GB2312" w:hAnsi="仿宋_GB2312" w:eastAsia="仿宋_GB2312" w:cs="仿宋_GB2312"/>
          <w:sz w:val="32"/>
          <w:szCs w:val="32"/>
          <w:lang w:val="en-US" w:eastAsia="zh-CN"/>
        </w:rPr>
        <w:t>局</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区自然资源</w:t>
      </w:r>
      <w:r>
        <w:rPr>
          <w:rFonts w:hint="default" w:ascii="仿宋_GB2312" w:hAnsi="仿宋_GB2312" w:eastAsia="仿宋_GB2312" w:cs="仿宋_GB2312"/>
          <w:sz w:val="32"/>
          <w:szCs w:val="32"/>
          <w:lang w:val="en-US" w:eastAsia="zh-CN"/>
        </w:rPr>
        <w:t>局等，负责实施相关应急检测，综合分析各方检测数据，通过技术手段查找事件原因和评估事件发展趋势，分析评估事件后果，为制定应急处置方案和采取控制措施提供参考。检测评估结果及时报告</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指挥部及办公室。完成</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指挥部交办的其他任务。</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（6）维护稳定组。由</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公安</w:t>
      </w:r>
      <w:r>
        <w:rPr>
          <w:rFonts w:hint="eastAsia" w:ascii="仿宋_GB2312" w:hAnsi="仿宋_GB2312" w:eastAsia="仿宋_GB2312" w:cs="仿宋_GB2312"/>
          <w:sz w:val="32"/>
          <w:szCs w:val="32"/>
          <w:lang w:val="en-US" w:eastAsia="zh-CN"/>
        </w:rPr>
        <w:t>分</w:t>
      </w:r>
      <w:r>
        <w:rPr>
          <w:rFonts w:hint="default" w:ascii="仿宋_GB2312" w:hAnsi="仿宋_GB2312" w:eastAsia="仿宋_GB2312" w:cs="仿宋_GB2312"/>
          <w:sz w:val="32"/>
          <w:szCs w:val="32"/>
          <w:lang w:val="en-US" w:eastAsia="zh-CN"/>
        </w:rPr>
        <w:t>局牵头，会同</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委宣传部（</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委网信办</w:t>
      </w:r>
      <w:r>
        <w:rPr>
          <w:rFonts w:hint="eastAsia" w:ascii="仿宋_GB2312" w:hAnsi="仿宋_GB2312" w:eastAsia="仿宋_GB2312" w:cs="仿宋_GB2312"/>
          <w:sz w:val="32"/>
          <w:szCs w:val="32"/>
          <w:lang w:val="en-US" w:eastAsia="zh-CN"/>
        </w:rPr>
        <w:t>、区政府新闻办</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经济信息化局、</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市场监管局、</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供销社等，负责加强社会治安管理，严厉打击编造传播谣言、制造社会恐慌、借机作乱等违法犯罪行为，做好矛盾纠纷化解和法律服务工作。做好主要生活必需品的市场供应工作，满足居民日常基本生活需要。完成</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指挥部交办的其他任务。</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新闻宣传组。由区委宣传部（区委网信办、区政府新闻办）牵头，会同区市场监管局、区公安分局、区卫生健康局、区文广体育旅游局等，负责组织事件处置宣传报道和舆论引导，做好信息发布工作。完成区指挥部交办的其他任务。</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（8）专家指导组。由区市场监管局牵头，会同市、区食品安全及有关方面的专家，负责为应急响应级别的调整和响应解除以及应急处置工作提供决策建议。完成区指挥部交办的其他任务。</w:t>
      </w:r>
    </w:p>
    <w:p>
      <w:pPr>
        <w:keepNext w:val="0"/>
        <w:keepLines w:val="0"/>
        <w:pageBreakBefore w:val="0"/>
        <w:widowControl/>
        <w:tabs>
          <w:tab w:val="left" w:pos="1560"/>
        </w:tabs>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2.5  镇组织指挥设置</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镇层面组织指挥体系参照区级组织指挥架构设置，负责统一领导、组织、协调本行政区域的食品安全突发事件应对工作，确保科学安全、高效有序应对非级别事件，并及时开展级别食品安全突发事件发生后的先期处置。对需要区指挥部组织开展处置的非级别事件，及时向区政府提出请求。</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区级有关部门、技术支撑机构及镇按照职责分工，密切配合，共同做好食品安全突发事件防范应对工作。</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3</w:t>
      </w:r>
      <w:r>
        <w:rPr>
          <w:rFonts w:hint="eastAsia" w:ascii="黑体" w:hAnsi="黑体" w:eastAsia="黑体" w:cs="黑体"/>
          <w:sz w:val="32"/>
          <w:szCs w:val="32"/>
          <w:lang w:val="en-US" w:eastAsia="zh-CN"/>
        </w:rPr>
        <w:tab/>
      </w:r>
      <w:r>
        <w:rPr>
          <w:rFonts w:hint="eastAsia" w:ascii="黑体" w:hAnsi="黑体" w:eastAsia="黑体" w:cs="黑体"/>
          <w:sz w:val="32"/>
          <w:szCs w:val="32"/>
          <w:lang w:val="en-US" w:eastAsia="zh-CN"/>
        </w:rPr>
        <w:t xml:space="preserve">  运行机制</w:t>
      </w:r>
    </w:p>
    <w:p>
      <w:pPr>
        <w:keepNext w:val="0"/>
        <w:keepLines w:val="0"/>
        <w:pageBreakBefore w:val="0"/>
        <w:widowControl/>
        <w:tabs>
          <w:tab w:val="left" w:pos="1560"/>
        </w:tabs>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3.1  风险防控</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3.1.1  食品安全监管各有关部门应建立常态化值班值守制度，确保通信畅通，及时处理应急事项。</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3.1.2  食品安全监管各有关部门要按照职责分工对可能发生的突发事件进行综合性评估和趋势分析，并跟踪研判，提出防范措施建议，报区委、区政府及上级主管部门，抄送本级应急管理部门。</w:t>
      </w:r>
    </w:p>
    <w:p>
      <w:pPr>
        <w:keepNext w:val="0"/>
        <w:keepLines w:val="0"/>
        <w:pageBreakBefore w:val="0"/>
        <w:widowControl/>
        <w:tabs>
          <w:tab w:val="left" w:pos="1560"/>
        </w:tabs>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3.2  监测与预警</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3.2.1  事件风险监测</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市场监管局、区农业农村局、区卫生健康局及其他有关部门按照职责分工开展日常食品安全监督抽检、风险监测等工作，加强对广播、电视、报刊、互联网及移动网络等媒体上有关食品安全舆情热点信息的跟踪监测，对可能导致食品安全突发事件的风险信息加强收集、分析和研判，必要时，向有关部门和镇通报。</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食品生产经营企业应当依法落实食品安全主体责任，定期自查，排查和消除食品安全风险隐患，健全风险防控措施。当出现可能导致食品安全突发事件的情况时，要立即报告当地食品安全监管部门。</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3.2.2  事件风险预警</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3.2.2.1  预警分级</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可以预警的食品安全突发事件，按照事件发生的可能性大小、紧急程度和可能造成的危害，分为一级、二级、三级和四级预警，分别用红色、橙色、黄色和蓝色表示，一级为最高级别。预警级别的具体划分按照国家市场监管总局制定的标准执行。</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3.2.2.2  预警信息发布</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农业农村局、区卫生健康局等有关部门在监测中发现苗头性、倾向性食品安全问题可能引发食品安全突发事件的，应及时通报区市场监管局，区市场监管局经研判后，根据需要通知可能波及的镇做好预警防范工作。</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食品安全监管部门研判可能发生食品安全突发事件时，应当及时向区政府提出预警信息发布建议，同时通报区级相关部门（单位）。区政府或其授权的相关部门要及时通过预警信息发布平台和广播、电视、报纸、互联网、手机短信等渠道，向本行政区域公众发布预警信息。</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食品安全监管部门应将监测到的可能导致食品安全突发事件的有关信息，及时通报相关镇。</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3.2.2.3  预警行动</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研判可能发生食品安全突发事件时，区政府及有关部门视情采取以下措施：</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分析研判。组织有关部门和机构、专业技术人员及专家，加强苗头性、倾向性食品安全信息和食品安全热点敏感舆情的收集、核查、汇总和分析研判，及时组织开展跟踪监测工作，预估事件发展趋势、危害程度、影响范围。经分析评估和调查核实，符合食品安全突发事件分级响应标准的，按本预案处置。</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（2）有效防范。迅速采取有效防范措施，防止事件进一步蔓延扩大。利用各种渠道增加宣传频次，加强对食品安全应急科普方面的宣传，告知公众停止食用或使用不安全食品。</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（3）应对准备。通知应急队伍和负有相关职责的人员进入待命状态，调集食品安全突发事件应急所需物资、装备和设备，做好应急保障工作。</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（4）舆论引导。及时准确发布事态最新情况，组织专家解读风险，并对可能产生的危害加以解释、说明，加强相关舆情跟踪监测，主动回应社会公众关注的问题，及时澄清谣言传言。</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3.2.2.4  预警解除</w:t>
      </w:r>
    </w:p>
    <w:p>
      <w:pPr>
        <w:keepNext w:val="0"/>
        <w:keepLines w:val="0"/>
        <w:pageBreakBefore w:val="0"/>
        <w:widowControl/>
        <w:tabs>
          <w:tab w:val="left" w:pos="1560"/>
        </w:tabs>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发布预警的单位应当根据事态发展和采取措施的效果等情况，适时调整预警级别或者宣布解除预警。当研判可能引发食品安全突发事件的因素已经消除或得到有效控制，应当适时终止相关预警行动。</w:t>
      </w:r>
    </w:p>
    <w:p>
      <w:pPr>
        <w:keepNext w:val="0"/>
        <w:keepLines w:val="0"/>
        <w:pageBreakBefore w:val="0"/>
        <w:widowControl/>
        <w:tabs>
          <w:tab w:val="left" w:pos="1560"/>
        </w:tabs>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3.3  信息报告与通报</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3.3.1  报告主体和时限</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食品安全监管部门建立实施食品安全突发事件信息报告制度，明确报告的主体、程序及内容，强化首报、续报、终报责任。加强信息直报系统建设，提升突发事件信息报告时效性、准确性，及时通报和共享有关信息。任何单位和个人不得对食品安全突发事件隐瞒、谎报、缓报，不得隐匿、伪造、毁灭有关证据。</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（1）食品生产经营者发现其生产经营的食品造成或者可能造成公众健康损害的，以及发生可能与食品安全有关的急性群体性健康损害的单位，应当及时向区市场监管部门报告。</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医疗卫生机构发现其接收的病人属于食源性疾病病人或者疑似病人的，应当按照规定及时将相关信息向区卫生健康部门报告，初判是食物中毒的，要同步通报区市场监管部门。区卫生健康部门认为与食品安全有关的，应当及时通报区市场监管部门。发生食源性疾病暴发（包括群体性食物中毒）的单位和接收</w:t>
      </w:r>
      <w:r>
        <w:rPr>
          <w:rFonts w:hint="eastAsia" w:ascii="仿宋_GB2312" w:hAnsi="仿宋_GB2312" w:eastAsia="仿宋_GB2312" w:cs="仿宋_GB2312"/>
          <w:spacing w:val="-6"/>
          <w:kern w:val="2"/>
          <w:sz w:val="32"/>
          <w:szCs w:val="32"/>
          <w:lang w:val="en-US" w:eastAsia="zh-CN"/>
        </w:rPr>
        <w:t>病人的医疗机构应当在2小时内向区卫生健康、市场监管部门报</w:t>
      </w:r>
      <w:r>
        <w:rPr>
          <w:rFonts w:hint="eastAsia" w:ascii="仿宋_GB2312" w:hAnsi="仿宋_GB2312" w:eastAsia="仿宋_GB2312" w:cs="仿宋_GB2312"/>
          <w:sz w:val="32"/>
          <w:szCs w:val="32"/>
          <w:lang w:val="en-US" w:eastAsia="zh-CN"/>
        </w:rPr>
        <w:t>告。</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（3）卫生健康部门在调查处理传染病或者其他突发公共卫</w:t>
      </w:r>
      <w:r>
        <w:rPr>
          <w:rFonts w:hint="eastAsia" w:ascii="仿宋_GB2312" w:hAnsi="仿宋_GB2312" w:eastAsia="仿宋_GB2312" w:cs="仿宋_GB2312"/>
          <w:spacing w:val="-6"/>
          <w:kern w:val="2"/>
          <w:sz w:val="32"/>
          <w:szCs w:val="32"/>
          <w:lang w:val="en-US" w:eastAsia="zh-CN"/>
        </w:rPr>
        <w:t>生事件中发现与食品安全相关的信息，应当及时通报市场监管部</w:t>
      </w:r>
      <w:r>
        <w:rPr>
          <w:rFonts w:hint="eastAsia" w:ascii="仿宋_GB2312" w:hAnsi="仿宋_GB2312" w:eastAsia="仿宋_GB2312" w:cs="仿宋_GB2312"/>
          <w:sz w:val="32"/>
          <w:szCs w:val="32"/>
          <w:lang w:val="en-US" w:eastAsia="zh-CN"/>
        </w:rPr>
        <w:t>门。</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（4）食品安全相关技术机构（含第三方食品检测机构）、有关社会团体及个人发现食品安全事件相关情况，要及时向所在地市场监管部门报告，同时向其相关行政主管部门报告。</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（5）镇、区食安委成员单位获得疑似或已确定的食品安全事件信息，特别是敏感人群、敏感时期所发生的食品安全事件信息后，要在第一时间向区食安办报告简要情况，详情随后续报，同时向其</w:t>
      </w:r>
      <w:r>
        <w:rPr>
          <w:rFonts w:hint="eastAsia" w:ascii="仿宋_GB2312" w:hAnsi="仿宋_GB2312" w:eastAsia="仿宋_GB2312" w:cs="仿宋_GB2312"/>
          <w:color w:val="auto"/>
          <w:sz w:val="32"/>
          <w:szCs w:val="32"/>
          <w:lang w:val="en-US" w:eastAsia="zh-CN"/>
        </w:rPr>
        <w:t>上级主管部门</w:t>
      </w:r>
      <w:r>
        <w:rPr>
          <w:rFonts w:hint="eastAsia" w:ascii="仿宋_GB2312" w:hAnsi="仿宋_GB2312" w:eastAsia="仿宋_GB2312" w:cs="仿宋_GB2312"/>
          <w:sz w:val="32"/>
          <w:szCs w:val="32"/>
          <w:lang w:val="en-US" w:eastAsia="zh-CN"/>
        </w:rPr>
        <w:t>报告，原则上不得超过1小时。</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发生较大或一般食品安全突发事件，区食安办必须1小时内报区食安委并逐级向上级食安办报告，报告时间不得超过1小时。发生特别重大或重大食品安全突发事件，区食安办必须30分钟内以电话方式、1小时内书面形式报告区食安委并逐级向上级食安办报告，报告时间不得超过1小时，特殊情况可直接上报省食安办，最迟不得超过2小时。</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（7）涉及港澳台侨、外籍人员，或影响到境外的突发事件，需要向香港特别行政区政府、澳门特别行政区政府、台湾当局以及有关国家、地区、国际机构通报的，按照相关规定办理。</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（8）接到事件信息的食安委成员单位经核实事件发生地不在本行政区域时，需及时向区食安委和事件发生地监管部门通报。</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（9）区食安办应向社会及有关单位公布应急事件信息报告</w:t>
      </w:r>
      <w:r>
        <w:rPr>
          <w:rFonts w:hint="eastAsia" w:ascii="仿宋_GB2312" w:hAnsi="仿宋_GB2312" w:eastAsia="仿宋_GB2312" w:cs="仿宋_GB2312"/>
          <w:spacing w:val="-6"/>
          <w:kern w:val="2"/>
          <w:sz w:val="32"/>
          <w:szCs w:val="32"/>
          <w:lang w:val="en-US" w:eastAsia="zh-CN"/>
        </w:rPr>
        <w:t>电话，畅通信息渠道，保障食品安全事件信息报告与通报的及时</w:t>
      </w:r>
      <w:r>
        <w:rPr>
          <w:rFonts w:hint="eastAsia" w:ascii="仿宋_GB2312" w:hAnsi="仿宋_GB2312" w:eastAsia="仿宋_GB2312" w:cs="仿宋_GB2312"/>
          <w:sz w:val="32"/>
          <w:szCs w:val="32"/>
          <w:lang w:val="en-US" w:eastAsia="zh-CN"/>
        </w:rPr>
        <w:t>性。</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3.3.2  报告内容</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食品生产经营者、医疗机构、技术机构和社会团体、个人报告疑似食品安全突发事件信息时，应当包括事件发生时间、地点和当前状况等基本情况。</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关监管部门初报食品安全突发事件信息应包括信息来源、事件发生时间、地点、性质、简要经过、影响范围、人员伤（病）亡及家属安抚、网上舆情、社会面治安稳定、现场救援等情况和已经采取的其他措施；根据事件应对情况可进行多次续报，内容主要包括事件进展、发展趋势、后续应对措施、调查详情、原因分析等信息；终报应包括事件概况、调查处理过程、事件性质、事件责任认定、追溯或处置结果、整改措施和效果评价等。</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3.3.3  先期处置</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区食安办接到食品安全事件报告后，应立即按要求上报和通报事件信息，同时组织区食安委成员单位，在各自职责范围内开</w:t>
      </w:r>
      <w:r>
        <w:rPr>
          <w:rFonts w:hint="eastAsia" w:ascii="仿宋_GB2312" w:hAnsi="仿宋_GB2312" w:eastAsia="仿宋_GB2312" w:cs="仿宋_GB2312"/>
          <w:spacing w:val="-6"/>
          <w:kern w:val="2"/>
          <w:sz w:val="32"/>
          <w:szCs w:val="32"/>
          <w:lang w:val="en-US" w:eastAsia="zh-CN"/>
        </w:rPr>
        <w:t>展先期应急处置和事件调查，采取下列措施，防止或减轻社会危</w:t>
      </w:r>
      <w:r>
        <w:rPr>
          <w:rFonts w:hint="eastAsia" w:ascii="仿宋_GB2312" w:hAnsi="仿宋_GB2312" w:eastAsia="仿宋_GB2312" w:cs="仿宋_GB2312"/>
          <w:sz w:val="32"/>
          <w:szCs w:val="32"/>
          <w:lang w:val="en-US" w:eastAsia="zh-CN"/>
        </w:rPr>
        <w:t>害。</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（1）开展应急救援，组织救治患者，做好安抚工作。</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（2）保护现场，维护治安，封存可能导致食品安全事件的食品及其原料；封存被污染的食品工具及用具；封存发生集体性食物中毒的食堂或操作间；立即组织检验，对确认属于被污染的</w:t>
      </w:r>
      <w:r>
        <w:rPr>
          <w:rFonts w:hint="eastAsia" w:ascii="仿宋_GB2312" w:hAnsi="仿宋_GB2312" w:eastAsia="仿宋_GB2312" w:cs="仿宋_GB2312"/>
          <w:spacing w:val="-6"/>
          <w:kern w:val="2"/>
          <w:sz w:val="32"/>
          <w:szCs w:val="32"/>
          <w:lang w:val="en-US" w:eastAsia="zh-CN"/>
        </w:rPr>
        <w:t>食品及其原料，责令食品生产经营者依法予以召回，停止生产经</w:t>
      </w:r>
      <w:r>
        <w:rPr>
          <w:rFonts w:hint="eastAsia" w:ascii="仿宋_GB2312" w:hAnsi="仿宋_GB2312" w:eastAsia="仿宋_GB2312" w:cs="仿宋_GB2312"/>
          <w:sz w:val="32"/>
          <w:szCs w:val="32"/>
          <w:lang w:val="en-US" w:eastAsia="zh-CN"/>
        </w:rPr>
        <w:t>营。</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（3）根据各自职责开展事件初步调查。</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（4）必要时，报请区政府同意后向社会依法发布食品安全事件及其处理情况，对可能产生的危害加以解释和说明。</w:t>
      </w:r>
    </w:p>
    <w:p>
      <w:pPr>
        <w:keepNext w:val="0"/>
        <w:keepLines w:val="0"/>
        <w:pageBreakBefore w:val="0"/>
        <w:widowControl/>
        <w:tabs>
          <w:tab w:val="left" w:pos="1560"/>
        </w:tabs>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3.4  应急响应</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3.4.1  响应分级</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食品安全突发事件发生后，区食安办应根据食品安全突发事件初判级别、预期影响后果和本级应急处置能力等，综合判断确定是否启动响应和启动响应的级别及采取的应急处置措施。对于引发舆论热议和社会高度关注，或发生在重点地区、重要会议及重大活动期间的食品安全突发事件，可适当提高响应级别。应急响应启动后，可视情调整响应级别。</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食品安全突发事件区级响应分级标准一般由高到低分为三级：一级、二级、三级。启动一级响应，由区委、区政府主要领导决定；启动二级响应，由区政府分管领导决定并报告区委、区政府主要领导；启动三级响应，由区政府分管领导决定并指定区级牵头部门。</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生特别重大、重大、较大食品安全突发事件，应立即启动一级应急响应，在上级指挥部的统一领导下开展应急处置工作。发生一般食品安全突发事件由区政府启动相应级别响应，必要时在上级派出工作组的指导、配合下开展应急处置工作。未达到本预案一般级别的食品安全突发事件，在区指挥部统一领导下，由事件发生地镇人民政府、区级有关部门采取必要措施，做好处置工作，控制事态升级蔓延。</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食源性疾病中涉及传染病疫情的，按照《中华人民共和国传染病防治法》和国家、四川省、乐山市、五通桥区突发公共卫生事件应急预案等相关规定开展疫情防控和应急处置。</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3.4.2  响应措施</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食品安全突发事件发生后，根据事件性质、特点和危害程度，区政府、镇政府和有关部门（单位）应当根据工作需要，做好先期处置工作，组织采取以下相关措施。</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3.4.2.1</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医学救援</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卫生健康部门迅速组织当地医疗资源和力量，对食品安全突发事件患者进行诊断治疗，视情况增派医疗卫生专家和卫生应急队伍，调配急需医药物资，根据需要及时、安全地将重症患者转运到有条件的医疗机构实施救治，支持事发地医学救援工作；提出保护公众健康的意见建议，做好伤病员的心理援助。</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3.4.2.2  现场处置</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有关部门应当依法封存可能导致食品安全突发事件的食品及其原料和可能被污染的食品相关产品；对确认属于被污染的食品及其原料，责令生产经营者按相关法律法规规定召回或者停止经营；对被污染的食品相关产品，必要时应当标明危害范围，防止危害扩大或证据灭失等。依法封存涉事相关场所以及用于食品生产经营的工具、设备，待现场调查结束后，责令彻底清洗消毒被污染的场所以及用于食品生产经营的工具、设备，消除污染。</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3.4.2.3  流行病学调查</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卫生健康部门及时组织</w:t>
      </w:r>
      <w:r>
        <w:rPr>
          <w:rFonts w:hint="eastAsia" w:ascii="仿宋_GB2312" w:hAnsi="仿宋_GB2312" w:eastAsia="仿宋_GB2312" w:cs="仿宋_GB2312"/>
          <w:color w:val="auto"/>
          <w:sz w:val="32"/>
          <w:szCs w:val="32"/>
          <w:lang w:val="en-US" w:eastAsia="zh-CN"/>
        </w:rPr>
        <w:t>疾病预防控制机构</w:t>
      </w:r>
      <w:r>
        <w:rPr>
          <w:rFonts w:hint="eastAsia" w:ascii="仿宋_GB2312" w:hAnsi="仿宋_GB2312" w:eastAsia="仿宋_GB2312" w:cs="仿宋_GB2312"/>
          <w:sz w:val="32"/>
          <w:szCs w:val="32"/>
          <w:lang w:val="en-US" w:eastAsia="zh-CN"/>
        </w:rPr>
        <w:t>对事件现场进行卫生处理，及时开展食品安全事件流行病学调查，有关部门和食品生产经营单位应当予以配合。流行病学调查有初步判断方向时应当及时向市场监管、卫生健康部门通报，在完成流行病学调查报告后，及时（7日内）提交符合相关要求的流行病学调查报告。指挥部办公室应当组织专家对流行病学报告进行审查后，上报指挥部。</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3.4.2.4  应急检验检测</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急处置专业技术支撑机构应当对引发食品安全突发事件的相关样品及时进行应急检验检测，提交准确的检验检测报告，必要时，可以组织专家组对检验检测报告进行综合分析和评估，为制定事件调查和应急处置方案等提供技术支撑。</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3.4.2.5  事件调查</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依法依规、实事求是、尊重科学的原则，按照国家有关规定及时开展事件调查工作。事件调查应当准确查清事件性质和原因，分析评估事件风险和发展趋势，认定事件责任，研究提出应急防范措施和整改意见建议。完成食品安全事件调查后，及时向区政府和上级市场监管部门（食安办）提交调查报告，调查报告须附流行病学调查报告和已开展的各类检测报告等，对涉嫌犯罪的，公安机关及时介入，开展相关违法犯罪行为侦破工作。发生食品安全突发事件，市场监管部门应当立即会同有关部门进行事件责任调查，督促有关部门履行职责，向区政府和上级市场监管部门提出事件责任调查处理报告。</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color w:val="5B9BD5" w:themeColor="accent1"/>
          <w:sz w:val="32"/>
          <w:szCs w:val="32"/>
          <w:lang w:val="en-US" w:eastAsia="zh-CN"/>
          <w14:textFill>
            <w14:solidFill>
              <w14:schemeClr w14:val="accent1"/>
            </w14:solidFill>
          </w14:textFill>
        </w:rPr>
      </w:pPr>
      <w:r>
        <w:rPr>
          <w:rFonts w:hint="eastAsia" w:ascii="仿宋_GB2312" w:hAnsi="仿宋_GB2312" w:eastAsia="仿宋_GB2312" w:cs="仿宋_GB2312"/>
          <w:color w:val="auto"/>
          <w:sz w:val="32"/>
          <w:szCs w:val="32"/>
          <w:lang w:val="en-US" w:eastAsia="zh-CN"/>
        </w:rPr>
        <w:t>3.4.2.6  信息发布和舆论引导</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生特别重大、重大食品安全突发事件后，区政府或组织指挥机构要及时通过权威媒体向社会发布简要信息，最迟要在5小时内发布权威信息；随后发布初步核实情况、应对措施和公众防范措施等，最迟要在24小时内举行新闻发布会或新闻通气会；并按照处置进展做好后续发布工作。发生较大、一般食品安全突发事件后，区政府要及时发布权威信息，并根据处置进展动态发布信息。</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授权发布信息、发布新闻通稿、接受记者采访、举行新闻发布会或新闻通气会、组织专家解读等方式，借助电视、广播、报纸、互联网等多种途径，运用微博、微信、手机应用程序（APP）客户端等新媒体平台，主动、及时、准确、客观向社会持续动态发布食品安全突发事件应对工作信息，回应社会关切，澄清不实信息，正确引导社会舆论。信息发布内容应当包括事件概况、严重程度、影响范围、应对措施、需要公众配合采取的措施、公共防范常识和事件调查处理进展情况等。</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3.4.2.7  维护社会稳定</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事件发生地区社会治安管理，严厉打击借机传播谣言制造社会恐慌、哄抢物资等违法犯罪行为；加强救助患者的医疗机构、涉事生产经营单位、应急物资存放点等重点地区治安管控；做好各类矛盾纠纷化解和法律服务工作，防止出现群体性事件，维护社会稳定。</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3.4.2.8  涉国（境）外事件处置</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如事件涉国（境）外（含港澳台），成立涉外组，分别由区经济信息化局、区委统战部按照职责分工协调处理相关事宜。</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3.4.3  区级层面应对工作</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3.4.3.1  部门工作应对</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初判发生一般食品安全突发事件或事件情况特殊时，区食安办可以会同相关部门派出工作组赴现场指导督促镇开展事件调查、应急检验检测、产品召回、问题产品处置（销毁）、应急协</w:t>
      </w:r>
      <w:r>
        <w:rPr>
          <w:rFonts w:hint="eastAsia" w:ascii="仿宋_GB2312" w:hAnsi="仿宋_GB2312" w:eastAsia="仿宋_GB2312" w:cs="仿宋_GB2312"/>
          <w:spacing w:val="-6"/>
          <w:kern w:val="2"/>
          <w:sz w:val="32"/>
          <w:szCs w:val="32"/>
          <w:lang w:val="en-US" w:eastAsia="zh-CN"/>
        </w:rPr>
        <w:t>作等工作，并根据需要协调有关方面提供队伍、物资、技术支持</w:t>
      </w:r>
      <w:r>
        <w:rPr>
          <w:rFonts w:hint="eastAsia" w:ascii="仿宋_GB2312" w:hAnsi="仿宋_GB2312" w:eastAsia="仿宋_GB2312" w:cs="仿宋_GB2312"/>
          <w:sz w:val="32"/>
          <w:szCs w:val="32"/>
          <w:lang w:val="en-US" w:eastAsia="zh-CN"/>
        </w:rPr>
        <w:t>等。</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3.4.3.2  区政府工作组应对</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当需要区政府协调处置时，成立区政府工作组，主要开展以下工作：</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（1）传达区委、区政府领导同志指示批示精神，督促镇人民政府和有关部门贯彻落实；</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（2）了解事件基本情况、造成的影响、应急处置进展及当地需求等；</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（3）赶赴现场指导镇人民政府开展应急处置工作；</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（4）根据镇人民政府请求，协调有关方面派出应急队伍、调运应急物资和装备、安排专家和技术人员等，为应急处置提供支援和技术支持；</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（5）对跨镇行政区域的突发事件应对工作进行协调；</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（6）指导开展事件原因调查及评估工作；</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（7）及时向市政府报告相关情况。</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3.4.3.3  区指挥部应对</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根据事件应对工作需要和区委、区政府决策部署，主要开展以下工作：</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（1）组织区指挥部成员单位、专家组进行会商，研究分析事态，部署应急处置工作；</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（2）根据需要赴事发地，或派出工作组赴事发地，协调开展应对工作；</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（3）研究决定镇人民政府和有关部门提出的请求事项；</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（4）开展舆情监测，统一组织信息发布和舆论引导；</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（5）组织开展事件调查。</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3.4.4  响应级别调整及终止</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遵循食品安全突发事件发生发展的客观规律，结合实际情况和处置工作需要，根据评估结果及时调整应急响应级别，避免应急响应过度或不足直至响应终止。</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3.4.4.1  响应级别调整及终止条件</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级别提升。当事件进一步加重，影响或危害扩大并有蔓延趋势，情况复杂难以控制时，应当及时提升响应级别。当学校或托幼机构、全国性或区域性重要活动期间发生食品安全突发事件时，可适当提高响应级别，加大应急处置力度，确保迅速、有效应对食品安全突发事件，维护社会稳定。</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（2）级别降低。事件危害或不良影响得到有效控制，且经研判认为事件危害或不良影响已降低到原级别评估标准以下，无进一步扩散趋势可能的，可降低应急响应级别。</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（3）响应终止。当食品安全突发事件得到控制，并符合以下要求，经分析评估认为可解除响应的应当及时终止响应：</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①食品安全突发事件伤病员全部得到救治，原患者病情稳定</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24小时以上，且无新的急性病症患者出现，食源性感染性疾病在末例患者后经过最长潜伏期无新病例出现；</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②现场、受污染食品得到有效控制，食品与环境污染得到有效清理并符合相关标准，次生、衍生事件隐患消除；</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③事件造成的危害或不良影响已消除或得到了有效控制，不需要继续按预案进行应急处置的。</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3.4.4.2  响应级别调整及终止程序</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食品安全突发事件由区指挥部办公室组织进行分析评估论证，评估认为符合级别调整条件的，提出调整应急响应级别建议，报区政府批准后实施。应急响应级别调整后，区政府应当结合调整后级别采取相应措施。评估认为符合响应终止条件时，指挥部提出终止响应的建议，报区政府批准后实施。</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区指挥部根据需要，及时组织专家组或提请上级人民政府为食品安全突发事件响应级别调整和终止的分析论证提供技术支持与指导。</w:t>
      </w:r>
    </w:p>
    <w:p>
      <w:pPr>
        <w:keepNext w:val="0"/>
        <w:keepLines w:val="0"/>
        <w:pageBreakBefore w:val="0"/>
        <w:widowControl/>
        <w:tabs>
          <w:tab w:val="left" w:pos="1560"/>
        </w:tabs>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3.5  后期处置</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3.5.1  善后处置</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食品安全突发事件的善后处置包括人员安置、补偿，征用物资及运输工作补偿，应急及医疗机构垫付费用、事件受害者后续治疗费用、产品抽样及检验费用等及时拨付，污染物收集、清理与处理。</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事发地镇人民政府和有关部门要积极稳妥、深入细致地做好善后处置工作，尽快妥善安置、慰问受害和受影响人员，消除事件影响，恢复正常秩序。完善相关政策，促进行业健康发展。</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食品安全突发事件发生后，保险机构应当及时开展应急人员保险受理和受害人员保险理赔工作。</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造成食品安全突发事件的责任单位和责任人应当按照有关规定对受害人给予赔偿，承担受害人后续治疗及保障等相关费用。</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3.5.2  责任追究</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件发生单位以及相关食品生产经营者、食用农产品集中交易市场开办者、网络食品交易第三方平台等在发生食品安全突发事件后未按照本预案的要求进行处置、报告的，或隐匿、伪造、毁灭有关证据的，或造成严重后果的，依法追究相应责任。</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对隐瞒、谎报、缓报食品安全突发事件重要情况或者应急处置工作中有其他失职、渎职行为的，经有关部门认定，依法追究有关责任单位或责任人的责任；构成犯罪的，移交司法机关依法追究刑事责任。</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对食品安全突发事件应急处置工作中发现的党员领导干部及其他公职人员失职失责问题，需要给予党纪政务处分的，按照有关权限、程序和要求移交纪检监察机关处置。</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3.5.3  总结评估</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食品安全突发事件善后处置工作结束后，市食安办应当组织有关部门及时对事件应急处置工作进行总结，分析事件原因和影响因素，评估应急处置工作开展情况和效果，提出对类似事件的防范和处置建议，及时向区政府和上级市场监管部门（食安办）报告，必要时抄送同级有关部门。</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区食安办和镇人民政府，于每年第一季度对上年度发生的食品安全突发事件组织开展全面评估，汇总向区政府报告，并抄送区食安办。</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4</w:t>
      </w:r>
      <w:r>
        <w:rPr>
          <w:rFonts w:hint="eastAsia" w:ascii="黑体" w:hAnsi="黑体" w:eastAsia="黑体" w:cs="黑体"/>
          <w:sz w:val="32"/>
          <w:szCs w:val="32"/>
          <w:lang w:val="en-US" w:eastAsia="zh-CN"/>
        </w:rPr>
        <w:tab/>
      </w:r>
      <w:r>
        <w:rPr>
          <w:rFonts w:hint="eastAsia" w:ascii="黑体" w:hAnsi="黑体" w:eastAsia="黑体" w:cs="黑体"/>
          <w:sz w:val="32"/>
          <w:szCs w:val="32"/>
          <w:lang w:val="en-US" w:eastAsia="zh-CN"/>
        </w:rPr>
        <w:t xml:space="preserve">  应急保障</w:t>
      </w:r>
    </w:p>
    <w:p>
      <w:pPr>
        <w:keepNext w:val="0"/>
        <w:keepLines w:val="0"/>
        <w:pageBreakBefore w:val="0"/>
        <w:widowControl/>
        <w:tabs>
          <w:tab w:val="left" w:pos="1560"/>
        </w:tabs>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4.1  队伍保障</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应急处置队伍建设，规范应急队伍管理，落实专兼职人员，配备应急装备设备，组织开展必要的应急培训演练，提高食品安全突发事件快速响应及应急处置能力。健全应急专家队伍，为食品安全突发事件应急处置方案制定、应急检验检测、危害评估、调查处理等工作提供决策建议。</w:t>
      </w:r>
    </w:p>
    <w:p>
      <w:pPr>
        <w:keepNext w:val="0"/>
        <w:keepLines w:val="0"/>
        <w:pageBreakBefore w:val="0"/>
        <w:widowControl/>
        <w:tabs>
          <w:tab w:val="left" w:pos="1560"/>
        </w:tabs>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4.2  信息保障</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有关食品安全监管部门应当设立信息报告和举报电话，充分发挥食品安全协管员、信息员、志愿者和社会组织的作用，畅通信息报告渠道，确保食品安全突发事件的及时报告与相关信息的及时收集。</w:t>
      </w:r>
    </w:p>
    <w:p>
      <w:pPr>
        <w:keepNext w:val="0"/>
        <w:keepLines w:val="0"/>
        <w:pageBreakBefore w:val="0"/>
        <w:widowControl/>
        <w:tabs>
          <w:tab w:val="left" w:pos="1560"/>
        </w:tabs>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4.3  医疗保障</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卫生健康部门建立功能完善、反应灵敏、运转协调、持续发展的医疗救治体系，在食品安全突发事件造成人员伤害时迅速开展医疗救治。</w:t>
      </w:r>
    </w:p>
    <w:p>
      <w:pPr>
        <w:keepNext w:val="0"/>
        <w:keepLines w:val="0"/>
        <w:pageBreakBefore w:val="0"/>
        <w:widowControl/>
        <w:tabs>
          <w:tab w:val="left" w:pos="1560"/>
        </w:tabs>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4.4  技术保障</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区级有关部门加强食品安全突发事件监测、预警、预防、应急检验检测和应急处置等成套技术和设备研发。</w:t>
      </w:r>
    </w:p>
    <w:p>
      <w:pPr>
        <w:keepNext w:val="0"/>
        <w:keepLines w:val="0"/>
        <w:pageBreakBefore w:val="0"/>
        <w:widowControl/>
        <w:tabs>
          <w:tab w:val="left" w:pos="1560"/>
        </w:tabs>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4.5  物资保障</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食品安全突发事件应急处置所需设施、设备和物资的储备与调用应当得到保障。使用储备物资后须及时补充。</w:t>
      </w:r>
    </w:p>
    <w:p>
      <w:pPr>
        <w:keepNext w:val="0"/>
        <w:keepLines w:val="0"/>
        <w:pageBreakBefore w:val="0"/>
        <w:widowControl/>
        <w:tabs>
          <w:tab w:val="left" w:pos="1560"/>
        </w:tabs>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4.6  经费保障</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财政部门统筹做好食品安全突发事件应急相关经费保障。食品安全突发事件应急工作经费应当列入年度财政预算，保障应急资金足额并及时到位。</w:t>
      </w:r>
    </w:p>
    <w:p>
      <w:pPr>
        <w:keepNext w:val="0"/>
        <w:keepLines w:val="0"/>
        <w:pageBreakBefore w:val="0"/>
        <w:widowControl/>
        <w:tabs>
          <w:tab w:val="left" w:pos="1560"/>
        </w:tabs>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4.7  社会动员保障</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根据食品安全突发事件应急处置的需要，动员和组织社会力量协助参与应急处置，必要时依法调用企业及个人物资。在动用社会力量或企业、个人物资进行应急处置后，应当及时归还或给予补偿。</w:t>
      </w:r>
    </w:p>
    <w:p>
      <w:pPr>
        <w:keepNext w:val="0"/>
        <w:keepLines w:val="0"/>
        <w:pageBreakBefore w:val="0"/>
        <w:widowControl w:val="0"/>
        <w:tabs>
          <w:tab w:val="left" w:pos="1560"/>
        </w:tabs>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4.8  宣教培训</w:t>
      </w:r>
    </w:p>
    <w:p>
      <w:pPr>
        <w:keepNext w:val="0"/>
        <w:keepLines w:val="0"/>
        <w:pageBreakBefore w:val="0"/>
        <w:widowControl w:val="0"/>
        <w:tabs>
          <w:tab w:val="left" w:pos="1560"/>
        </w:tabs>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食品安全监管人员、食品生产经营者及广大消费者开展食品安全应急知识宣传、教育与培训，帮助监管人员掌握食品安全应急相关工作技能，增强食品生产经营者的应急责任意识，提高消费者的风险意识和防范能力。</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5</w:t>
      </w:r>
      <w:r>
        <w:rPr>
          <w:rFonts w:hint="eastAsia" w:ascii="黑体" w:hAnsi="黑体" w:eastAsia="黑体" w:cs="黑体"/>
          <w:sz w:val="32"/>
          <w:szCs w:val="32"/>
          <w:lang w:val="en-US" w:eastAsia="zh-CN"/>
        </w:rPr>
        <w:tab/>
      </w:r>
      <w:r>
        <w:rPr>
          <w:rFonts w:hint="eastAsia" w:ascii="黑体" w:hAnsi="黑体" w:eastAsia="黑体" w:cs="黑体"/>
          <w:sz w:val="32"/>
          <w:szCs w:val="32"/>
          <w:lang w:val="en-US" w:eastAsia="zh-CN"/>
        </w:rPr>
        <w:t xml:space="preserve">  预案管理</w:t>
      </w:r>
    </w:p>
    <w:p>
      <w:pPr>
        <w:keepNext w:val="0"/>
        <w:keepLines w:val="0"/>
        <w:pageBreakBefore w:val="0"/>
        <w:widowControl/>
        <w:tabs>
          <w:tab w:val="left" w:pos="1560"/>
        </w:tabs>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5.1  预案编制</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本预案实施后，区食安办要会同有关部门组织预案宣传、培训和演练，并根据实际情况，适时组织评估和修订。</w:t>
      </w:r>
    </w:p>
    <w:p>
      <w:pPr>
        <w:keepNext w:val="0"/>
        <w:keepLines w:val="0"/>
        <w:pageBreakBefore w:val="0"/>
        <w:widowControl/>
        <w:tabs>
          <w:tab w:val="left" w:pos="1560"/>
        </w:tabs>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5.2  应急演练</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区政府及有关部门每2年至少要组织开展一次食品安全突发事件应急演练，检验和强化应急准备和应急响应能力，并对演练进行总结评估，完善应急预案。</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5.3  预案修订</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3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当与食品安全突发事件处置有关的法律法规被修订、部门职责或应急资源发生重大变化、应急预案在演练和实施过程中出现新情况或新问题需要作出重大调整时，要结合实际及时修订完善预案。</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6  附则</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本预案由区市场监管局（区食安办）负责解释。</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firstLine="63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本预案自印发之日起实施。</w:t>
      </w:r>
    </w:p>
    <w:p>
      <w:pPr>
        <w:keepNext w:val="0"/>
        <w:keepLines w:val="0"/>
        <w:pageBreakBefore w:val="0"/>
        <w:widowControl/>
        <w:kinsoku/>
        <w:wordWrap/>
        <w:overflowPunct/>
        <w:topLinePunct w:val="0"/>
        <w:autoSpaceDE/>
        <w:autoSpaceDN/>
        <w:bidi w:val="0"/>
        <w:adjustRightInd/>
        <w:snapToGrid/>
        <w:spacing w:after="0" w:line="600" w:lineRule="exact"/>
        <w:ind w:right="0"/>
        <w:jc w:val="both"/>
        <w:textAlignment w:val="auto"/>
        <w:rPr>
          <w:rFonts w:hint="eastAsia" w:ascii="黑体" w:hAnsi="黑体" w:eastAsia="黑体" w:cs="黑体"/>
          <w:sz w:val="32"/>
          <w:szCs w:val="32"/>
          <w:lang w:val="en-US" w:eastAsia="zh-CN"/>
        </w:rPr>
      </w:pPr>
    </w:p>
    <w:p>
      <w:pPr>
        <w:keepNext w:val="0"/>
        <w:keepLines w:val="0"/>
        <w:pageBreakBefore w:val="0"/>
        <w:widowControl/>
        <w:kinsoku/>
        <w:wordWrap/>
        <w:overflowPunct/>
        <w:topLinePunct w:val="0"/>
        <w:autoSpaceDE/>
        <w:autoSpaceDN/>
        <w:bidi w:val="0"/>
        <w:adjustRightInd/>
        <w:snapToGrid/>
        <w:spacing w:after="0" w:line="600" w:lineRule="exact"/>
        <w:ind w:right="0"/>
        <w:textAlignment w:val="auto"/>
        <w:rPr>
          <w:rFonts w:hint="eastAsia" w:ascii="黑体" w:hAnsi="黑体" w:eastAsia="黑体" w:cs="黑体"/>
          <w:sz w:val="32"/>
          <w:szCs w:val="32"/>
          <w:lang w:val="en-US" w:eastAsia="zh-CN"/>
        </w:rPr>
      </w:pPr>
    </w:p>
    <w:p>
      <w:pPr>
        <w:keepNext w:val="0"/>
        <w:keepLines w:val="0"/>
        <w:pageBreakBefore w:val="0"/>
        <w:widowControl/>
        <w:kinsoku/>
        <w:wordWrap/>
        <w:overflowPunct/>
        <w:topLinePunct w:val="0"/>
        <w:autoSpaceDE/>
        <w:autoSpaceDN/>
        <w:bidi w:val="0"/>
        <w:adjustRightInd/>
        <w:snapToGrid/>
        <w:spacing w:after="0" w:line="600" w:lineRule="exact"/>
        <w:ind w:right="0"/>
        <w:textAlignment w:val="auto"/>
        <w:rPr>
          <w:rFonts w:hint="eastAsia" w:ascii="黑体" w:hAnsi="黑体" w:eastAsia="黑体" w:cs="黑体"/>
          <w:sz w:val="32"/>
          <w:szCs w:val="32"/>
          <w:lang w:val="en-US" w:eastAsia="zh-CN"/>
        </w:rPr>
      </w:pPr>
    </w:p>
    <w:p>
      <w:pPr>
        <w:keepNext w:val="0"/>
        <w:keepLines w:val="0"/>
        <w:pageBreakBefore w:val="0"/>
        <w:widowControl/>
        <w:kinsoku/>
        <w:wordWrap/>
        <w:overflowPunct/>
        <w:topLinePunct w:val="0"/>
        <w:autoSpaceDE/>
        <w:autoSpaceDN/>
        <w:bidi w:val="0"/>
        <w:adjustRightInd/>
        <w:snapToGrid/>
        <w:spacing w:after="0" w:line="600" w:lineRule="exact"/>
        <w:ind w:right="0"/>
        <w:textAlignment w:val="auto"/>
        <w:rPr>
          <w:rFonts w:hint="eastAsia" w:ascii="黑体" w:hAnsi="黑体" w:eastAsia="黑体" w:cs="黑体"/>
          <w:sz w:val="32"/>
          <w:szCs w:val="32"/>
          <w:lang w:val="en-US" w:eastAsia="zh-CN"/>
        </w:rPr>
      </w:pPr>
    </w:p>
    <w:p>
      <w:pPr>
        <w:keepNext w:val="0"/>
        <w:keepLines w:val="0"/>
        <w:pageBreakBefore w:val="0"/>
        <w:widowControl/>
        <w:kinsoku/>
        <w:wordWrap/>
        <w:overflowPunct/>
        <w:topLinePunct w:val="0"/>
        <w:autoSpaceDE/>
        <w:autoSpaceDN/>
        <w:bidi w:val="0"/>
        <w:adjustRightInd/>
        <w:snapToGrid/>
        <w:spacing w:after="0" w:line="600" w:lineRule="exact"/>
        <w:ind w:right="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附录 1</w:t>
      </w:r>
    </w:p>
    <w:p>
      <w:pPr>
        <w:keepNext w:val="0"/>
        <w:keepLines w:val="0"/>
        <w:pageBreakBefore w:val="0"/>
        <w:widowControl/>
        <w:kinsoku/>
        <w:wordWrap/>
        <w:overflowPunct/>
        <w:topLinePunct w:val="0"/>
        <w:autoSpaceDE/>
        <w:autoSpaceDN/>
        <w:bidi w:val="0"/>
        <w:adjustRightInd/>
        <w:snapToGrid/>
        <w:spacing w:after="0" w:line="700" w:lineRule="exact"/>
        <w:ind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级别食品安全突发事件分级标准</w:t>
      </w:r>
    </w:p>
    <w:p>
      <w:pPr>
        <w:pStyle w:val="6"/>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lang w:val="en-US" w:eastAsia="zh-CN"/>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2"/>
        <w:gridCol w:w="7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keepNext w:val="0"/>
              <w:keepLines w:val="0"/>
              <w:pageBreakBefore w:val="0"/>
              <w:widowControl/>
              <w:kinsoku/>
              <w:wordWrap/>
              <w:overflowPunct/>
              <w:topLinePunct w:val="0"/>
              <w:autoSpaceDE/>
              <w:autoSpaceDN/>
              <w:bidi w:val="0"/>
              <w:adjustRightInd/>
              <w:snapToGrid/>
              <w:spacing w:after="0" w:line="400" w:lineRule="exact"/>
              <w:ind w:right="0"/>
              <w:jc w:val="center"/>
              <w:textAlignment w:val="auto"/>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事件分级</w:t>
            </w:r>
          </w:p>
        </w:tc>
        <w:tc>
          <w:tcPr>
            <w:tcW w:w="7219" w:type="dxa"/>
            <w:vAlign w:val="center"/>
          </w:tcPr>
          <w:p>
            <w:pPr>
              <w:keepNext w:val="0"/>
              <w:keepLines w:val="0"/>
              <w:pageBreakBefore w:val="0"/>
              <w:widowControl/>
              <w:kinsoku/>
              <w:wordWrap/>
              <w:overflowPunct/>
              <w:topLinePunct w:val="0"/>
              <w:autoSpaceDE/>
              <w:autoSpaceDN/>
              <w:bidi w:val="0"/>
              <w:adjustRightInd/>
              <w:snapToGrid/>
              <w:spacing w:after="0" w:line="400" w:lineRule="exact"/>
              <w:ind w:right="0"/>
              <w:jc w:val="center"/>
              <w:textAlignment w:val="auto"/>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评估指标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keepNext w:val="0"/>
              <w:keepLines w:val="0"/>
              <w:pageBreakBefore w:val="0"/>
              <w:widowControl/>
              <w:kinsoku/>
              <w:wordWrap/>
              <w:overflowPunct/>
              <w:topLinePunct w:val="0"/>
              <w:autoSpaceDE/>
              <w:autoSpaceDN/>
              <w:bidi w:val="0"/>
              <w:adjustRightInd/>
              <w:snapToGrid/>
              <w:spacing w:after="0" w:line="320" w:lineRule="exact"/>
              <w:ind w:right="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特别</w:t>
            </w:r>
          </w:p>
          <w:p>
            <w:pPr>
              <w:keepNext w:val="0"/>
              <w:keepLines w:val="0"/>
              <w:pageBreakBefore w:val="0"/>
              <w:widowControl/>
              <w:kinsoku/>
              <w:wordWrap/>
              <w:overflowPunct/>
              <w:topLinePunct w:val="0"/>
              <w:autoSpaceDE/>
              <w:autoSpaceDN/>
              <w:bidi w:val="0"/>
              <w:adjustRightInd/>
              <w:snapToGrid/>
              <w:spacing w:after="0" w:line="320" w:lineRule="exact"/>
              <w:ind w:right="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重大</w:t>
            </w:r>
          </w:p>
        </w:tc>
        <w:tc>
          <w:tcPr>
            <w:tcW w:w="7219" w:type="dxa"/>
            <w:vAlign w:val="center"/>
          </w:tcPr>
          <w:p>
            <w:pPr>
              <w:keepNext w:val="0"/>
              <w:keepLines w:val="0"/>
              <w:pageBreakBefore w:val="0"/>
              <w:widowControl/>
              <w:kinsoku/>
              <w:wordWrap/>
              <w:overflowPunct/>
              <w:topLinePunct w:val="0"/>
              <w:autoSpaceDE/>
              <w:autoSpaceDN/>
              <w:bidi w:val="0"/>
              <w:adjustRightInd/>
              <w:snapToGrid/>
              <w:spacing w:after="0" w:line="320" w:lineRule="exact"/>
              <w:ind w:right="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1.受污染食品流入2个以上省份或国（境）外（含港澳台地区），造成特别严重健康损害后果的；或经评估认为事件危害特别严重的；</w:t>
            </w:r>
          </w:p>
          <w:p>
            <w:pPr>
              <w:keepNext w:val="0"/>
              <w:keepLines w:val="0"/>
              <w:pageBreakBefore w:val="0"/>
              <w:widowControl/>
              <w:kinsoku/>
              <w:wordWrap/>
              <w:overflowPunct/>
              <w:topLinePunct w:val="0"/>
              <w:autoSpaceDE/>
              <w:autoSpaceDN/>
              <w:bidi w:val="0"/>
              <w:adjustRightInd/>
              <w:snapToGrid/>
              <w:spacing w:after="0" w:line="320" w:lineRule="exact"/>
              <w:ind w:right="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2.1起食品安全突发事件出现30人以上死亡的；</w:t>
            </w:r>
          </w:p>
          <w:p>
            <w:pPr>
              <w:keepNext w:val="0"/>
              <w:keepLines w:val="0"/>
              <w:pageBreakBefore w:val="0"/>
              <w:widowControl/>
              <w:kinsoku/>
              <w:wordWrap/>
              <w:overflowPunct/>
              <w:topLinePunct w:val="0"/>
              <w:autoSpaceDE/>
              <w:autoSpaceDN/>
              <w:bidi w:val="0"/>
              <w:adjustRightInd/>
              <w:snapToGrid/>
              <w:spacing w:after="0" w:line="320" w:lineRule="exact"/>
              <w:ind w:right="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3.涉及多个省份或国（境）外（含港澳台地区），已经或可能造成严重危害或严重不良影响，经评估认为应当在国家层面采取应急措施应对的食品安全事件；</w:t>
            </w:r>
          </w:p>
          <w:p>
            <w:pPr>
              <w:keepNext w:val="0"/>
              <w:keepLines w:val="0"/>
              <w:pageBreakBefore w:val="0"/>
              <w:widowControl/>
              <w:kinsoku/>
              <w:wordWrap/>
              <w:overflowPunct/>
              <w:topLinePunct w:val="0"/>
              <w:autoSpaceDE/>
              <w:autoSpaceDN/>
              <w:bidi w:val="0"/>
              <w:adjustRightInd/>
              <w:snapToGrid/>
              <w:spacing w:after="0" w:line="320" w:lineRule="exact"/>
              <w:ind w:right="0"/>
              <w:jc w:val="left"/>
              <w:textAlignment w:val="auto"/>
              <w:rPr>
                <w:rFonts w:hint="eastAsia" w:ascii="仿宋_GB2312" w:hAnsi="仿宋_GB2312" w:eastAsia="仿宋_GB2312" w:cs="仿宋_GB2312"/>
                <w:w w:val="94"/>
                <w:sz w:val="24"/>
                <w:szCs w:val="24"/>
                <w:lang w:val="en-US" w:eastAsia="zh-CN"/>
              </w:rPr>
            </w:pPr>
            <w:r>
              <w:rPr>
                <w:rFonts w:hint="eastAsia" w:ascii="仿宋_GB2312" w:hAnsi="仿宋_GB2312" w:eastAsia="仿宋_GB2312" w:cs="仿宋_GB2312"/>
                <w:sz w:val="24"/>
                <w:szCs w:val="24"/>
                <w:vertAlign w:val="baseline"/>
                <w:lang w:val="en-US" w:eastAsia="zh-CN"/>
              </w:rPr>
              <w:t>4.国务院认定的其他特别重大级别食品安全突发事件。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keepNext w:val="0"/>
              <w:keepLines w:val="0"/>
              <w:pageBreakBefore w:val="0"/>
              <w:widowControl/>
              <w:kinsoku/>
              <w:wordWrap/>
              <w:overflowPunct/>
              <w:topLinePunct w:val="0"/>
              <w:autoSpaceDE/>
              <w:autoSpaceDN/>
              <w:bidi w:val="0"/>
              <w:adjustRightInd/>
              <w:snapToGrid/>
              <w:spacing w:after="0" w:line="320" w:lineRule="exact"/>
              <w:ind w:right="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重大</w:t>
            </w:r>
          </w:p>
        </w:tc>
        <w:tc>
          <w:tcPr>
            <w:tcW w:w="7219" w:type="dxa"/>
            <w:vAlign w:val="center"/>
          </w:tcPr>
          <w:p>
            <w:pPr>
              <w:keepNext w:val="0"/>
              <w:keepLines w:val="0"/>
              <w:pageBreakBefore w:val="0"/>
              <w:widowControl/>
              <w:kinsoku/>
              <w:wordWrap/>
              <w:overflowPunct/>
              <w:topLinePunct w:val="0"/>
              <w:autoSpaceDE/>
              <w:autoSpaceDN/>
              <w:bidi w:val="0"/>
              <w:adjustRightInd/>
              <w:snapToGrid/>
              <w:spacing w:after="0" w:line="320" w:lineRule="exact"/>
              <w:ind w:right="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1.受污染食品流入2个以上市（州），造成或经评估认为可能造成对社会公众健康产生严重损害的食品安全突发事件；</w:t>
            </w:r>
          </w:p>
          <w:p>
            <w:pPr>
              <w:keepNext w:val="0"/>
              <w:keepLines w:val="0"/>
              <w:pageBreakBefore w:val="0"/>
              <w:widowControl/>
              <w:kinsoku/>
              <w:wordWrap/>
              <w:overflowPunct/>
              <w:topLinePunct w:val="0"/>
              <w:autoSpaceDE/>
              <w:autoSpaceDN/>
              <w:bidi w:val="0"/>
              <w:adjustRightInd/>
              <w:snapToGrid/>
              <w:spacing w:after="0" w:line="320" w:lineRule="exact"/>
              <w:ind w:right="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2.发生在我国首次出现的新的污染物引发的食品安全突发事件，造成严重健康损害后果，并有扩散趋势的；</w:t>
            </w:r>
          </w:p>
          <w:p>
            <w:pPr>
              <w:keepNext w:val="0"/>
              <w:keepLines w:val="0"/>
              <w:pageBreakBefore w:val="0"/>
              <w:widowControl/>
              <w:kinsoku/>
              <w:wordWrap/>
              <w:overflowPunct/>
              <w:topLinePunct w:val="0"/>
              <w:autoSpaceDE/>
              <w:autoSpaceDN/>
              <w:bidi w:val="0"/>
              <w:adjustRightInd/>
              <w:snapToGrid/>
              <w:spacing w:after="0" w:line="320" w:lineRule="exact"/>
              <w:ind w:right="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3.1起食品安全突发事件涉及人数在100人以上并出现死亡病例；或出现10人以上、29人以下死亡的；</w:t>
            </w:r>
          </w:p>
          <w:p>
            <w:pPr>
              <w:keepNext w:val="0"/>
              <w:keepLines w:val="0"/>
              <w:pageBreakBefore w:val="0"/>
              <w:widowControl/>
              <w:kinsoku/>
              <w:wordWrap/>
              <w:overflowPunct/>
              <w:topLinePunct w:val="0"/>
              <w:autoSpaceDE/>
              <w:autoSpaceDN/>
              <w:bidi w:val="0"/>
              <w:adjustRightInd/>
              <w:snapToGrid/>
              <w:spacing w:after="0" w:line="320" w:lineRule="exact"/>
              <w:ind w:right="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4.在全省行政区域范围内已经或可能造成重大危害或重大不良影响，经评估认为应当在省级层面采取应急措施应对的食品安全事件；</w:t>
            </w:r>
          </w:p>
          <w:p>
            <w:pPr>
              <w:keepNext w:val="0"/>
              <w:keepLines w:val="0"/>
              <w:pageBreakBefore w:val="0"/>
              <w:widowControl/>
              <w:kinsoku/>
              <w:wordWrap/>
              <w:overflowPunct/>
              <w:topLinePunct w:val="0"/>
              <w:autoSpaceDE/>
              <w:autoSpaceDN/>
              <w:bidi w:val="0"/>
              <w:adjustRightInd/>
              <w:snapToGrid/>
              <w:spacing w:after="0" w:line="320" w:lineRule="exact"/>
              <w:ind w:right="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5.省政府认定的其他重大级别食品安全突发事件。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keepNext w:val="0"/>
              <w:keepLines w:val="0"/>
              <w:pageBreakBefore w:val="0"/>
              <w:widowControl/>
              <w:kinsoku/>
              <w:wordWrap/>
              <w:overflowPunct/>
              <w:topLinePunct w:val="0"/>
              <w:autoSpaceDE/>
              <w:autoSpaceDN/>
              <w:bidi w:val="0"/>
              <w:adjustRightInd/>
              <w:snapToGrid/>
              <w:spacing w:after="0" w:line="320" w:lineRule="exact"/>
              <w:ind w:right="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较大</w:t>
            </w:r>
          </w:p>
        </w:tc>
        <w:tc>
          <w:tcPr>
            <w:tcW w:w="7219" w:type="dxa"/>
            <w:vAlign w:val="center"/>
          </w:tcPr>
          <w:p>
            <w:pPr>
              <w:keepNext w:val="0"/>
              <w:keepLines w:val="0"/>
              <w:pageBreakBefore w:val="0"/>
              <w:widowControl/>
              <w:kinsoku/>
              <w:wordWrap/>
              <w:overflowPunct/>
              <w:topLinePunct w:val="0"/>
              <w:autoSpaceDE/>
              <w:autoSpaceDN/>
              <w:bidi w:val="0"/>
              <w:adjustRightInd/>
              <w:snapToGrid/>
              <w:spacing w:after="0" w:line="320" w:lineRule="exact"/>
              <w:ind w:right="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1.受污染食品流入2个以上县（市、区），已造成严重健康损害后果的；</w:t>
            </w:r>
          </w:p>
          <w:p>
            <w:pPr>
              <w:keepNext w:val="0"/>
              <w:keepLines w:val="0"/>
              <w:pageBreakBefore w:val="0"/>
              <w:widowControl/>
              <w:kinsoku/>
              <w:wordWrap/>
              <w:overflowPunct/>
              <w:topLinePunct w:val="0"/>
              <w:autoSpaceDE/>
              <w:autoSpaceDN/>
              <w:bidi w:val="0"/>
              <w:adjustRightInd/>
              <w:snapToGrid/>
              <w:spacing w:after="0" w:line="320" w:lineRule="exact"/>
              <w:ind w:right="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2.1起食品安全突发事件涉及人数在100人以上；或出现死亡病例的；</w:t>
            </w:r>
          </w:p>
          <w:p>
            <w:pPr>
              <w:keepNext w:val="0"/>
              <w:keepLines w:val="0"/>
              <w:pageBreakBefore w:val="0"/>
              <w:widowControl/>
              <w:kinsoku/>
              <w:wordWrap/>
              <w:overflowPunct/>
              <w:topLinePunct w:val="0"/>
              <w:autoSpaceDE/>
              <w:autoSpaceDN/>
              <w:bidi w:val="0"/>
              <w:adjustRightInd/>
              <w:snapToGrid/>
              <w:spacing w:after="0" w:line="320" w:lineRule="exact"/>
              <w:ind w:right="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3.在市级行政区域范围内已经或可能造成较大危害或较大不良影响，经评估认为应当在市级层面采取应急措施应对的食品安全事件；</w:t>
            </w:r>
          </w:p>
          <w:p>
            <w:pPr>
              <w:keepNext w:val="0"/>
              <w:keepLines w:val="0"/>
              <w:pageBreakBefore w:val="0"/>
              <w:widowControl/>
              <w:kinsoku/>
              <w:wordWrap/>
              <w:overflowPunct/>
              <w:topLinePunct w:val="0"/>
              <w:autoSpaceDE/>
              <w:autoSpaceDN/>
              <w:bidi w:val="0"/>
              <w:adjustRightInd/>
              <w:snapToGrid/>
              <w:spacing w:after="0" w:line="320" w:lineRule="exact"/>
              <w:ind w:right="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4.市级人民政府认定的其他较大级别食品安全突发事件。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keepNext w:val="0"/>
              <w:keepLines w:val="0"/>
              <w:pageBreakBefore w:val="0"/>
              <w:widowControl/>
              <w:kinsoku/>
              <w:wordWrap/>
              <w:overflowPunct/>
              <w:topLinePunct w:val="0"/>
              <w:autoSpaceDE/>
              <w:autoSpaceDN/>
              <w:bidi w:val="0"/>
              <w:adjustRightInd/>
              <w:snapToGrid/>
              <w:spacing w:after="0" w:line="320" w:lineRule="exact"/>
              <w:ind w:right="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一般</w:t>
            </w:r>
          </w:p>
        </w:tc>
        <w:tc>
          <w:tcPr>
            <w:tcW w:w="7219" w:type="dxa"/>
            <w:vAlign w:val="center"/>
          </w:tcPr>
          <w:p>
            <w:pPr>
              <w:keepNext w:val="0"/>
              <w:keepLines w:val="0"/>
              <w:pageBreakBefore w:val="0"/>
              <w:widowControl/>
              <w:kinsoku/>
              <w:wordWrap/>
              <w:overflowPunct/>
              <w:topLinePunct w:val="0"/>
              <w:autoSpaceDE/>
              <w:autoSpaceDN/>
              <w:bidi w:val="0"/>
              <w:adjustRightInd/>
              <w:snapToGrid/>
              <w:spacing w:after="0" w:line="320" w:lineRule="exact"/>
              <w:ind w:right="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1.存在健康损害的污染食品，已造成严重健康损害后果的；</w:t>
            </w:r>
          </w:p>
          <w:p>
            <w:pPr>
              <w:keepNext w:val="0"/>
              <w:keepLines w:val="0"/>
              <w:pageBreakBefore w:val="0"/>
              <w:widowControl/>
              <w:kinsoku/>
              <w:wordWrap/>
              <w:overflowPunct/>
              <w:topLinePunct w:val="0"/>
              <w:autoSpaceDE/>
              <w:autoSpaceDN/>
              <w:bidi w:val="0"/>
              <w:adjustRightInd/>
              <w:snapToGrid/>
              <w:spacing w:after="0" w:line="320" w:lineRule="exact"/>
              <w:ind w:right="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2.1起食品安全突发事件涉及人数在30人以上、99人以下，且未出现死亡病例的；</w:t>
            </w:r>
          </w:p>
          <w:p>
            <w:pPr>
              <w:keepNext w:val="0"/>
              <w:keepLines w:val="0"/>
              <w:pageBreakBefore w:val="0"/>
              <w:widowControl/>
              <w:kinsoku/>
              <w:wordWrap/>
              <w:overflowPunct/>
              <w:topLinePunct w:val="0"/>
              <w:autoSpaceDE/>
              <w:autoSpaceDN/>
              <w:bidi w:val="0"/>
              <w:adjustRightInd/>
              <w:snapToGrid/>
              <w:spacing w:after="0" w:line="320" w:lineRule="exact"/>
              <w:ind w:right="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3.在县级行政区域范围内已经或可能造成一般危害或一般不良影响，经评估认为应当在县级层面采取应急措施应对的食品安全事件；</w:t>
            </w:r>
          </w:p>
          <w:p>
            <w:pPr>
              <w:keepNext w:val="0"/>
              <w:keepLines w:val="0"/>
              <w:pageBreakBefore w:val="0"/>
              <w:widowControl/>
              <w:kinsoku/>
              <w:wordWrap/>
              <w:overflowPunct/>
              <w:topLinePunct w:val="0"/>
              <w:autoSpaceDE/>
              <w:autoSpaceDN/>
              <w:bidi w:val="0"/>
              <w:adjustRightInd/>
              <w:snapToGrid/>
              <w:spacing w:after="0" w:line="320" w:lineRule="exact"/>
              <w:ind w:right="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4.县级人民政府认定的其他一般级别食品安全突发事件。</w:t>
            </w:r>
          </w:p>
        </w:tc>
      </w:tr>
    </w:tbl>
    <w:p>
      <w:pPr>
        <w:spacing w:after="0" w:line="388" w:lineRule="exact"/>
        <w:ind w:left="140"/>
        <w:rPr>
          <w:rFonts w:hint="eastAsia" w:ascii="仿宋_GB2312" w:hAnsi="仿宋_GB2312" w:eastAsia="仿宋_GB2312" w:cs="仿宋_GB2312"/>
          <w:sz w:val="24"/>
          <w:szCs w:val="24"/>
        </w:rPr>
      </w:pPr>
    </w:p>
    <w:p>
      <w:pPr>
        <w:spacing w:after="0" w:line="388" w:lineRule="exact"/>
        <w:ind w:left="1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注：“以上”“以下”均含本数。</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pStyle w:val="6"/>
        <w:rPr>
          <w:rFonts w:hint="eastAsia"/>
        </w:rPr>
        <w:sectPr>
          <w:footerReference r:id="rId3" w:type="default"/>
          <w:pgSz w:w="11905" w:h="16838"/>
          <w:pgMar w:top="2098" w:right="1474" w:bottom="1984" w:left="1587" w:header="850" w:footer="1587" w:gutter="0"/>
          <w:pgNumType w:fmt="decimal"/>
          <w:cols w:space="0" w:num="1"/>
          <w:rtlGutter w:val="0"/>
          <w:docGrid w:type="lines" w:linePitch="327" w:charSpace="0"/>
        </w:sect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附录2</w:t>
      </w:r>
    </w:p>
    <w:p>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inline distT="0" distB="0" distL="114300" distR="114300">
            <wp:extent cx="4426585" cy="8053705"/>
            <wp:effectExtent l="0" t="0" r="4445" b="12065"/>
            <wp:docPr id="7" name="图片 7" descr="SKM_3672407261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SKM_36724072611120"/>
                    <pic:cNvPicPr>
                      <a:picLocks noChangeAspect="1"/>
                    </pic:cNvPicPr>
                  </pic:nvPicPr>
                  <pic:blipFill>
                    <a:blip r:embed="rId6"/>
                    <a:srcRect l="14602" r="7666"/>
                    <a:stretch>
                      <a:fillRect/>
                    </a:stretch>
                  </pic:blipFill>
                  <pic:spPr>
                    <a:xfrm rot="5400000">
                      <a:off x="0" y="0"/>
                      <a:ext cx="4426585" cy="8053705"/>
                    </a:xfrm>
                    <a:prstGeom prst="rect">
                      <a:avLst/>
                    </a:prstGeom>
                  </pic:spPr>
                </pic:pic>
              </a:graphicData>
            </a:graphic>
          </wp:inline>
        </w:drawing>
      </w:r>
    </w:p>
    <w:p>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br w:type="page"/>
      </w:r>
    </w:p>
    <w:p>
      <w:pPr>
        <w:rPr>
          <w:rFonts w:hint="default" w:ascii="仿宋_GB2312" w:hAnsi="仿宋_GB2312" w:eastAsia="仿宋_GB2312" w:cs="仿宋_GB2312"/>
          <w:sz w:val="32"/>
          <w:szCs w:val="32"/>
          <w:lang w:val="en-US" w:eastAsia="zh-CN"/>
        </w:rPr>
        <w:sectPr>
          <w:pgSz w:w="16838" w:h="11905" w:orient="landscape"/>
          <w:pgMar w:top="1587" w:right="2098" w:bottom="1474" w:left="1984" w:header="850" w:footer="1587" w:gutter="0"/>
          <w:pgNumType w:fmt="decimal"/>
          <w:cols w:space="0" w:num="1"/>
          <w:rtlGutter w:val="0"/>
          <w:docGrid w:type="lines" w:linePitch="327" w:charSpace="0"/>
        </w:sect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sectPr>
          <w:pgSz w:w="11905" w:h="16838"/>
          <w:pgMar w:top="2098" w:right="1474" w:bottom="1984" w:left="1587" w:header="850" w:footer="1587" w:gutter="0"/>
          <w:pgNumType w:fmt="decimal"/>
          <w:cols w:space="0" w:num="1"/>
          <w:rtlGutter w:val="0"/>
          <w:docGrid w:type="lines" w:linePitch="327" w:charSpace="0"/>
        </w:sectPr>
      </w:pPr>
    </w:p>
    <w:p>
      <w:pPr>
        <w:pStyle w:val="6"/>
        <w:rPr>
          <w:rFonts w:hint="default"/>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850" w:lineRule="exact"/>
        <w:textAlignment w:val="auto"/>
        <w:rPr>
          <w:rFonts w:hint="default" w:ascii="仿宋_GB2312" w:hAnsi="仿宋_GB2312" w:eastAsia="仿宋_GB2312" w:cs="仿宋_GB2312"/>
          <w:sz w:val="32"/>
          <w:szCs w:val="32"/>
          <w:lang w:val="en-US" w:eastAsia="zh-CN"/>
        </w:rPr>
      </w:pPr>
    </w:p>
    <w:p>
      <w:pPr>
        <w:pStyle w:val="6"/>
        <w:keepNext w:val="0"/>
        <w:keepLines w:val="0"/>
        <w:pageBreakBefore w:val="0"/>
        <w:widowControl/>
        <w:kinsoku/>
        <w:wordWrap/>
        <w:overflowPunct/>
        <w:topLinePunct w:val="0"/>
        <w:autoSpaceDE/>
        <w:autoSpaceDN/>
        <w:bidi w:val="0"/>
        <w:adjustRightInd/>
        <w:snapToGrid/>
        <w:spacing w:line="850" w:lineRule="exact"/>
        <w:textAlignment w:val="auto"/>
        <w:rPr>
          <w:rFonts w:hint="default" w:ascii="仿宋_GB2312" w:hAnsi="仿宋_GB2312" w:eastAsia="仿宋_GB2312" w:cs="仿宋_GB2312"/>
          <w:sz w:val="32"/>
          <w:szCs w:val="32"/>
          <w:lang w:val="en-US" w:eastAsia="zh-CN"/>
        </w:rPr>
      </w:pPr>
    </w:p>
    <w:p>
      <w:pPr>
        <w:spacing w:line="500" w:lineRule="exact"/>
        <w:ind w:firstLine="240" w:firstLineChars="100"/>
        <w:rPr>
          <w:rFonts w:hint="default"/>
          <w:lang w:val="en-US" w:eastAsia="zh-CN"/>
        </w:rPr>
      </w:pPr>
      <w:bookmarkStart w:id="3" w:name="_GoBack"/>
      <w:bookmarkEnd w:id="3"/>
    </w:p>
    <w:sectPr>
      <w:footerReference r:id="rId4" w:type="default"/>
      <w:pgSz w:w="11905" w:h="16838"/>
      <w:pgMar w:top="2098" w:right="1474" w:bottom="1984" w:left="1587" w:header="850" w:footer="1587" w:gutter="0"/>
      <w:pgNumType w:fmt="decimal"/>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文鼎小标宋">
    <w:altName w:val="宋体"/>
    <w:panose1 w:val="020B0609010101010101"/>
    <w:charset w:val="86"/>
    <w:family w:val="modern"/>
    <w:pitch w:val="default"/>
    <w:sig w:usb0="00000000" w:usb1="00000000" w:usb2="00000010" w:usb3="00000000" w:csb0="00040000" w:csb1="00000000"/>
  </w:font>
  <w:font w:name="楷体à.ā">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kinsoku/>
                            <w:wordWrap/>
                            <w:overflowPunct/>
                            <w:topLinePunct w:val="0"/>
                            <w:autoSpaceDE/>
                            <w:autoSpaceDN/>
                            <w:bidi w:val="0"/>
                            <w:adjustRightInd/>
                            <w:snapToGrid/>
                            <w:ind w:left="480" w:leftChars="200" w:right="480" w:right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2"/>
                      <w:keepNext w:val="0"/>
                      <w:keepLines w:val="0"/>
                      <w:pageBreakBefore w:val="0"/>
                      <w:widowControl/>
                      <w:kinsoku/>
                      <w:wordWrap/>
                      <w:overflowPunct/>
                      <w:topLinePunct w:val="0"/>
                      <w:autoSpaceDE/>
                      <w:autoSpaceDN/>
                      <w:bidi w:val="0"/>
                      <w:adjustRightInd/>
                      <w:snapToGrid/>
                      <w:ind w:left="480" w:leftChars="200" w:right="480" w:right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240"/>
  <w:drawingGridVerticalSpacing w:val="164"/>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NGZkMDI4NmQwODVkNTgxYjIzZGZmMzc4ZDZkZGUifQ=="/>
  </w:docVars>
  <w:rsids>
    <w:rsidRoot w:val="00000000"/>
    <w:rsid w:val="00144AA8"/>
    <w:rsid w:val="00186BF0"/>
    <w:rsid w:val="00247C9C"/>
    <w:rsid w:val="004F3DE9"/>
    <w:rsid w:val="005F037B"/>
    <w:rsid w:val="007076B7"/>
    <w:rsid w:val="007C2CDB"/>
    <w:rsid w:val="007F0A1D"/>
    <w:rsid w:val="00881383"/>
    <w:rsid w:val="008F6EE7"/>
    <w:rsid w:val="00C11035"/>
    <w:rsid w:val="00E13486"/>
    <w:rsid w:val="01104732"/>
    <w:rsid w:val="011E0236"/>
    <w:rsid w:val="01277DCE"/>
    <w:rsid w:val="013E6CB8"/>
    <w:rsid w:val="01425D65"/>
    <w:rsid w:val="01627253"/>
    <w:rsid w:val="016B5AEB"/>
    <w:rsid w:val="019127B6"/>
    <w:rsid w:val="01D9415D"/>
    <w:rsid w:val="020531A4"/>
    <w:rsid w:val="02076F1C"/>
    <w:rsid w:val="02092C94"/>
    <w:rsid w:val="0213766F"/>
    <w:rsid w:val="0215208E"/>
    <w:rsid w:val="02166328"/>
    <w:rsid w:val="025A34EF"/>
    <w:rsid w:val="02607B71"/>
    <w:rsid w:val="02680D9E"/>
    <w:rsid w:val="029134A4"/>
    <w:rsid w:val="02CD1F13"/>
    <w:rsid w:val="02D86D80"/>
    <w:rsid w:val="02EB239A"/>
    <w:rsid w:val="03062D2F"/>
    <w:rsid w:val="030B3D15"/>
    <w:rsid w:val="031F6DBB"/>
    <w:rsid w:val="03253AFD"/>
    <w:rsid w:val="036E56D5"/>
    <w:rsid w:val="037E320E"/>
    <w:rsid w:val="038871FB"/>
    <w:rsid w:val="03CF27DA"/>
    <w:rsid w:val="03D07BEC"/>
    <w:rsid w:val="03DD6186"/>
    <w:rsid w:val="03E36813"/>
    <w:rsid w:val="04117BDE"/>
    <w:rsid w:val="0414147C"/>
    <w:rsid w:val="042E3E83"/>
    <w:rsid w:val="044004C3"/>
    <w:rsid w:val="04484531"/>
    <w:rsid w:val="04553127"/>
    <w:rsid w:val="045D72C7"/>
    <w:rsid w:val="04642E66"/>
    <w:rsid w:val="046917C8"/>
    <w:rsid w:val="04796C06"/>
    <w:rsid w:val="048C3708"/>
    <w:rsid w:val="04A42800"/>
    <w:rsid w:val="04B03BBE"/>
    <w:rsid w:val="04D70E27"/>
    <w:rsid w:val="04DA4474"/>
    <w:rsid w:val="04E6106A"/>
    <w:rsid w:val="04F12CB8"/>
    <w:rsid w:val="05045FA7"/>
    <w:rsid w:val="05197D6A"/>
    <w:rsid w:val="052878D5"/>
    <w:rsid w:val="05304A7F"/>
    <w:rsid w:val="055A7363"/>
    <w:rsid w:val="055C757F"/>
    <w:rsid w:val="056E2A83"/>
    <w:rsid w:val="05740424"/>
    <w:rsid w:val="059565ED"/>
    <w:rsid w:val="05A36F5B"/>
    <w:rsid w:val="05AF3B52"/>
    <w:rsid w:val="05B11678"/>
    <w:rsid w:val="05C018BB"/>
    <w:rsid w:val="05D47115"/>
    <w:rsid w:val="05D90BCF"/>
    <w:rsid w:val="060E677F"/>
    <w:rsid w:val="06161733"/>
    <w:rsid w:val="06163BD1"/>
    <w:rsid w:val="064F4094"/>
    <w:rsid w:val="06624721"/>
    <w:rsid w:val="06735060"/>
    <w:rsid w:val="069A210C"/>
    <w:rsid w:val="06A116ED"/>
    <w:rsid w:val="06A934A4"/>
    <w:rsid w:val="06C54CB0"/>
    <w:rsid w:val="06D6469C"/>
    <w:rsid w:val="06DA69AD"/>
    <w:rsid w:val="06DC754A"/>
    <w:rsid w:val="06EB0BBA"/>
    <w:rsid w:val="06F07F7E"/>
    <w:rsid w:val="071E2D3E"/>
    <w:rsid w:val="07464042"/>
    <w:rsid w:val="07464A8A"/>
    <w:rsid w:val="074B0C27"/>
    <w:rsid w:val="07550729"/>
    <w:rsid w:val="075C73C2"/>
    <w:rsid w:val="076F5347"/>
    <w:rsid w:val="07702E6D"/>
    <w:rsid w:val="077741FC"/>
    <w:rsid w:val="077B0190"/>
    <w:rsid w:val="077E558A"/>
    <w:rsid w:val="0790350F"/>
    <w:rsid w:val="079335E8"/>
    <w:rsid w:val="079D243D"/>
    <w:rsid w:val="07AA637F"/>
    <w:rsid w:val="07B0770E"/>
    <w:rsid w:val="07BC2556"/>
    <w:rsid w:val="07C136C9"/>
    <w:rsid w:val="07E51AAD"/>
    <w:rsid w:val="07EF0236"/>
    <w:rsid w:val="07FF744E"/>
    <w:rsid w:val="0822060B"/>
    <w:rsid w:val="082D6FB0"/>
    <w:rsid w:val="082E7C03"/>
    <w:rsid w:val="0854453D"/>
    <w:rsid w:val="08634780"/>
    <w:rsid w:val="087150EF"/>
    <w:rsid w:val="08852948"/>
    <w:rsid w:val="08966904"/>
    <w:rsid w:val="089900B5"/>
    <w:rsid w:val="08A92ADB"/>
    <w:rsid w:val="08AA0601"/>
    <w:rsid w:val="08AA7D92"/>
    <w:rsid w:val="08AC6127"/>
    <w:rsid w:val="08CC67C9"/>
    <w:rsid w:val="08DB07BA"/>
    <w:rsid w:val="08E43B13"/>
    <w:rsid w:val="09063A89"/>
    <w:rsid w:val="0921576B"/>
    <w:rsid w:val="09540539"/>
    <w:rsid w:val="0954227F"/>
    <w:rsid w:val="099866AB"/>
    <w:rsid w:val="09B3464D"/>
    <w:rsid w:val="09CB6A81"/>
    <w:rsid w:val="09DE4A06"/>
    <w:rsid w:val="09F124DC"/>
    <w:rsid w:val="0A0B3702"/>
    <w:rsid w:val="0A122902"/>
    <w:rsid w:val="0A424F95"/>
    <w:rsid w:val="0A4C6D5E"/>
    <w:rsid w:val="0A516F86"/>
    <w:rsid w:val="0A6401C1"/>
    <w:rsid w:val="0A653A66"/>
    <w:rsid w:val="0A6842D0"/>
    <w:rsid w:val="0A6C3DC0"/>
    <w:rsid w:val="0A744197"/>
    <w:rsid w:val="0A856C30"/>
    <w:rsid w:val="0AB04E98"/>
    <w:rsid w:val="0AC51838"/>
    <w:rsid w:val="0ACA0AE6"/>
    <w:rsid w:val="0ACE2BAA"/>
    <w:rsid w:val="0AE75B3C"/>
    <w:rsid w:val="0AF30864"/>
    <w:rsid w:val="0AFA13CC"/>
    <w:rsid w:val="0B0F4B3F"/>
    <w:rsid w:val="0B1F00DE"/>
    <w:rsid w:val="0B294C45"/>
    <w:rsid w:val="0B3B3792"/>
    <w:rsid w:val="0B571B67"/>
    <w:rsid w:val="0B63493C"/>
    <w:rsid w:val="0B81260D"/>
    <w:rsid w:val="0B8769D7"/>
    <w:rsid w:val="0BF7590B"/>
    <w:rsid w:val="0BF84E2F"/>
    <w:rsid w:val="0BF978D5"/>
    <w:rsid w:val="0C0B3E50"/>
    <w:rsid w:val="0C470256"/>
    <w:rsid w:val="0C510D41"/>
    <w:rsid w:val="0C5E598A"/>
    <w:rsid w:val="0C871385"/>
    <w:rsid w:val="0C880C59"/>
    <w:rsid w:val="0C9B273A"/>
    <w:rsid w:val="0CB101B0"/>
    <w:rsid w:val="0CB437FC"/>
    <w:rsid w:val="0D0E5602"/>
    <w:rsid w:val="0D162709"/>
    <w:rsid w:val="0D1711A7"/>
    <w:rsid w:val="0D1A5D55"/>
    <w:rsid w:val="0D1F336B"/>
    <w:rsid w:val="0D277AA0"/>
    <w:rsid w:val="0D2E7A52"/>
    <w:rsid w:val="0D363A05"/>
    <w:rsid w:val="0D3D5EE8"/>
    <w:rsid w:val="0D531267"/>
    <w:rsid w:val="0D58062B"/>
    <w:rsid w:val="0D5F19BA"/>
    <w:rsid w:val="0D817B82"/>
    <w:rsid w:val="0D941A59"/>
    <w:rsid w:val="0D9C676A"/>
    <w:rsid w:val="0DAE46EF"/>
    <w:rsid w:val="0DDC300B"/>
    <w:rsid w:val="0DDE17CD"/>
    <w:rsid w:val="0DED76EC"/>
    <w:rsid w:val="0DF35EEF"/>
    <w:rsid w:val="0DFE11D3"/>
    <w:rsid w:val="0E10165E"/>
    <w:rsid w:val="0E286250"/>
    <w:rsid w:val="0E360105"/>
    <w:rsid w:val="0E3767D3"/>
    <w:rsid w:val="0E39220B"/>
    <w:rsid w:val="0E4A4418"/>
    <w:rsid w:val="0E792F4F"/>
    <w:rsid w:val="0E7E478A"/>
    <w:rsid w:val="0E927B6D"/>
    <w:rsid w:val="0E9D7E6D"/>
    <w:rsid w:val="0EA751EE"/>
    <w:rsid w:val="0EBA4906"/>
    <w:rsid w:val="0EBB3568"/>
    <w:rsid w:val="0EBE0962"/>
    <w:rsid w:val="0EC85329"/>
    <w:rsid w:val="0EDE1596"/>
    <w:rsid w:val="0EEA7571"/>
    <w:rsid w:val="0F0554F6"/>
    <w:rsid w:val="0F1B7B63"/>
    <w:rsid w:val="0F1D46D8"/>
    <w:rsid w:val="0F2130DE"/>
    <w:rsid w:val="0F227143"/>
    <w:rsid w:val="0F3D21CF"/>
    <w:rsid w:val="0F5D63CD"/>
    <w:rsid w:val="0F661726"/>
    <w:rsid w:val="0F6F2778"/>
    <w:rsid w:val="0F784FB5"/>
    <w:rsid w:val="0F7B1F37"/>
    <w:rsid w:val="0F9B0D24"/>
    <w:rsid w:val="0FBD67DF"/>
    <w:rsid w:val="0FC65D20"/>
    <w:rsid w:val="0FCC6434"/>
    <w:rsid w:val="0FE5096A"/>
    <w:rsid w:val="0FE64614"/>
    <w:rsid w:val="0FE92447"/>
    <w:rsid w:val="10152804"/>
    <w:rsid w:val="101C3B92"/>
    <w:rsid w:val="102F3975"/>
    <w:rsid w:val="103A1754"/>
    <w:rsid w:val="103F3D25"/>
    <w:rsid w:val="104D6442"/>
    <w:rsid w:val="10563548"/>
    <w:rsid w:val="105C5390"/>
    <w:rsid w:val="1060694B"/>
    <w:rsid w:val="10735343"/>
    <w:rsid w:val="107C3D9D"/>
    <w:rsid w:val="109A0F5B"/>
    <w:rsid w:val="10B93DC2"/>
    <w:rsid w:val="10BB33AB"/>
    <w:rsid w:val="10CB7366"/>
    <w:rsid w:val="10CD30DE"/>
    <w:rsid w:val="10E70644"/>
    <w:rsid w:val="10FC72E1"/>
    <w:rsid w:val="110A1111"/>
    <w:rsid w:val="11205904"/>
    <w:rsid w:val="11286567"/>
    <w:rsid w:val="11405DAC"/>
    <w:rsid w:val="11427629"/>
    <w:rsid w:val="114710E3"/>
    <w:rsid w:val="114A472F"/>
    <w:rsid w:val="116E6670"/>
    <w:rsid w:val="117417AC"/>
    <w:rsid w:val="118E0AC0"/>
    <w:rsid w:val="118E6D12"/>
    <w:rsid w:val="119A3908"/>
    <w:rsid w:val="11C049F1"/>
    <w:rsid w:val="11C57102"/>
    <w:rsid w:val="11C73FD2"/>
    <w:rsid w:val="11D71249"/>
    <w:rsid w:val="11EB4164"/>
    <w:rsid w:val="11F50B3F"/>
    <w:rsid w:val="12086AC4"/>
    <w:rsid w:val="121C60CC"/>
    <w:rsid w:val="122907E8"/>
    <w:rsid w:val="12301B77"/>
    <w:rsid w:val="124473D0"/>
    <w:rsid w:val="125910CE"/>
    <w:rsid w:val="126F6B43"/>
    <w:rsid w:val="127C6B6A"/>
    <w:rsid w:val="12865C3B"/>
    <w:rsid w:val="129A57C7"/>
    <w:rsid w:val="12A16731"/>
    <w:rsid w:val="12A64309"/>
    <w:rsid w:val="12B5207C"/>
    <w:rsid w:val="12CC77F7"/>
    <w:rsid w:val="12DC3AAD"/>
    <w:rsid w:val="12F9640D"/>
    <w:rsid w:val="13001549"/>
    <w:rsid w:val="1300231A"/>
    <w:rsid w:val="131961E1"/>
    <w:rsid w:val="13272F7A"/>
    <w:rsid w:val="134A310C"/>
    <w:rsid w:val="13581385"/>
    <w:rsid w:val="135D2E40"/>
    <w:rsid w:val="13845891"/>
    <w:rsid w:val="13960100"/>
    <w:rsid w:val="1399374C"/>
    <w:rsid w:val="13BC5DB8"/>
    <w:rsid w:val="13DF22EE"/>
    <w:rsid w:val="13F866C4"/>
    <w:rsid w:val="13FA41EA"/>
    <w:rsid w:val="143771ED"/>
    <w:rsid w:val="143A4F2F"/>
    <w:rsid w:val="14495172"/>
    <w:rsid w:val="144D1DE1"/>
    <w:rsid w:val="145C0E18"/>
    <w:rsid w:val="146464BB"/>
    <w:rsid w:val="14667AD2"/>
    <w:rsid w:val="146F2E2A"/>
    <w:rsid w:val="147A532B"/>
    <w:rsid w:val="14861F22"/>
    <w:rsid w:val="14972381"/>
    <w:rsid w:val="14991C55"/>
    <w:rsid w:val="149E726C"/>
    <w:rsid w:val="14A01236"/>
    <w:rsid w:val="14AD65F8"/>
    <w:rsid w:val="14BA7E1E"/>
    <w:rsid w:val="14C842E9"/>
    <w:rsid w:val="14E135FC"/>
    <w:rsid w:val="150712B5"/>
    <w:rsid w:val="15082937"/>
    <w:rsid w:val="150C0D5B"/>
    <w:rsid w:val="150F1F18"/>
    <w:rsid w:val="1530558A"/>
    <w:rsid w:val="154020D1"/>
    <w:rsid w:val="15756040"/>
    <w:rsid w:val="158B450E"/>
    <w:rsid w:val="15AE1730"/>
    <w:rsid w:val="15AF4F21"/>
    <w:rsid w:val="15B50D11"/>
    <w:rsid w:val="15C251DC"/>
    <w:rsid w:val="15CC605B"/>
    <w:rsid w:val="15F555B1"/>
    <w:rsid w:val="16015084"/>
    <w:rsid w:val="16377978"/>
    <w:rsid w:val="164E6A70"/>
    <w:rsid w:val="167C0DF1"/>
    <w:rsid w:val="167E20F6"/>
    <w:rsid w:val="16805733"/>
    <w:rsid w:val="168D7598"/>
    <w:rsid w:val="169326D4"/>
    <w:rsid w:val="1694677A"/>
    <w:rsid w:val="16AA45F7"/>
    <w:rsid w:val="16CA259A"/>
    <w:rsid w:val="170852AD"/>
    <w:rsid w:val="17255A22"/>
    <w:rsid w:val="17400B06"/>
    <w:rsid w:val="1758223C"/>
    <w:rsid w:val="17812A49"/>
    <w:rsid w:val="178F1F77"/>
    <w:rsid w:val="17996410"/>
    <w:rsid w:val="17A0779F"/>
    <w:rsid w:val="17C0399D"/>
    <w:rsid w:val="17D12563"/>
    <w:rsid w:val="17D42FA4"/>
    <w:rsid w:val="17D905BB"/>
    <w:rsid w:val="17F51899"/>
    <w:rsid w:val="17F6116D"/>
    <w:rsid w:val="17F83137"/>
    <w:rsid w:val="17F92A0B"/>
    <w:rsid w:val="1800608F"/>
    <w:rsid w:val="1820443C"/>
    <w:rsid w:val="18362D6F"/>
    <w:rsid w:val="18492359"/>
    <w:rsid w:val="184F548E"/>
    <w:rsid w:val="185540E5"/>
    <w:rsid w:val="186400C8"/>
    <w:rsid w:val="18A54F7E"/>
    <w:rsid w:val="18A84B5D"/>
    <w:rsid w:val="18AB01A9"/>
    <w:rsid w:val="18B507A2"/>
    <w:rsid w:val="18B73C7B"/>
    <w:rsid w:val="18D3325C"/>
    <w:rsid w:val="18DD40DB"/>
    <w:rsid w:val="19006747"/>
    <w:rsid w:val="19153875"/>
    <w:rsid w:val="195E346D"/>
    <w:rsid w:val="19616ABA"/>
    <w:rsid w:val="196D2E5D"/>
    <w:rsid w:val="19732CE0"/>
    <w:rsid w:val="198D5981"/>
    <w:rsid w:val="19914166"/>
    <w:rsid w:val="19B93F90"/>
    <w:rsid w:val="19BD0194"/>
    <w:rsid w:val="19C61A8E"/>
    <w:rsid w:val="19FD04AE"/>
    <w:rsid w:val="1A02029D"/>
    <w:rsid w:val="1A18186E"/>
    <w:rsid w:val="1A427AAC"/>
    <w:rsid w:val="1A4B52AF"/>
    <w:rsid w:val="1A6C5716"/>
    <w:rsid w:val="1A8011C2"/>
    <w:rsid w:val="1A982FA7"/>
    <w:rsid w:val="1AA50C28"/>
    <w:rsid w:val="1AA6374C"/>
    <w:rsid w:val="1ADE1D3D"/>
    <w:rsid w:val="1AE37D74"/>
    <w:rsid w:val="1AE479A2"/>
    <w:rsid w:val="1AE96D67"/>
    <w:rsid w:val="1B063DBD"/>
    <w:rsid w:val="1B183F58"/>
    <w:rsid w:val="1B252495"/>
    <w:rsid w:val="1B283D33"/>
    <w:rsid w:val="1B79458F"/>
    <w:rsid w:val="1B7E7DF7"/>
    <w:rsid w:val="1B9019AB"/>
    <w:rsid w:val="1B965141"/>
    <w:rsid w:val="1BC03F6C"/>
    <w:rsid w:val="1BC7354C"/>
    <w:rsid w:val="1BD45161"/>
    <w:rsid w:val="1BD6553D"/>
    <w:rsid w:val="1BEA2D97"/>
    <w:rsid w:val="1BF81957"/>
    <w:rsid w:val="1BFD51C0"/>
    <w:rsid w:val="1BFD6F6E"/>
    <w:rsid w:val="1C3A1F70"/>
    <w:rsid w:val="1C427076"/>
    <w:rsid w:val="1C47468D"/>
    <w:rsid w:val="1C485D0F"/>
    <w:rsid w:val="1C7B4336"/>
    <w:rsid w:val="1C872CDB"/>
    <w:rsid w:val="1C876837"/>
    <w:rsid w:val="1C8971FD"/>
    <w:rsid w:val="1C9C6787"/>
    <w:rsid w:val="1CA078F9"/>
    <w:rsid w:val="1CA473E9"/>
    <w:rsid w:val="1CAC1160"/>
    <w:rsid w:val="1CB33AD0"/>
    <w:rsid w:val="1CBA6C0D"/>
    <w:rsid w:val="1CC25AC1"/>
    <w:rsid w:val="1CC26829"/>
    <w:rsid w:val="1CC56F94"/>
    <w:rsid w:val="1CC57360"/>
    <w:rsid w:val="1CCC4B92"/>
    <w:rsid w:val="1CCD209B"/>
    <w:rsid w:val="1CCE090A"/>
    <w:rsid w:val="1CF10155"/>
    <w:rsid w:val="1D057D11"/>
    <w:rsid w:val="1D2C53A3"/>
    <w:rsid w:val="1D3764AF"/>
    <w:rsid w:val="1D392227"/>
    <w:rsid w:val="1D3A1AFC"/>
    <w:rsid w:val="1D44297A"/>
    <w:rsid w:val="1D48246B"/>
    <w:rsid w:val="1D8F1E47"/>
    <w:rsid w:val="1DA81FE3"/>
    <w:rsid w:val="1DAD1AEC"/>
    <w:rsid w:val="1DBA49EB"/>
    <w:rsid w:val="1DC37908"/>
    <w:rsid w:val="1DC42063"/>
    <w:rsid w:val="1DD97409"/>
    <w:rsid w:val="1DE676BF"/>
    <w:rsid w:val="1DEB3595"/>
    <w:rsid w:val="1DEB73BD"/>
    <w:rsid w:val="1E05035C"/>
    <w:rsid w:val="1E0A7720"/>
    <w:rsid w:val="1E1C361C"/>
    <w:rsid w:val="1E387E23"/>
    <w:rsid w:val="1E4922BC"/>
    <w:rsid w:val="1E707ECB"/>
    <w:rsid w:val="1E7E3C6A"/>
    <w:rsid w:val="1E85617A"/>
    <w:rsid w:val="1E8C5E49"/>
    <w:rsid w:val="1E992C64"/>
    <w:rsid w:val="1EBF49AE"/>
    <w:rsid w:val="1EC57AEB"/>
    <w:rsid w:val="1EFF2FFD"/>
    <w:rsid w:val="1F5275D0"/>
    <w:rsid w:val="1F7A2683"/>
    <w:rsid w:val="1F974FE3"/>
    <w:rsid w:val="1FC45AFF"/>
    <w:rsid w:val="1FD11459"/>
    <w:rsid w:val="1FF64400"/>
    <w:rsid w:val="2007660D"/>
    <w:rsid w:val="201062C1"/>
    <w:rsid w:val="202A22FB"/>
    <w:rsid w:val="202C4C48"/>
    <w:rsid w:val="202D3B9A"/>
    <w:rsid w:val="203647FC"/>
    <w:rsid w:val="20373EC2"/>
    <w:rsid w:val="203B1E13"/>
    <w:rsid w:val="203E7B55"/>
    <w:rsid w:val="20564E9E"/>
    <w:rsid w:val="205F3053"/>
    <w:rsid w:val="20601879"/>
    <w:rsid w:val="206C6A87"/>
    <w:rsid w:val="207C615F"/>
    <w:rsid w:val="208A02D2"/>
    <w:rsid w:val="209B1738"/>
    <w:rsid w:val="209E23A2"/>
    <w:rsid w:val="20B34CB4"/>
    <w:rsid w:val="20BD4F1E"/>
    <w:rsid w:val="20CB6FEE"/>
    <w:rsid w:val="20D537C8"/>
    <w:rsid w:val="20DD377F"/>
    <w:rsid w:val="20E05A7C"/>
    <w:rsid w:val="20E7310B"/>
    <w:rsid w:val="20F847A3"/>
    <w:rsid w:val="20F87D04"/>
    <w:rsid w:val="20FB5A46"/>
    <w:rsid w:val="20FF72E4"/>
    <w:rsid w:val="21132D8F"/>
    <w:rsid w:val="212E5E1B"/>
    <w:rsid w:val="2136302F"/>
    <w:rsid w:val="213A656E"/>
    <w:rsid w:val="21442F49"/>
    <w:rsid w:val="214851A7"/>
    <w:rsid w:val="215C7161"/>
    <w:rsid w:val="218C669E"/>
    <w:rsid w:val="21912CAF"/>
    <w:rsid w:val="21AF7DB3"/>
    <w:rsid w:val="21C81DCC"/>
    <w:rsid w:val="21C916A0"/>
    <w:rsid w:val="21DC5D79"/>
    <w:rsid w:val="21F77FBB"/>
    <w:rsid w:val="21F91F85"/>
    <w:rsid w:val="21FF5A3F"/>
    <w:rsid w:val="2208666C"/>
    <w:rsid w:val="220B1CB9"/>
    <w:rsid w:val="22305E88"/>
    <w:rsid w:val="2240394D"/>
    <w:rsid w:val="22460F43"/>
    <w:rsid w:val="22573150"/>
    <w:rsid w:val="229121BE"/>
    <w:rsid w:val="22B1460E"/>
    <w:rsid w:val="22C8691D"/>
    <w:rsid w:val="22EC5646"/>
    <w:rsid w:val="23005595"/>
    <w:rsid w:val="230961F8"/>
    <w:rsid w:val="232323B6"/>
    <w:rsid w:val="232344A5"/>
    <w:rsid w:val="232716F1"/>
    <w:rsid w:val="2335523F"/>
    <w:rsid w:val="23381744"/>
    <w:rsid w:val="235C3B59"/>
    <w:rsid w:val="236C2E3A"/>
    <w:rsid w:val="2374390F"/>
    <w:rsid w:val="2379604F"/>
    <w:rsid w:val="23922691"/>
    <w:rsid w:val="239426CA"/>
    <w:rsid w:val="23BA4FAC"/>
    <w:rsid w:val="23C40371"/>
    <w:rsid w:val="23C7552E"/>
    <w:rsid w:val="23D20CE0"/>
    <w:rsid w:val="23F4728B"/>
    <w:rsid w:val="2426102C"/>
    <w:rsid w:val="24392B0D"/>
    <w:rsid w:val="244514B2"/>
    <w:rsid w:val="245C67FB"/>
    <w:rsid w:val="246833F2"/>
    <w:rsid w:val="248C06FE"/>
    <w:rsid w:val="248E73BE"/>
    <w:rsid w:val="24911416"/>
    <w:rsid w:val="249D1290"/>
    <w:rsid w:val="24D94C4F"/>
    <w:rsid w:val="24DB2630"/>
    <w:rsid w:val="24DB40C9"/>
    <w:rsid w:val="24E16D01"/>
    <w:rsid w:val="24EF141E"/>
    <w:rsid w:val="24FB6014"/>
    <w:rsid w:val="24FC383F"/>
    <w:rsid w:val="2500362B"/>
    <w:rsid w:val="251404C8"/>
    <w:rsid w:val="25140E84"/>
    <w:rsid w:val="251B0465"/>
    <w:rsid w:val="253B4663"/>
    <w:rsid w:val="25587DE6"/>
    <w:rsid w:val="255D33C4"/>
    <w:rsid w:val="25695674"/>
    <w:rsid w:val="257B4C0D"/>
    <w:rsid w:val="258569E6"/>
    <w:rsid w:val="258B45A0"/>
    <w:rsid w:val="25933FC3"/>
    <w:rsid w:val="25A43B34"/>
    <w:rsid w:val="25A93CC2"/>
    <w:rsid w:val="25DC7BF4"/>
    <w:rsid w:val="25DD44DF"/>
    <w:rsid w:val="25DE362C"/>
    <w:rsid w:val="25E023B3"/>
    <w:rsid w:val="25F0544D"/>
    <w:rsid w:val="261849A4"/>
    <w:rsid w:val="26185AEE"/>
    <w:rsid w:val="26247AFA"/>
    <w:rsid w:val="262B46D7"/>
    <w:rsid w:val="26301CEE"/>
    <w:rsid w:val="264D464E"/>
    <w:rsid w:val="26622EB6"/>
    <w:rsid w:val="268F0A13"/>
    <w:rsid w:val="26A60202"/>
    <w:rsid w:val="26A74CF2"/>
    <w:rsid w:val="26D134D1"/>
    <w:rsid w:val="26E62C7C"/>
    <w:rsid w:val="26FE3B9A"/>
    <w:rsid w:val="27035654"/>
    <w:rsid w:val="27473793"/>
    <w:rsid w:val="27554E43"/>
    <w:rsid w:val="275807AF"/>
    <w:rsid w:val="27651E6B"/>
    <w:rsid w:val="27794C33"/>
    <w:rsid w:val="277E6C7B"/>
    <w:rsid w:val="27904AD7"/>
    <w:rsid w:val="27A42993"/>
    <w:rsid w:val="27AE3812"/>
    <w:rsid w:val="27D26378"/>
    <w:rsid w:val="27DD762A"/>
    <w:rsid w:val="27E2526A"/>
    <w:rsid w:val="27EA04B2"/>
    <w:rsid w:val="27EB05C2"/>
    <w:rsid w:val="27F154AD"/>
    <w:rsid w:val="28011749"/>
    <w:rsid w:val="2822617A"/>
    <w:rsid w:val="28285372"/>
    <w:rsid w:val="28335F9C"/>
    <w:rsid w:val="283C7070"/>
    <w:rsid w:val="28447CD2"/>
    <w:rsid w:val="284C02A7"/>
    <w:rsid w:val="28583623"/>
    <w:rsid w:val="28665A0A"/>
    <w:rsid w:val="286E6AFD"/>
    <w:rsid w:val="287F5A4A"/>
    <w:rsid w:val="2884317E"/>
    <w:rsid w:val="28BA1D43"/>
    <w:rsid w:val="28BF330C"/>
    <w:rsid w:val="28CD1A76"/>
    <w:rsid w:val="28CF57EE"/>
    <w:rsid w:val="29134864"/>
    <w:rsid w:val="291B4ED7"/>
    <w:rsid w:val="293B68B2"/>
    <w:rsid w:val="29441D2C"/>
    <w:rsid w:val="29695641"/>
    <w:rsid w:val="298567F4"/>
    <w:rsid w:val="298E633C"/>
    <w:rsid w:val="2999784A"/>
    <w:rsid w:val="29A479A9"/>
    <w:rsid w:val="29A547A1"/>
    <w:rsid w:val="29CA2459"/>
    <w:rsid w:val="29E7300B"/>
    <w:rsid w:val="29F86FC6"/>
    <w:rsid w:val="29FD282F"/>
    <w:rsid w:val="2A06192E"/>
    <w:rsid w:val="2A071527"/>
    <w:rsid w:val="2A13795C"/>
    <w:rsid w:val="2A1F58FE"/>
    <w:rsid w:val="2A22188C"/>
    <w:rsid w:val="2A2D3DE1"/>
    <w:rsid w:val="2A3873C3"/>
    <w:rsid w:val="2A3F4E5B"/>
    <w:rsid w:val="2A427FDC"/>
    <w:rsid w:val="2A5F2BA2"/>
    <w:rsid w:val="2A6440C4"/>
    <w:rsid w:val="2A730BD3"/>
    <w:rsid w:val="2A79047E"/>
    <w:rsid w:val="2A8D770F"/>
    <w:rsid w:val="2A9D65E3"/>
    <w:rsid w:val="2AA016B4"/>
    <w:rsid w:val="2AB96756"/>
    <w:rsid w:val="2AC60E73"/>
    <w:rsid w:val="2ACF41CB"/>
    <w:rsid w:val="2AE9690F"/>
    <w:rsid w:val="2B141BDE"/>
    <w:rsid w:val="2B17347C"/>
    <w:rsid w:val="2B1736CF"/>
    <w:rsid w:val="2B1D3F18"/>
    <w:rsid w:val="2B290CAA"/>
    <w:rsid w:val="2B326508"/>
    <w:rsid w:val="2B4C7548"/>
    <w:rsid w:val="2B4E3AAD"/>
    <w:rsid w:val="2B5117E3"/>
    <w:rsid w:val="2B5B780D"/>
    <w:rsid w:val="2B710DDE"/>
    <w:rsid w:val="2B744A61"/>
    <w:rsid w:val="2B7D59D5"/>
    <w:rsid w:val="2B8723B0"/>
    <w:rsid w:val="2BA2368E"/>
    <w:rsid w:val="2BB84C5F"/>
    <w:rsid w:val="2BB974A6"/>
    <w:rsid w:val="2BD33F54"/>
    <w:rsid w:val="2BD63C77"/>
    <w:rsid w:val="2BDF21EC"/>
    <w:rsid w:val="2C074925"/>
    <w:rsid w:val="2C3562B0"/>
    <w:rsid w:val="2C372028"/>
    <w:rsid w:val="2C514D5F"/>
    <w:rsid w:val="2C581258"/>
    <w:rsid w:val="2C5A1CD2"/>
    <w:rsid w:val="2C772424"/>
    <w:rsid w:val="2C862667"/>
    <w:rsid w:val="2C866B0B"/>
    <w:rsid w:val="2C9500BA"/>
    <w:rsid w:val="2CA43435"/>
    <w:rsid w:val="2CD52468"/>
    <w:rsid w:val="2CDB51DE"/>
    <w:rsid w:val="2CDE0C6B"/>
    <w:rsid w:val="2CED292B"/>
    <w:rsid w:val="2CFA2FB6"/>
    <w:rsid w:val="2D016C6B"/>
    <w:rsid w:val="2D1129C3"/>
    <w:rsid w:val="2D19604A"/>
    <w:rsid w:val="2D1A56B3"/>
    <w:rsid w:val="2D1B3AFA"/>
    <w:rsid w:val="2D2A393B"/>
    <w:rsid w:val="2D2D6F87"/>
    <w:rsid w:val="2D300825"/>
    <w:rsid w:val="2D391DD0"/>
    <w:rsid w:val="2D4A18E7"/>
    <w:rsid w:val="2D510EC7"/>
    <w:rsid w:val="2D727090"/>
    <w:rsid w:val="2D870D8D"/>
    <w:rsid w:val="2D88240F"/>
    <w:rsid w:val="2D8D5C78"/>
    <w:rsid w:val="2DC45B3D"/>
    <w:rsid w:val="2DD218DC"/>
    <w:rsid w:val="2DD70495"/>
    <w:rsid w:val="2DF1306D"/>
    <w:rsid w:val="2E2C04F9"/>
    <w:rsid w:val="2E465D9F"/>
    <w:rsid w:val="2E4C168F"/>
    <w:rsid w:val="2E565FA8"/>
    <w:rsid w:val="2E617EA7"/>
    <w:rsid w:val="2E7110F5"/>
    <w:rsid w:val="2E841356"/>
    <w:rsid w:val="2E8C7A38"/>
    <w:rsid w:val="2EA119DB"/>
    <w:rsid w:val="2EA81517"/>
    <w:rsid w:val="2EB52146"/>
    <w:rsid w:val="2EBD14BC"/>
    <w:rsid w:val="2EC73739"/>
    <w:rsid w:val="2EC76F67"/>
    <w:rsid w:val="2ED00512"/>
    <w:rsid w:val="2ED33B5E"/>
    <w:rsid w:val="2ED3590C"/>
    <w:rsid w:val="2EF83D43"/>
    <w:rsid w:val="2F193C67"/>
    <w:rsid w:val="2F1A353B"/>
    <w:rsid w:val="2F2D4028"/>
    <w:rsid w:val="2F4C68D1"/>
    <w:rsid w:val="2F5C22BF"/>
    <w:rsid w:val="2F66354E"/>
    <w:rsid w:val="2F6A2714"/>
    <w:rsid w:val="2F77273B"/>
    <w:rsid w:val="2F7B222C"/>
    <w:rsid w:val="2FB44FFE"/>
    <w:rsid w:val="2FB614B6"/>
    <w:rsid w:val="2FC11C09"/>
    <w:rsid w:val="2FC4426D"/>
    <w:rsid w:val="2FCF0DB0"/>
    <w:rsid w:val="2FFA3A98"/>
    <w:rsid w:val="300264A9"/>
    <w:rsid w:val="3003474B"/>
    <w:rsid w:val="302F75BD"/>
    <w:rsid w:val="303845C1"/>
    <w:rsid w:val="303D5733"/>
    <w:rsid w:val="305C1B81"/>
    <w:rsid w:val="306727B0"/>
    <w:rsid w:val="30E92D4B"/>
    <w:rsid w:val="30EC0F07"/>
    <w:rsid w:val="311A5A74"/>
    <w:rsid w:val="312D1C4B"/>
    <w:rsid w:val="313F45C2"/>
    <w:rsid w:val="314D5E4A"/>
    <w:rsid w:val="31583180"/>
    <w:rsid w:val="315D3D6B"/>
    <w:rsid w:val="31A82E96"/>
    <w:rsid w:val="31AF2660"/>
    <w:rsid w:val="31B4770C"/>
    <w:rsid w:val="31B9703B"/>
    <w:rsid w:val="31D9265F"/>
    <w:rsid w:val="31E4268D"/>
    <w:rsid w:val="31E66A48"/>
    <w:rsid w:val="321B5F48"/>
    <w:rsid w:val="32357535"/>
    <w:rsid w:val="324F3B4F"/>
    <w:rsid w:val="32546D64"/>
    <w:rsid w:val="32676A97"/>
    <w:rsid w:val="326E6078"/>
    <w:rsid w:val="32830AE6"/>
    <w:rsid w:val="32892EB1"/>
    <w:rsid w:val="32A82BA2"/>
    <w:rsid w:val="32D85BE7"/>
    <w:rsid w:val="32E620B2"/>
    <w:rsid w:val="330621EF"/>
    <w:rsid w:val="33134E71"/>
    <w:rsid w:val="3332198B"/>
    <w:rsid w:val="33364A40"/>
    <w:rsid w:val="33370B5F"/>
    <w:rsid w:val="3337290D"/>
    <w:rsid w:val="334943EF"/>
    <w:rsid w:val="33547B57"/>
    <w:rsid w:val="3364565D"/>
    <w:rsid w:val="339E298D"/>
    <w:rsid w:val="33A57396"/>
    <w:rsid w:val="33B757FC"/>
    <w:rsid w:val="33BD156F"/>
    <w:rsid w:val="33BF2D83"/>
    <w:rsid w:val="33E61757"/>
    <w:rsid w:val="33EC23F3"/>
    <w:rsid w:val="344572AC"/>
    <w:rsid w:val="344A6670"/>
    <w:rsid w:val="345117AD"/>
    <w:rsid w:val="345D45F6"/>
    <w:rsid w:val="3474193F"/>
    <w:rsid w:val="349B511E"/>
    <w:rsid w:val="349D0E96"/>
    <w:rsid w:val="34A43FD3"/>
    <w:rsid w:val="34A828D4"/>
    <w:rsid w:val="34A915E9"/>
    <w:rsid w:val="34AE30A3"/>
    <w:rsid w:val="34B9050D"/>
    <w:rsid w:val="34BD356D"/>
    <w:rsid w:val="34C943A5"/>
    <w:rsid w:val="34CE72A2"/>
    <w:rsid w:val="34D16D92"/>
    <w:rsid w:val="34D2328A"/>
    <w:rsid w:val="34DA3E98"/>
    <w:rsid w:val="350031D3"/>
    <w:rsid w:val="35020CF9"/>
    <w:rsid w:val="35094DA0"/>
    <w:rsid w:val="35141A9E"/>
    <w:rsid w:val="351F5D4F"/>
    <w:rsid w:val="35242677"/>
    <w:rsid w:val="352503A6"/>
    <w:rsid w:val="35325A82"/>
    <w:rsid w:val="35374E47"/>
    <w:rsid w:val="35431A3E"/>
    <w:rsid w:val="354E03E2"/>
    <w:rsid w:val="35523A2F"/>
    <w:rsid w:val="355A1520"/>
    <w:rsid w:val="357C4F4F"/>
    <w:rsid w:val="358931C8"/>
    <w:rsid w:val="35944047"/>
    <w:rsid w:val="35B8118E"/>
    <w:rsid w:val="35C30488"/>
    <w:rsid w:val="35C67F79"/>
    <w:rsid w:val="35D11C57"/>
    <w:rsid w:val="35D301A6"/>
    <w:rsid w:val="35DF103A"/>
    <w:rsid w:val="35ED10F0"/>
    <w:rsid w:val="35ED704B"/>
    <w:rsid w:val="35FC3237"/>
    <w:rsid w:val="36127662"/>
    <w:rsid w:val="36137470"/>
    <w:rsid w:val="364D069A"/>
    <w:rsid w:val="367B3FC7"/>
    <w:rsid w:val="36E36908"/>
    <w:rsid w:val="36FC2559"/>
    <w:rsid w:val="37087A7F"/>
    <w:rsid w:val="370C5E5F"/>
    <w:rsid w:val="372846AD"/>
    <w:rsid w:val="372C6F3C"/>
    <w:rsid w:val="373B1B06"/>
    <w:rsid w:val="373E70E4"/>
    <w:rsid w:val="3756532C"/>
    <w:rsid w:val="375717D0"/>
    <w:rsid w:val="375B2943"/>
    <w:rsid w:val="376143FD"/>
    <w:rsid w:val="37695060"/>
    <w:rsid w:val="376C67FD"/>
    <w:rsid w:val="378C0D4E"/>
    <w:rsid w:val="379F6CD3"/>
    <w:rsid w:val="37A97B52"/>
    <w:rsid w:val="37C16C4A"/>
    <w:rsid w:val="37D22C05"/>
    <w:rsid w:val="37D56B99"/>
    <w:rsid w:val="37F93E62"/>
    <w:rsid w:val="37FA1933"/>
    <w:rsid w:val="38066D52"/>
    <w:rsid w:val="380E454D"/>
    <w:rsid w:val="3813768A"/>
    <w:rsid w:val="38471BCC"/>
    <w:rsid w:val="38787C50"/>
    <w:rsid w:val="387A58E0"/>
    <w:rsid w:val="38961762"/>
    <w:rsid w:val="38A51BDE"/>
    <w:rsid w:val="38A55CCB"/>
    <w:rsid w:val="38B14F10"/>
    <w:rsid w:val="38C764E2"/>
    <w:rsid w:val="38CC7F9C"/>
    <w:rsid w:val="38D17360"/>
    <w:rsid w:val="38D46E50"/>
    <w:rsid w:val="38F66DC7"/>
    <w:rsid w:val="38F848ED"/>
    <w:rsid w:val="3902576C"/>
    <w:rsid w:val="391F4E2B"/>
    <w:rsid w:val="39363667"/>
    <w:rsid w:val="395F671A"/>
    <w:rsid w:val="396C606A"/>
    <w:rsid w:val="3971644D"/>
    <w:rsid w:val="397F0B6A"/>
    <w:rsid w:val="39902D77"/>
    <w:rsid w:val="399F334E"/>
    <w:rsid w:val="39A727C3"/>
    <w:rsid w:val="39C3314D"/>
    <w:rsid w:val="39C72511"/>
    <w:rsid w:val="39F2758E"/>
    <w:rsid w:val="39F827D7"/>
    <w:rsid w:val="39F94DC1"/>
    <w:rsid w:val="39FC69D7"/>
    <w:rsid w:val="39FD4C18"/>
    <w:rsid w:val="39FF7EFD"/>
    <w:rsid w:val="3A1E65D5"/>
    <w:rsid w:val="3A233BEC"/>
    <w:rsid w:val="3A2A021E"/>
    <w:rsid w:val="3A8C0A4A"/>
    <w:rsid w:val="3AAF526C"/>
    <w:rsid w:val="3AB45773"/>
    <w:rsid w:val="3AB6680E"/>
    <w:rsid w:val="3ACF167E"/>
    <w:rsid w:val="3AE336E7"/>
    <w:rsid w:val="3AF73B7B"/>
    <w:rsid w:val="3B021A53"/>
    <w:rsid w:val="3B0A1C96"/>
    <w:rsid w:val="3B111C96"/>
    <w:rsid w:val="3B2E49BC"/>
    <w:rsid w:val="3B4C2CCE"/>
    <w:rsid w:val="3B781D15"/>
    <w:rsid w:val="3B822B94"/>
    <w:rsid w:val="3BA448B8"/>
    <w:rsid w:val="3BB371F1"/>
    <w:rsid w:val="3BDA477E"/>
    <w:rsid w:val="3BDC3C0A"/>
    <w:rsid w:val="3BDF0AD1"/>
    <w:rsid w:val="3BF84C04"/>
    <w:rsid w:val="3C0C59C7"/>
    <w:rsid w:val="3C292100"/>
    <w:rsid w:val="3C2B6D87"/>
    <w:rsid w:val="3C2E0626"/>
    <w:rsid w:val="3C30157D"/>
    <w:rsid w:val="3C5A3D40"/>
    <w:rsid w:val="3C5E5CEB"/>
    <w:rsid w:val="3C6B3628"/>
    <w:rsid w:val="3C706E90"/>
    <w:rsid w:val="3C98589E"/>
    <w:rsid w:val="3C9963E7"/>
    <w:rsid w:val="3C9C7C85"/>
    <w:rsid w:val="3CD411CD"/>
    <w:rsid w:val="3CD7291F"/>
    <w:rsid w:val="3CD92EE6"/>
    <w:rsid w:val="3CDB69FF"/>
    <w:rsid w:val="3CE04016"/>
    <w:rsid w:val="3CEB21BC"/>
    <w:rsid w:val="3D115212"/>
    <w:rsid w:val="3D211F38"/>
    <w:rsid w:val="3D324146"/>
    <w:rsid w:val="3D344362"/>
    <w:rsid w:val="3D3D3216"/>
    <w:rsid w:val="3D5440BC"/>
    <w:rsid w:val="3D55049D"/>
    <w:rsid w:val="3D5F13DF"/>
    <w:rsid w:val="3D6A64E1"/>
    <w:rsid w:val="3D6C4E3E"/>
    <w:rsid w:val="3D750CC2"/>
    <w:rsid w:val="3D7D355E"/>
    <w:rsid w:val="3D84116E"/>
    <w:rsid w:val="3DA908AC"/>
    <w:rsid w:val="3DBF1E7D"/>
    <w:rsid w:val="3E0077CE"/>
    <w:rsid w:val="3E047890"/>
    <w:rsid w:val="3E5F540E"/>
    <w:rsid w:val="3E8652CD"/>
    <w:rsid w:val="3E9450B8"/>
    <w:rsid w:val="3E976C5C"/>
    <w:rsid w:val="3EA54653"/>
    <w:rsid w:val="3EAC2B6C"/>
    <w:rsid w:val="3EB67051"/>
    <w:rsid w:val="3EC3774B"/>
    <w:rsid w:val="3EC45B0A"/>
    <w:rsid w:val="3EFB0397"/>
    <w:rsid w:val="3F723AFC"/>
    <w:rsid w:val="3F850146"/>
    <w:rsid w:val="3FAC6431"/>
    <w:rsid w:val="3FB455DD"/>
    <w:rsid w:val="3FE91433"/>
    <w:rsid w:val="3FEF631E"/>
    <w:rsid w:val="3FF36C63"/>
    <w:rsid w:val="40336D1D"/>
    <w:rsid w:val="404B17A6"/>
    <w:rsid w:val="405F34A4"/>
    <w:rsid w:val="40750F19"/>
    <w:rsid w:val="409018AF"/>
    <w:rsid w:val="40A12470"/>
    <w:rsid w:val="40D479EE"/>
    <w:rsid w:val="40E1035D"/>
    <w:rsid w:val="40E165AE"/>
    <w:rsid w:val="41076015"/>
    <w:rsid w:val="410D1152"/>
    <w:rsid w:val="411E6EBB"/>
    <w:rsid w:val="411F7A6D"/>
    <w:rsid w:val="4125649B"/>
    <w:rsid w:val="41523008"/>
    <w:rsid w:val="4153520E"/>
    <w:rsid w:val="41540B2E"/>
    <w:rsid w:val="416C6C93"/>
    <w:rsid w:val="418C651A"/>
    <w:rsid w:val="419453CF"/>
    <w:rsid w:val="41A53138"/>
    <w:rsid w:val="41B8535E"/>
    <w:rsid w:val="41FB544E"/>
    <w:rsid w:val="41FF6EEF"/>
    <w:rsid w:val="42030652"/>
    <w:rsid w:val="420460B1"/>
    <w:rsid w:val="42075BA1"/>
    <w:rsid w:val="4214206C"/>
    <w:rsid w:val="42213106"/>
    <w:rsid w:val="4229146A"/>
    <w:rsid w:val="422F3D3C"/>
    <w:rsid w:val="424E557E"/>
    <w:rsid w:val="4255690C"/>
    <w:rsid w:val="427C658F"/>
    <w:rsid w:val="427F7E2D"/>
    <w:rsid w:val="429250AA"/>
    <w:rsid w:val="429338D8"/>
    <w:rsid w:val="429E528D"/>
    <w:rsid w:val="42A45AE6"/>
    <w:rsid w:val="42B40431"/>
    <w:rsid w:val="42B75819"/>
    <w:rsid w:val="42C97532"/>
    <w:rsid w:val="42E12896"/>
    <w:rsid w:val="42F425C9"/>
    <w:rsid w:val="42F76469"/>
    <w:rsid w:val="42FA73ED"/>
    <w:rsid w:val="43195B8C"/>
    <w:rsid w:val="432033BE"/>
    <w:rsid w:val="43310967"/>
    <w:rsid w:val="43762FDE"/>
    <w:rsid w:val="437E00E5"/>
    <w:rsid w:val="43866F99"/>
    <w:rsid w:val="43B21B3C"/>
    <w:rsid w:val="43CC70A2"/>
    <w:rsid w:val="43DD305D"/>
    <w:rsid w:val="43E837B0"/>
    <w:rsid w:val="43F22102"/>
    <w:rsid w:val="44071E88"/>
    <w:rsid w:val="44146C7C"/>
    <w:rsid w:val="44250E56"/>
    <w:rsid w:val="442C0469"/>
    <w:rsid w:val="442C18EF"/>
    <w:rsid w:val="442D5B26"/>
    <w:rsid w:val="44332C7D"/>
    <w:rsid w:val="444C3D3F"/>
    <w:rsid w:val="44507CD3"/>
    <w:rsid w:val="44911A44"/>
    <w:rsid w:val="44DE5F3F"/>
    <w:rsid w:val="44EB5650"/>
    <w:rsid w:val="44EC107E"/>
    <w:rsid w:val="45096C08"/>
    <w:rsid w:val="450E6E58"/>
    <w:rsid w:val="452628B8"/>
    <w:rsid w:val="453E0AA9"/>
    <w:rsid w:val="455A248C"/>
    <w:rsid w:val="457B30E8"/>
    <w:rsid w:val="45801ED6"/>
    <w:rsid w:val="458C22B2"/>
    <w:rsid w:val="45A26DFF"/>
    <w:rsid w:val="45C41B5E"/>
    <w:rsid w:val="45F34DBA"/>
    <w:rsid w:val="45FE550D"/>
    <w:rsid w:val="45FF375F"/>
    <w:rsid w:val="462C02CC"/>
    <w:rsid w:val="465A12E5"/>
    <w:rsid w:val="46712183"/>
    <w:rsid w:val="46730062"/>
    <w:rsid w:val="46867421"/>
    <w:rsid w:val="46902E66"/>
    <w:rsid w:val="469320F9"/>
    <w:rsid w:val="46957C1F"/>
    <w:rsid w:val="46A05541"/>
    <w:rsid w:val="46DF0406"/>
    <w:rsid w:val="46DF533E"/>
    <w:rsid w:val="46F669BE"/>
    <w:rsid w:val="46F72688"/>
    <w:rsid w:val="47596E9F"/>
    <w:rsid w:val="47727F60"/>
    <w:rsid w:val="47AC3530"/>
    <w:rsid w:val="47B07917"/>
    <w:rsid w:val="47D97D4C"/>
    <w:rsid w:val="47ED75E7"/>
    <w:rsid w:val="480C16A5"/>
    <w:rsid w:val="482B265C"/>
    <w:rsid w:val="482C7849"/>
    <w:rsid w:val="48531B40"/>
    <w:rsid w:val="485458B8"/>
    <w:rsid w:val="48575D8F"/>
    <w:rsid w:val="4859110F"/>
    <w:rsid w:val="48795CD4"/>
    <w:rsid w:val="487D4E0F"/>
    <w:rsid w:val="488E0DCA"/>
    <w:rsid w:val="4897425D"/>
    <w:rsid w:val="489A151D"/>
    <w:rsid w:val="48A51C70"/>
    <w:rsid w:val="48A95C04"/>
    <w:rsid w:val="48AB197C"/>
    <w:rsid w:val="48BA396D"/>
    <w:rsid w:val="48C12701"/>
    <w:rsid w:val="48C45478"/>
    <w:rsid w:val="48CB4536"/>
    <w:rsid w:val="48CE11C6"/>
    <w:rsid w:val="48D16F09"/>
    <w:rsid w:val="48D90193"/>
    <w:rsid w:val="48E24C72"/>
    <w:rsid w:val="4904108C"/>
    <w:rsid w:val="490770E3"/>
    <w:rsid w:val="490E3CB9"/>
    <w:rsid w:val="4910358D"/>
    <w:rsid w:val="491A08B0"/>
    <w:rsid w:val="49382AE4"/>
    <w:rsid w:val="49501A46"/>
    <w:rsid w:val="495770F6"/>
    <w:rsid w:val="495A0CAC"/>
    <w:rsid w:val="49665006"/>
    <w:rsid w:val="4981448B"/>
    <w:rsid w:val="49816239"/>
    <w:rsid w:val="49991A37"/>
    <w:rsid w:val="499E282F"/>
    <w:rsid w:val="49AB1508"/>
    <w:rsid w:val="49AD702E"/>
    <w:rsid w:val="49BA174B"/>
    <w:rsid w:val="49BE6CF7"/>
    <w:rsid w:val="49C32CF5"/>
    <w:rsid w:val="49C34AA3"/>
    <w:rsid w:val="49F476FB"/>
    <w:rsid w:val="4A1E1CDA"/>
    <w:rsid w:val="4A2329A2"/>
    <w:rsid w:val="4A42715B"/>
    <w:rsid w:val="4A6242BC"/>
    <w:rsid w:val="4A7B35D0"/>
    <w:rsid w:val="4A82114B"/>
    <w:rsid w:val="4A8D4779"/>
    <w:rsid w:val="4A9240F1"/>
    <w:rsid w:val="4A9500E9"/>
    <w:rsid w:val="4AA9720C"/>
    <w:rsid w:val="4B1B446B"/>
    <w:rsid w:val="4B1F5D09"/>
    <w:rsid w:val="4B2D5614"/>
    <w:rsid w:val="4B2E38C9"/>
    <w:rsid w:val="4B4614E8"/>
    <w:rsid w:val="4B4C0AC8"/>
    <w:rsid w:val="4B517E8D"/>
    <w:rsid w:val="4B58121B"/>
    <w:rsid w:val="4B586A3E"/>
    <w:rsid w:val="4B946E8E"/>
    <w:rsid w:val="4B9A1834"/>
    <w:rsid w:val="4BA3693A"/>
    <w:rsid w:val="4BA6467C"/>
    <w:rsid w:val="4BBC79FC"/>
    <w:rsid w:val="4BBF74EC"/>
    <w:rsid w:val="4BEC2D00"/>
    <w:rsid w:val="4C03387D"/>
    <w:rsid w:val="4C0513A3"/>
    <w:rsid w:val="4C1573A3"/>
    <w:rsid w:val="4C1B024A"/>
    <w:rsid w:val="4C1B50C8"/>
    <w:rsid w:val="4C35155C"/>
    <w:rsid w:val="4C431ECB"/>
    <w:rsid w:val="4C523EBC"/>
    <w:rsid w:val="4C675BBA"/>
    <w:rsid w:val="4C8F5111"/>
    <w:rsid w:val="4CA46E0E"/>
    <w:rsid w:val="4CB132D9"/>
    <w:rsid w:val="4CB16E35"/>
    <w:rsid w:val="4CB44B77"/>
    <w:rsid w:val="4CBC1B42"/>
    <w:rsid w:val="4CC208D3"/>
    <w:rsid w:val="4CF65190"/>
    <w:rsid w:val="4D0455E4"/>
    <w:rsid w:val="4D0F7FFF"/>
    <w:rsid w:val="4D1A70D0"/>
    <w:rsid w:val="4D206F23"/>
    <w:rsid w:val="4D272716"/>
    <w:rsid w:val="4D4001B9"/>
    <w:rsid w:val="4D537EEC"/>
    <w:rsid w:val="4D5A127B"/>
    <w:rsid w:val="4D641F2A"/>
    <w:rsid w:val="4D773973"/>
    <w:rsid w:val="4D996326"/>
    <w:rsid w:val="4DA55C17"/>
    <w:rsid w:val="4DBF37D4"/>
    <w:rsid w:val="4DEB45C9"/>
    <w:rsid w:val="4DF01BDF"/>
    <w:rsid w:val="4DF74D1B"/>
    <w:rsid w:val="4DFD7C3C"/>
    <w:rsid w:val="4E516B22"/>
    <w:rsid w:val="4E56257D"/>
    <w:rsid w:val="4E577EB0"/>
    <w:rsid w:val="4E616639"/>
    <w:rsid w:val="4E832A53"/>
    <w:rsid w:val="4E896D65"/>
    <w:rsid w:val="4EA4073F"/>
    <w:rsid w:val="4EA85BC1"/>
    <w:rsid w:val="4EA91564"/>
    <w:rsid w:val="4EB77C55"/>
    <w:rsid w:val="4EBD5A47"/>
    <w:rsid w:val="4ECA0682"/>
    <w:rsid w:val="4EF456FF"/>
    <w:rsid w:val="4F1A33B7"/>
    <w:rsid w:val="4F2C6C47"/>
    <w:rsid w:val="4F3B2023"/>
    <w:rsid w:val="4F563CC4"/>
    <w:rsid w:val="4F5819BC"/>
    <w:rsid w:val="4F6713FC"/>
    <w:rsid w:val="4FA56238"/>
    <w:rsid w:val="4FCB46B2"/>
    <w:rsid w:val="4FD84F9C"/>
    <w:rsid w:val="4FED287A"/>
    <w:rsid w:val="501222E0"/>
    <w:rsid w:val="50175B49"/>
    <w:rsid w:val="50192235"/>
    <w:rsid w:val="5019366F"/>
    <w:rsid w:val="502E57D9"/>
    <w:rsid w:val="503F6960"/>
    <w:rsid w:val="5060304C"/>
    <w:rsid w:val="50746AF7"/>
    <w:rsid w:val="509A317A"/>
    <w:rsid w:val="50AB1369"/>
    <w:rsid w:val="50AF18DD"/>
    <w:rsid w:val="50C06D5D"/>
    <w:rsid w:val="50C63568"/>
    <w:rsid w:val="50C86E43"/>
    <w:rsid w:val="50DD28EE"/>
    <w:rsid w:val="50E61077"/>
    <w:rsid w:val="510548D2"/>
    <w:rsid w:val="512C4DBA"/>
    <w:rsid w:val="5133250E"/>
    <w:rsid w:val="514069D9"/>
    <w:rsid w:val="5147420C"/>
    <w:rsid w:val="514A46F7"/>
    <w:rsid w:val="515661FD"/>
    <w:rsid w:val="51654692"/>
    <w:rsid w:val="51B573C7"/>
    <w:rsid w:val="51E97071"/>
    <w:rsid w:val="51F50086"/>
    <w:rsid w:val="52133DB3"/>
    <w:rsid w:val="521D6D1B"/>
    <w:rsid w:val="522105B9"/>
    <w:rsid w:val="52211E4A"/>
    <w:rsid w:val="52320A0B"/>
    <w:rsid w:val="52354064"/>
    <w:rsid w:val="52483D98"/>
    <w:rsid w:val="52625BD9"/>
    <w:rsid w:val="52630BD1"/>
    <w:rsid w:val="526F5493"/>
    <w:rsid w:val="52862B12"/>
    <w:rsid w:val="52AE54E2"/>
    <w:rsid w:val="52AF68FA"/>
    <w:rsid w:val="52C2463C"/>
    <w:rsid w:val="52D20BBE"/>
    <w:rsid w:val="52D374D1"/>
    <w:rsid w:val="52E73531"/>
    <w:rsid w:val="52ED4757"/>
    <w:rsid w:val="52FE4DAA"/>
    <w:rsid w:val="53070159"/>
    <w:rsid w:val="53153FCA"/>
    <w:rsid w:val="531E71EE"/>
    <w:rsid w:val="536A15F0"/>
    <w:rsid w:val="536A3D92"/>
    <w:rsid w:val="53752CC4"/>
    <w:rsid w:val="53B446B2"/>
    <w:rsid w:val="53BA0EE1"/>
    <w:rsid w:val="53C04D73"/>
    <w:rsid w:val="53C92CE4"/>
    <w:rsid w:val="53E218EE"/>
    <w:rsid w:val="53E45D42"/>
    <w:rsid w:val="53EB5322"/>
    <w:rsid w:val="53EC4BF7"/>
    <w:rsid w:val="53F56F8B"/>
    <w:rsid w:val="53F60BA3"/>
    <w:rsid w:val="5402441A"/>
    <w:rsid w:val="54227396"/>
    <w:rsid w:val="543547EF"/>
    <w:rsid w:val="54522561"/>
    <w:rsid w:val="546155E5"/>
    <w:rsid w:val="546223C7"/>
    <w:rsid w:val="546B0211"/>
    <w:rsid w:val="54817A35"/>
    <w:rsid w:val="54901A26"/>
    <w:rsid w:val="54931516"/>
    <w:rsid w:val="5495703C"/>
    <w:rsid w:val="54BE47E5"/>
    <w:rsid w:val="54CD636F"/>
    <w:rsid w:val="54D67D81"/>
    <w:rsid w:val="54EB3100"/>
    <w:rsid w:val="54ED0C26"/>
    <w:rsid w:val="54F2623D"/>
    <w:rsid w:val="54F660D4"/>
    <w:rsid w:val="55214D74"/>
    <w:rsid w:val="553B5E36"/>
    <w:rsid w:val="55436A98"/>
    <w:rsid w:val="554E3280"/>
    <w:rsid w:val="555111B5"/>
    <w:rsid w:val="555B0286"/>
    <w:rsid w:val="556A2E15"/>
    <w:rsid w:val="55713605"/>
    <w:rsid w:val="55733821"/>
    <w:rsid w:val="557B3FC6"/>
    <w:rsid w:val="558C043F"/>
    <w:rsid w:val="55937A20"/>
    <w:rsid w:val="55A0213D"/>
    <w:rsid w:val="55A559A5"/>
    <w:rsid w:val="55AA6B17"/>
    <w:rsid w:val="55B0753C"/>
    <w:rsid w:val="55B31E70"/>
    <w:rsid w:val="55C776C9"/>
    <w:rsid w:val="55CF47D0"/>
    <w:rsid w:val="55DA73FC"/>
    <w:rsid w:val="55E163C9"/>
    <w:rsid w:val="55E46FF7"/>
    <w:rsid w:val="55F12998"/>
    <w:rsid w:val="56050C4F"/>
    <w:rsid w:val="560B5519"/>
    <w:rsid w:val="561F3061"/>
    <w:rsid w:val="5623096A"/>
    <w:rsid w:val="563611BE"/>
    <w:rsid w:val="56384123"/>
    <w:rsid w:val="563A7E9B"/>
    <w:rsid w:val="56494582"/>
    <w:rsid w:val="564B3E56"/>
    <w:rsid w:val="565A22EB"/>
    <w:rsid w:val="566844BC"/>
    <w:rsid w:val="56686080"/>
    <w:rsid w:val="56731F47"/>
    <w:rsid w:val="56837A94"/>
    <w:rsid w:val="56870E70"/>
    <w:rsid w:val="569E2AE6"/>
    <w:rsid w:val="56A15FD6"/>
    <w:rsid w:val="56C647C9"/>
    <w:rsid w:val="56F73FDE"/>
    <w:rsid w:val="56FE711B"/>
    <w:rsid w:val="57034731"/>
    <w:rsid w:val="57234DD3"/>
    <w:rsid w:val="574F5BC8"/>
    <w:rsid w:val="5753390A"/>
    <w:rsid w:val="57672F12"/>
    <w:rsid w:val="577708FE"/>
    <w:rsid w:val="578223FB"/>
    <w:rsid w:val="5797131D"/>
    <w:rsid w:val="579A244F"/>
    <w:rsid w:val="57EA3EC9"/>
    <w:rsid w:val="57F435E4"/>
    <w:rsid w:val="580E5A83"/>
    <w:rsid w:val="5835390E"/>
    <w:rsid w:val="585B1212"/>
    <w:rsid w:val="585D4315"/>
    <w:rsid w:val="587C259B"/>
    <w:rsid w:val="58AB32D2"/>
    <w:rsid w:val="58AE4B70"/>
    <w:rsid w:val="58E80082"/>
    <w:rsid w:val="59170968"/>
    <w:rsid w:val="59195AD7"/>
    <w:rsid w:val="591C5F7E"/>
    <w:rsid w:val="5932754F"/>
    <w:rsid w:val="593B5FE9"/>
    <w:rsid w:val="594F1D54"/>
    <w:rsid w:val="59540730"/>
    <w:rsid w:val="595C637A"/>
    <w:rsid w:val="5963315C"/>
    <w:rsid w:val="597162CA"/>
    <w:rsid w:val="59777658"/>
    <w:rsid w:val="597E50C5"/>
    <w:rsid w:val="5983448B"/>
    <w:rsid w:val="59945B14"/>
    <w:rsid w:val="59965D30"/>
    <w:rsid w:val="59AE7C6C"/>
    <w:rsid w:val="59B61F2F"/>
    <w:rsid w:val="59C56616"/>
    <w:rsid w:val="59D423B5"/>
    <w:rsid w:val="59E82642"/>
    <w:rsid w:val="5A1629CD"/>
    <w:rsid w:val="5A1B0DD1"/>
    <w:rsid w:val="5A1E1882"/>
    <w:rsid w:val="5A201E37"/>
    <w:rsid w:val="5A2069CB"/>
    <w:rsid w:val="5A366BCB"/>
    <w:rsid w:val="5A581238"/>
    <w:rsid w:val="5A623E64"/>
    <w:rsid w:val="5A6D4DC8"/>
    <w:rsid w:val="5A71776C"/>
    <w:rsid w:val="5A821E11"/>
    <w:rsid w:val="5A9F0C15"/>
    <w:rsid w:val="5AC05F5B"/>
    <w:rsid w:val="5AC8016B"/>
    <w:rsid w:val="5AC97A40"/>
    <w:rsid w:val="5AE66844"/>
    <w:rsid w:val="5AF34ABD"/>
    <w:rsid w:val="5AF727FF"/>
    <w:rsid w:val="5AFC7E15"/>
    <w:rsid w:val="5AFF16B3"/>
    <w:rsid w:val="5B192DE9"/>
    <w:rsid w:val="5B1B7851"/>
    <w:rsid w:val="5B266C40"/>
    <w:rsid w:val="5B3D3F8A"/>
    <w:rsid w:val="5B543BF1"/>
    <w:rsid w:val="5B5C4D58"/>
    <w:rsid w:val="5B5D7E1A"/>
    <w:rsid w:val="5B5E3454"/>
    <w:rsid w:val="5B85605C"/>
    <w:rsid w:val="5B8D230E"/>
    <w:rsid w:val="5BAE2A54"/>
    <w:rsid w:val="5BDE1AE9"/>
    <w:rsid w:val="5C036F81"/>
    <w:rsid w:val="5C075F07"/>
    <w:rsid w:val="5C1761A2"/>
    <w:rsid w:val="5C2869E8"/>
    <w:rsid w:val="5C2C297C"/>
    <w:rsid w:val="5C447D0F"/>
    <w:rsid w:val="5C6C4B26"/>
    <w:rsid w:val="5C722942"/>
    <w:rsid w:val="5C763BF7"/>
    <w:rsid w:val="5C930305"/>
    <w:rsid w:val="5CA644DC"/>
    <w:rsid w:val="5CAC7619"/>
    <w:rsid w:val="5CC22998"/>
    <w:rsid w:val="5CCC2589"/>
    <w:rsid w:val="5CD64696"/>
    <w:rsid w:val="5CF54B1C"/>
    <w:rsid w:val="5D1F428F"/>
    <w:rsid w:val="5D3E4715"/>
    <w:rsid w:val="5D6D0B56"/>
    <w:rsid w:val="5D6F0D72"/>
    <w:rsid w:val="5D706DAF"/>
    <w:rsid w:val="5D7B3D89"/>
    <w:rsid w:val="5D852344"/>
    <w:rsid w:val="5D8B17CC"/>
    <w:rsid w:val="5DB16816"/>
    <w:rsid w:val="5DB65DEE"/>
    <w:rsid w:val="5DB84258"/>
    <w:rsid w:val="5DBB0E8F"/>
    <w:rsid w:val="5DCE1157"/>
    <w:rsid w:val="5E175C8F"/>
    <w:rsid w:val="5E602490"/>
    <w:rsid w:val="5E6D4B86"/>
    <w:rsid w:val="5E7A79CF"/>
    <w:rsid w:val="5EA7358E"/>
    <w:rsid w:val="5EAF519E"/>
    <w:rsid w:val="5EE239D0"/>
    <w:rsid w:val="5F1871E8"/>
    <w:rsid w:val="5F4955F3"/>
    <w:rsid w:val="5F50072F"/>
    <w:rsid w:val="5F630463"/>
    <w:rsid w:val="5F7B79F4"/>
    <w:rsid w:val="5F8B74E4"/>
    <w:rsid w:val="5F8D3732"/>
    <w:rsid w:val="5F944AC0"/>
    <w:rsid w:val="5F990328"/>
    <w:rsid w:val="5FD6558D"/>
    <w:rsid w:val="5FDC0C27"/>
    <w:rsid w:val="5FE56798"/>
    <w:rsid w:val="60171F35"/>
    <w:rsid w:val="60174CA1"/>
    <w:rsid w:val="60327E35"/>
    <w:rsid w:val="60341DFF"/>
    <w:rsid w:val="604A517F"/>
    <w:rsid w:val="607E751E"/>
    <w:rsid w:val="608525E1"/>
    <w:rsid w:val="608C7E04"/>
    <w:rsid w:val="608E1741"/>
    <w:rsid w:val="608F5287"/>
    <w:rsid w:val="60974B11"/>
    <w:rsid w:val="609B3C02"/>
    <w:rsid w:val="609E54CA"/>
    <w:rsid w:val="60AA3E6F"/>
    <w:rsid w:val="60AE1BB1"/>
    <w:rsid w:val="60C70EC5"/>
    <w:rsid w:val="61034043"/>
    <w:rsid w:val="611C2FBF"/>
    <w:rsid w:val="612219D9"/>
    <w:rsid w:val="613F280A"/>
    <w:rsid w:val="61642270"/>
    <w:rsid w:val="618425E7"/>
    <w:rsid w:val="61891CD7"/>
    <w:rsid w:val="61907509"/>
    <w:rsid w:val="61B551C2"/>
    <w:rsid w:val="61D05B58"/>
    <w:rsid w:val="61D11A2F"/>
    <w:rsid w:val="61FF0E6B"/>
    <w:rsid w:val="620D0B5A"/>
    <w:rsid w:val="62152854"/>
    <w:rsid w:val="622C105D"/>
    <w:rsid w:val="62306C2E"/>
    <w:rsid w:val="6243457B"/>
    <w:rsid w:val="624D4D66"/>
    <w:rsid w:val="624E6987"/>
    <w:rsid w:val="62675D83"/>
    <w:rsid w:val="62917095"/>
    <w:rsid w:val="629848C7"/>
    <w:rsid w:val="62CC4571"/>
    <w:rsid w:val="62EF64B1"/>
    <w:rsid w:val="62F65CC1"/>
    <w:rsid w:val="62FB2F72"/>
    <w:rsid w:val="631959E2"/>
    <w:rsid w:val="63247F09"/>
    <w:rsid w:val="6345638C"/>
    <w:rsid w:val="63473BF7"/>
    <w:rsid w:val="6352060E"/>
    <w:rsid w:val="6381535B"/>
    <w:rsid w:val="639130C5"/>
    <w:rsid w:val="639808F7"/>
    <w:rsid w:val="639D4CF9"/>
    <w:rsid w:val="63C11BFC"/>
    <w:rsid w:val="63C55EBE"/>
    <w:rsid w:val="63CD05A1"/>
    <w:rsid w:val="63D0111D"/>
    <w:rsid w:val="63D15554"/>
    <w:rsid w:val="63E63410"/>
    <w:rsid w:val="64247902"/>
    <w:rsid w:val="64310E2C"/>
    <w:rsid w:val="64356146"/>
    <w:rsid w:val="64406FC4"/>
    <w:rsid w:val="64540CC2"/>
    <w:rsid w:val="646675CA"/>
    <w:rsid w:val="6467683B"/>
    <w:rsid w:val="646D3B32"/>
    <w:rsid w:val="64711BB5"/>
    <w:rsid w:val="64915A72"/>
    <w:rsid w:val="64A21A2D"/>
    <w:rsid w:val="64AF7CA6"/>
    <w:rsid w:val="64B81251"/>
    <w:rsid w:val="64BD68AA"/>
    <w:rsid w:val="64C80D68"/>
    <w:rsid w:val="64D43BB1"/>
    <w:rsid w:val="64D92F75"/>
    <w:rsid w:val="64DD3099"/>
    <w:rsid w:val="64DE67DD"/>
    <w:rsid w:val="64EC0EFA"/>
    <w:rsid w:val="6503274D"/>
    <w:rsid w:val="652E506F"/>
    <w:rsid w:val="655A15E0"/>
    <w:rsid w:val="655A40B6"/>
    <w:rsid w:val="656009EB"/>
    <w:rsid w:val="656A5918"/>
    <w:rsid w:val="65770FEE"/>
    <w:rsid w:val="657C554C"/>
    <w:rsid w:val="658B7132"/>
    <w:rsid w:val="659547A6"/>
    <w:rsid w:val="65C71020"/>
    <w:rsid w:val="65C8108A"/>
    <w:rsid w:val="65E21A0A"/>
    <w:rsid w:val="660A2875"/>
    <w:rsid w:val="66171FA7"/>
    <w:rsid w:val="66396015"/>
    <w:rsid w:val="663A3EE7"/>
    <w:rsid w:val="663A61D1"/>
    <w:rsid w:val="66597F7C"/>
    <w:rsid w:val="666920D7"/>
    <w:rsid w:val="6694028B"/>
    <w:rsid w:val="66A23F66"/>
    <w:rsid w:val="66A96EFB"/>
    <w:rsid w:val="66AA1DE0"/>
    <w:rsid w:val="66B95445"/>
    <w:rsid w:val="66D91C48"/>
    <w:rsid w:val="66E3647D"/>
    <w:rsid w:val="66E63727"/>
    <w:rsid w:val="66ED4AB6"/>
    <w:rsid w:val="66F44ECE"/>
    <w:rsid w:val="670C5884"/>
    <w:rsid w:val="673152EA"/>
    <w:rsid w:val="67391443"/>
    <w:rsid w:val="67472418"/>
    <w:rsid w:val="67534FD4"/>
    <w:rsid w:val="67542A2F"/>
    <w:rsid w:val="678C03A6"/>
    <w:rsid w:val="679A4C3E"/>
    <w:rsid w:val="67A41618"/>
    <w:rsid w:val="67AE6BE5"/>
    <w:rsid w:val="67C72BA1"/>
    <w:rsid w:val="67C9107F"/>
    <w:rsid w:val="67D7796D"/>
    <w:rsid w:val="67EF3E24"/>
    <w:rsid w:val="6804655B"/>
    <w:rsid w:val="680E73DA"/>
    <w:rsid w:val="681A79B2"/>
    <w:rsid w:val="685D53C9"/>
    <w:rsid w:val="685E3CBD"/>
    <w:rsid w:val="689F6284"/>
    <w:rsid w:val="68AB3179"/>
    <w:rsid w:val="68B60138"/>
    <w:rsid w:val="68BF70CE"/>
    <w:rsid w:val="68E4522F"/>
    <w:rsid w:val="68F9404B"/>
    <w:rsid w:val="68FC0779"/>
    <w:rsid w:val="69021035"/>
    <w:rsid w:val="691174A4"/>
    <w:rsid w:val="69255090"/>
    <w:rsid w:val="694B07F4"/>
    <w:rsid w:val="69692B1A"/>
    <w:rsid w:val="69782D5D"/>
    <w:rsid w:val="69A27DD9"/>
    <w:rsid w:val="69AB6F38"/>
    <w:rsid w:val="69C56689"/>
    <w:rsid w:val="69D1246D"/>
    <w:rsid w:val="69DD7064"/>
    <w:rsid w:val="69F06324"/>
    <w:rsid w:val="69FB2708"/>
    <w:rsid w:val="6A247F9D"/>
    <w:rsid w:val="6A260A0B"/>
    <w:rsid w:val="6A2829D5"/>
    <w:rsid w:val="6A3550F2"/>
    <w:rsid w:val="6A617C95"/>
    <w:rsid w:val="6A6F45A5"/>
    <w:rsid w:val="6AA34C50"/>
    <w:rsid w:val="6AAF3179"/>
    <w:rsid w:val="6AB029CA"/>
    <w:rsid w:val="6AB9187F"/>
    <w:rsid w:val="6AC00E5F"/>
    <w:rsid w:val="6AE12B83"/>
    <w:rsid w:val="6B0B65ED"/>
    <w:rsid w:val="6B256F14"/>
    <w:rsid w:val="6B2A63D6"/>
    <w:rsid w:val="6B3712B7"/>
    <w:rsid w:val="6B5B2936"/>
    <w:rsid w:val="6B633598"/>
    <w:rsid w:val="6B673089"/>
    <w:rsid w:val="6B792DBC"/>
    <w:rsid w:val="6B811569"/>
    <w:rsid w:val="6BA73DCD"/>
    <w:rsid w:val="6BA82754"/>
    <w:rsid w:val="6BC24763"/>
    <w:rsid w:val="6BC55AFC"/>
    <w:rsid w:val="6BD36970"/>
    <w:rsid w:val="6BD67709"/>
    <w:rsid w:val="6BDA6A5A"/>
    <w:rsid w:val="6BEA72E3"/>
    <w:rsid w:val="6BFC6ABA"/>
    <w:rsid w:val="6C0109E0"/>
    <w:rsid w:val="6C0E1756"/>
    <w:rsid w:val="6C1121B0"/>
    <w:rsid w:val="6C2E004A"/>
    <w:rsid w:val="6C5D7976"/>
    <w:rsid w:val="6C8639E2"/>
    <w:rsid w:val="6C871509"/>
    <w:rsid w:val="6C9A1CAD"/>
    <w:rsid w:val="6CB84909"/>
    <w:rsid w:val="6CD75FEC"/>
    <w:rsid w:val="6CDA788A"/>
    <w:rsid w:val="6CDC1854"/>
    <w:rsid w:val="6CEB74F1"/>
    <w:rsid w:val="6CF21078"/>
    <w:rsid w:val="6CF80E6B"/>
    <w:rsid w:val="6D0B3835"/>
    <w:rsid w:val="6D1A412B"/>
    <w:rsid w:val="6D312F10"/>
    <w:rsid w:val="6D4B0788"/>
    <w:rsid w:val="6D545516"/>
    <w:rsid w:val="6D602485"/>
    <w:rsid w:val="6D68758C"/>
    <w:rsid w:val="6D6C2BD8"/>
    <w:rsid w:val="6D71439B"/>
    <w:rsid w:val="6D936D70"/>
    <w:rsid w:val="6D9504C8"/>
    <w:rsid w:val="6D9B170F"/>
    <w:rsid w:val="6DA80BCE"/>
    <w:rsid w:val="6DA87988"/>
    <w:rsid w:val="6DC522E8"/>
    <w:rsid w:val="6DF57E44"/>
    <w:rsid w:val="6E0A419F"/>
    <w:rsid w:val="6E3D6323"/>
    <w:rsid w:val="6E435BA3"/>
    <w:rsid w:val="6E5C7E8B"/>
    <w:rsid w:val="6E71421E"/>
    <w:rsid w:val="6E7A1325"/>
    <w:rsid w:val="6E7C32EF"/>
    <w:rsid w:val="6EA0787D"/>
    <w:rsid w:val="6EB8009F"/>
    <w:rsid w:val="6EEE43FC"/>
    <w:rsid w:val="6F0B4673"/>
    <w:rsid w:val="6F1866F2"/>
    <w:rsid w:val="6F1E5DC7"/>
    <w:rsid w:val="6F223F1C"/>
    <w:rsid w:val="6F3B6306"/>
    <w:rsid w:val="6F4F630E"/>
    <w:rsid w:val="6F6F58B2"/>
    <w:rsid w:val="6F963F3C"/>
    <w:rsid w:val="6F9A54F5"/>
    <w:rsid w:val="6FAB550E"/>
    <w:rsid w:val="6FE23626"/>
    <w:rsid w:val="700D5716"/>
    <w:rsid w:val="7018405C"/>
    <w:rsid w:val="70422316"/>
    <w:rsid w:val="704D7FE5"/>
    <w:rsid w:val="70565EFE"/>
    <w:rsid w:val="706E0500"/>
    <w:rsid w:val="70765B1C"/>
    <w:rsid w:val="70781894"/>
    <w:rsid w:val="7087094C"/>
    <w:rsid w:val="709D579F"/>
    <w:rsid w:val="70A01FD4"/>
    <w:rsid w:val="70A408DB"/>
    <w:rsid w:val="70CB230C"/>
    <w:rsid w:val="70D8212E"/>
    <w:rsid w:val="70DD65B6"/>
    <w:rsid w:val="70E75BC9"/>
    <w:rsid w:val="70ED6F34"/>
    <w:rsid w:val="70FF3D63"/>
    <w:rsid w:val="71017ADB"/>
    <w:rsid w:val="71033854"/>
    <w:rsid w:val="71245513"/>
    <w:rsid w:val="713C4FB8"/>
    <w:rsid w:val="716F0EE9"/>
    <w:rsid w:val="71812947"/>
    <w:rsid w:val="71836742"/>
    <w:rsid w:val="71867FE1"/>
    <w:rsid w:val="718801FD"/>
    <w:rsid w:val="71A43E00"/>
    <w:rsid w:val="71AF12E6"/>
    <w:rsid w:val="71B96608"/>
    <w:rsid w:val="71C34D91"/>
    <w:rsid w:val="71D02BE4"/>
    <w:rsid w:val="71D1496D"/>
    <w:rsid w:val="71EA0570"/>
    <w:rsid w:val="71EA4A14"/>
    <w:rsid w:val="71EF202A"/>
    <w:rsid w:val="72256997"/>
    <w:rsid w:val="722C6DDA"/>
    <w:rsid w:val="72405BF5"/>
    <w:rsid w:val="72442685"/>
    <w:rsid w:val="724C7A91"/>
    <w:rsid w:val="724E6D50"/>
    <w:rsid w:val="725974A3"/>
    <w:rsid w:val="7259784A"/>
    <w:rsid w:val="725B76BF"/>
    <w:rsid w:val="726A7902"/>
    <w:rsid w:val="728275F0"/>
    <w:rsid w:val="728C7879"/>
    <w:rsid w:val="729D1A86"/>
    <w:rsid w:val="72AD7B00"/>
    <w:rsid w:val="72D54D7C"/>
    <w:rsid w:val="72DB435C"/>
    <w:rsid w:val="73041B05"/>
    <w:rsid w:val="734356A5"/>
    <w:rsid w:val="73830C7C"/>
    <w:rsid w:val="739A566B"/>
    <w:rsid w:val="739D0412"/>
    <w:rsid w:val="739F5BC0"/>
    <w:rsid w:val="73A31F84"/>
    <w:rsid w:val="73A806E2"/>
    <w:rsid w:val="73AF3118"/>
    <w:rsid w:val="73B01345"/>
    <w:rsid w:val="73B9644B"/>
    <w:rsid w:val="73EB6821"/>
    <w:rsid w:val="740542B2"/>
    <w:rsid w:val="740B2A1F"/>
    <w:rsid w:val="7423420D"/>
    <w:rsid w:val="743E1047"/>
    <w:rsid w:val="743E1546"/>
    <w:rsid w:val="74496641"/>
    <w:rsid w:val="746622AE"/>
    <w:rsid w:val="74934EEE"/>
    <w:rsid w:val="74DF0134"/>
    <w:rsid w:val="74E7348C"/>
    <w:rsid w:val="74E94603"/>
    <w:rsid w:val="751A116C"/>
    <w:rsid w:val="752C17D6"/>
    <w:rsid w:val="75321D1A"/>
    <w:rsid w:val="753A74C2"/>
    <w:rsid w:val="754C6807"/>
    <w:rsid w:val="754D1541"/>
    <w:rsid w:val="755F1275"/>
    <w:rsid w:val="7563305D"/>
    <w:rsid w:val="75635629"/>
    <w:rsid w:val="756E770A"/>
    <w:rsid w:val="759C3680"/>
    <w:rsid w:val="75B25848"/>
    <w:rsid w:val="75ED6880"/>
    <w:rsid w:val="75F53987"/>
    <w:rsid w:val="760801EA"/>
    <w:rsid w:val="7609700D"/>
    <w:rsid w:val="762304F4"/>
    <w:rsid w:val="7627660E"/>
    <w:rsid w:val="762D3121"/>
    <w:rsid w:val="764D731F"/>
    <w:rsid w:val="76566332"/>
    <w:rsid w:val="765D3A06"/>
    <w:rsid w:val="76685F07"/>
    <w:rsid w:val="76A333C2"/>
    <w:rsid w:val="76AA29C3"/>
    <w:rsid w:val="76C43A85"/>
    <w:rsid w:val="76E934EC"/>
    <w:rsid w:val="7713716B"/>
    <w:rsid w:val="771542E1"/>
    <w:rsid w:val="772340B3"/>
    <w:rsid w:val="773F310C"/>
    <w:rsid w:val="774424D0"/>
    <w:rsid w:val="775F37AE"/>
    <w:rsid w:val="7782124A"/>
    <w:rsid w:val="77847777"/>
    <w:rsid w:val="778C6315"/>
    <w:rsid w:val="778E3267"/>
    <w:rsid w:val="77955421"/>
    <w:rsid w:val="77B227F5"/>
    <w:rsid w:val="77D53A70"/>
    <w:rsid w:val="77F015D0"/>
    <w:rsid w:val="77FA7033"/>
    <w:rsid w:val="77FE2FC7"/>
    <w:rsid w:val="77FE4D75"/>
    <w:rsid w:val="780B2412"/>
    <w:rsid w:val="781451B8"/>
    <w:rsid w:val="7816242C"/>
    <w:rsid w:val="78163893"/>
    <w:rsid w:val="781A76D5"/>
    <w:rsid w:val="7820118F"/>
    <w:rsid w:val="78207C9D"/>
    <w:rsid w:val="78280044"/>
    <w:rsid w:val="78283BA0"/>
    <w:rsid w:val="78461060"/>
    <w:rsid w:val="785B3F75"/>
    <w:rsid w:val="78B16511"/>
    <w:rsid w:val="78C53AE4"/>
    <w:rsid w:val="78C563DE"/>
    <w:rsid w:val="78E75809"/>
    <w:rsid w:val="78EE303B"/>
    <w:rsid w:val="78F47F26"/>
    <w:rsid w:val="78F9553C"/>
    <w:rsid w:val="790243F1"/>
    <w:rsid w:val="792E3853"/>
    <w:rsid w:val="79425135"/>
    <w:rsid w:val="796F1C36"/>
    <w:rsid w:val="79722D4C"/>
    <w:rsid w:val="797F3C93"/>
    <w:rsid w:val="79B3393D"/>
    <w:rsid w:val="79B55907"/>
    <w:rsid w:val="79D637EB"/>
    <w:rsid w:val="79DB7D6E"/>
    <w:rsid w:val="79E61EC2"/>
    <w:rsid w:val="7A150154"/>
    <w:rsid w:val="7A1E397E"/>
    <w:rsid w:val="7A476A24"/>
    <w:rsid w:val="7A580617"/>
    <w:rsid w:val="7A631E5E"/>
    <w:rsid w:val="7A762C8D"/>
    <w:rsid w:val="7A9B38BF"/>
    <w:rsid w:val="7A9E283F"/>
    <w:rsid w:val="7AA162AF"/>
    <w:rsid w:val="7AC56F52"/>
    <w:rsid w:val="7AE87FB7"/>
    <w:rsid w:val="7AF1471D"/>
    <w:rsid w:val="7AF91823"/>
    <w:rsid w:val="7B000E04"/>
    <w:rsid w:val="7B0C1557"/>
    <w:rsid w:val="7B18077A"/>
    <w:rsid w:val="7B29035B"/>
    <w:rsid w:val="7B30793B"/>
    <w:rsid w:val="7B321F83"/>
    <w:rsid w:val="7B3E7AC9"/>
    <w:rsid w:val="7B4E6EB9"/>
    <w:rsid w:val="7B51340D"/>
    <w:rsid w:val="7B570210"/>
    <w:rsid w:val="7B5F5B2A"/>
    <w:rsid w:val="7B6860CE"/>
    <w:rsid w:val="7B6A2721"/>
    <w:rsid w:val="7B724F42"/>
    <w:rsid w:val="7B8F3F36"/>
    <w:rsid w:val="7B9863EC"/>
    <w:rsid w:val="7B9A1258"/>
    <w:rsid w:val="7BA36B95"/>
    <w:rsid w:val="7BB06386"/>
    <w:rsid w:val="7BD52290"/>
    <w:rsid w:val="7BD53ACF"/>
    <w:rsid w:val="7BD81D81"/>
    <w:rsid w:val="7BE14791"/>
    <w:rsid w:val="7BEE0EE2"/>
    <w:rsid w:val="7C2F0E6D"/>
    <w:rsid w:val="7C32323F"/>
    <w:rsid w:val="7C352D2F"/>
    <w:rsid w:val="7C376AA7"/>
    <w:rsid w:val="7C3A12F7"/>
    <w:rsid w:val="7C3E1BE4"/>
    <w:rsid w:val="7C594C70"/>
    <w:rsid w:val="7C5A1CEB"/>
    <w:rsid w:val="7C5B426D"/>
    <w:rsid w:val="7C622DD3"/>
    <w:rsid w:val="7C683105"/>
    <w:rsid w:val="7C7C44BA"/>
    <w:rsid w:val="7C8021FC"/>
    <w:rsid w:val="7CBF22E0"/>
    <w:rsid w:val="7D0437BF"/>
    <w:rsid w:val="7D1427F4"/>
    <w:rsid w:val="7D1E420E"/>
    <w:rsid w:val="7D2D3CBD"/>
    <w:rsid w:val="7D3533F7"/>
    <w:rsid w:val="7D3D633F"/>
    <w:rsid w:val="7D3E7644"/>
    <w:rsid w:val="7D781125"/>
    <w:rsid w:val="7D9615AC"/>
    <w:rsid w:val="7DAE0FEB"/>
    <w:rsid w:val="7DD6409E"/>
    <w:rsid w:val="7DDA3B8E"/>
    <w:rsid w:val="7DDD6497"/>
    <w:rsid w:val="7E01111B"/>
    <w:rsid w:val="7E3A462D"/>
    <w:rsid w:val="7E3E411D"/>
    <w:rsid w:val="7E4E7FA2"/>
    <w:rsid w:val="7E4F1946"/>
    <w:rsid w:val="7E597272"/>
    <w:rsid w:val="7E5C0A47"/>
    <w:rsid w:val="7E6216A7"/>
    <w:rsid w:val="7E6B2A38"/>
    <w:rsid w:val="7E7C227A"/>
    <w:rsid w:val="7E8809BA"/>
    <w:rsid w:val="7E8F7247"/>
    <w:rsid w:val="7EA066A4"/>
    <w:rsid w:val="7EB025C7"/>
    <w:rsid w:val="7EBC3294"/>
    <w:rsid w:val="7EC02D84"/>
    <w:rsid w:val="7EC30170"/>
    <w:rsid w:val="7EC46B81"/>
    <w:rsid w:val="7ED226E4"/>
    <w:rsid w:val="7ED93E46"/>
    <w:rsid w:val="7EF822F5"/>
    <w:rsid w:val="7F0F6D00"/>
    <w:rsid w:val="7F164EA2"/>
    <w:rsid w:val="7F435763"/>
    <w:rsid w:val="7F6A3ACE"/>
    <w:rsid w:val="7F89586C"/>
    <w:rsid w:val="7F8E06CB"/>
    <w:rsid w:val="7F8F6BFA"/>
    <w:rsid w:val="7FA04963"/>
    <w:rsid w:val="7FB46DC4"/>
    <w:rsid w:val="7FBD72C3"/>
    <w:rsid w:val="7FD0349B"/>
    <w:rsid w:val="7FDC23D1"/>
    <w:rsid w:val="7FDF723A"/>
    <w:rsid w:val="7FF627D5"/>
    <w:rsid w:val="ACA20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en-US" w:bidi="ar-SA"/>
    </w:rPr>
  </w:style>
  <w:style w:type="paragraph" w:styleId="3">
    <w:name w:val="heading 3"/>
    <w:basedOn w:val="1"/>
    <w:next w:val="1"/>
    <w:qFormat/>
    <w:uiPriority w:val="0"/>
    <w:pPr>
      <w:keepNext w:val="0"/>
      <w:keepLines w:val="0"/>
      <w:spacing w:beforeLines="0" w:beforeAutospacing="0" w:afterLines="0" w:afterAutospacing="0" w:line="600" w:lineRule="exact"/>
      <w:ind w:firstLine="0" w:firstLineChars="0"/>
      <w:jc w:val="center"/>
      <w:outlineLvl w:val="2"/>
    </w:pPr>
    <w:rPr>
      <w:rFonts w:eastAsia="方正小标宋简体" w:cs="Times New Roman"/>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4">
    <w:name w:val="caption"/>
    <w:basedOn w:val="1"/>
    <w:next w:val="1"/>
    <w:qFormat/>
    <w:uiPriority w:val="35"/>
    <w:rPr>
      <w:rFonts w:ascii="Arial" w:hAnsi="Arial" w:eastAsia="黑体"/>
      <w:sz w:val="20"/>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able of figures"/>
    <w:basedOn w:val="1"/>
    <w:next w:val="1"/>
    <w:qFormat/>
    <w:uiPriority w:val="0"/>
    <w:pPr>
      <w:ind w:left="200" w:leftChars="200" w:hanging="200" w:hangingChars="200"/>
    </w:pPr>
  </w:style>
  <w:style w:type="paragraph" w:styleId="7">
    <w:name w:val="Body Text 2"/>
    <w:basedOn w:val="1"/>
    <w:qFormat/>
    <w:uiPriority w:val="0"/>
    <w:pPr>
      <w:jc w:val="center"/>
    </w:pPr>
    <w:rPr>
      <w:rFonts w:eastAsia="文鼎小标宋"/>
      <w:sz w:val="36"/>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Default"/>
    <w:next w:val="4"/>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14585</Words>
  <Characters>16074</Characters>
  <Lines>0</Lines>
  <Paragraphs>0</Paragraphs>
  <TotalTime>0</TotalTime>
  <ScaleCrop>false</ScaleCrop>
  <LinksUpToDate>false</LinksUpToDate>
  <CharactersWithSpaces>16284</CharactersWithSpaces>
  <Application>WPS Office_12.8.2.15292_F1E327BC-269C-435d-A152-05C5408002CA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2021-09-30T15:18:00Z</dcterms:created>
  <dc:creator>Administrator</dc:creator>
  <cp:lastModifiedBy>刘东</cp:lastModifiedBy>
  <cp:lastPrinted>2024-07-26T03:31:00Z</cp:lastPrinted>
  <dcterms:modified xsi:type="dcterms:W3CDTF">2024-08-05T01:25:29Z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2052-12.8.2.15292</vt:lpwstr>
  </property>
  <property fmtid="{D5CDD505-2E9C-101B-9397-08002B2CF9AE}" pid="3" name="ICV">
    <vt:lpwstr>4D4EA1D1BC0042DDA57AD4AA93E6500C</vt:lpwstr>
  </property>
</Properties>
</file>