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其他补充数据</w:t>
      </w:r>
    </w:p>
    <w:p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3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0"/>
        <w:gridCol w:w="123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一、回应解读情况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（一）回应公众关注热点或重大舆情数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（不同方式回应同一热点或舆情计1次）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（二）通过不同渠道和方式回应解读的情况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1.参加或举办新闻发布会总次数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其中：主要负责同志参加新闻发布会次数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2.政府网站在线访谈次数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其中：主要负责同志参加政府网站在线访谈次数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3.政策解读稿件发布数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篇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4.微博微信回应事件数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5.其他方式回应事件数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次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三、推进新冠肺炎疫情防控和复工复产信息公开数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四、“三大攻坚战”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1.公开“精准脱贫”相关信息数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2.公开“污染防治”相关信息数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3.公开“防范化解重大风险”相关信息数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五、优化营商环境相关信息公开数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六、重大行政决策预公开数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七、重大民生信息公开情况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1.扶贫领域信息（含“精准脱贫”信息公开数）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2.教育信息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3.医疗卫生信息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4.社会保障信息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5.就业信息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6.应急领域信息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7.环保信息（含“污染防治”信息公开数）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8.安全生产信息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9.食品药品安全信息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    10.产品质量信息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八、重大项目信息公开数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九、举报投诉数量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十、机构建设和保障经费情况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（一）政府信息公开工作专门机构数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（二）设置政府信息公开查阅点数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（三）从事政府信息公开工作人员数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1.专职人员数（不包括政府公报及政府网站工作人员数）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2.兼职人员数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exac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（四）政府信息公开专项经费（不包括用于政府公报编辑管理及政府网站建设维护等方面的经费）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万元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bidi="ar"/>
              </w:rPr>
              <w:t>十一、政府信息公开会议和培训情况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（一）召开政府信息公开工作会议或专题会议数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（二）举办培训次数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（三）接受培训人员数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人次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pacing w:line="320" w:lineRule="exact"/>
        <w:ind w:firstLine="640" w:firstLineChars="200"/>
        <w:jc w:val="lef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805A8"/>
    <w:rsid w:val="04431980"/>
    <w:rsid w:val="1C8E0B6C"/>
    <w:rsid w:val="245805A8"/>
    <w:rsid w:val="3CC054FF"/>
    <w:rsid w:val="45D9253D"/>
    <w:rsid w:val="5D296391"/>
    <w:rsid w:val="71C25E1C"/>
    <w:rsid w:val="7E86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2021-01-12T13:25:00Z</dcterms:created>
  <dc:creator>宅男</dc:creator>
  <cp:lastModifiedBy>安尼莫</cp:lastModifiedBy>
  <cp:lastPrinted>2021-01-13T06:26:00Z</cp:lastPrinted>
  <dcterms:modified xsi:type="dcterms:W3CDTF">2021-01-19T02:39:15Z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