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8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峨眉山风景名胜区管理委员会</w:t>
      </w:r>
    </w:p>
    <w:p>
      <w:pPr>
        <w:widowControl/>
        <w:shd w:val="clear" w:color="auto" w:fill="FFFFFF"/>
        <w:spacing w:line="68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年度政府信息公开工作年度报告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根据《中华人民共和国政府信息公开条例》等文件要求，现编制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  <w:lang w:eastAsia="zh-CN"/>
        </w:rPr>
        <w:t>峨眉山风景名胜区管理委员会</w:t>
      </w:r>
      <w:r>
        <w:rPr>
          <w:rFonts w:hint="eastAsia" w:ascii="仿宋_GB2312" w:hAnsi="黑体" w:eastAsia="仿宋_GB2312" w:cs="宋体"/>
          <w:bCs/>
          <w:color w:val="auto"/>
          <w:kern w:val="0"/>
          <w:sz w:val="32"/>
          <w:szCs w:val="32"/>
        </w:rPr>
        <w:t>2022年政府信息公开工作年度报告。全文包括：总体情况、主动公开政府信息情况、收到和处理政府信息公开申请情况、政府信息公开行政复议、行政诉讼情况、存在的主要问题及改进情况、其他需要报告的事项，共六个部分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320" w:firstLineChars="100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总体情况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20" w:firstLineChars="200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峨眉山风景名胜区管理委员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坚持以习近平新时代中国特色社会主义思想为指导，深入学习宣传贯彻党的二十大精神，深入贯彻落实《中华人民共和国政府信息公开条例》和中央、国务院、省委省政府关于全面推进政务公开的系列部署要求，坚持以公开为常态、不公开为例外，遵循公正、公平、合法、便民的原则，加强领导，规范程序，不断提升政府信息公开的工作效率和服务水平，切实增强人民群众满意度、获得感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主动公开情况。根据人事机构调整，及时在门户网站主动公开我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机构设置、主要职能、领导分工、人事任免等信息。及时在门户网站公开财政资金信息，加大“三公”经费公开力度，按要求及时公布年度部门预算及决算编制说明，接受群众监督。2022年度，全年在政务网站主动公开各类信息共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745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条。其中：法规信息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条、人事信息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条、财政信息4条、招投标公示公告信息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条、景区动态信息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条。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依申请公开情况。本年度我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未收到关于政府信息公开的申请。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政府信息管理情况。严把信息发布关口，严格执行信息发布“三审三校”制度，对在门户网站公开的政府信息进行内容审核和保密审查，确保公开信息依法、及时、全面、准确、合理。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平台建设情况。2022年我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继续推进电子政务建设和网上政务公开。定期开展网站自查，优化网站版面和内容，把单位门户网站作为政务信息公开的重要途径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监督保障情况。加强政务公开规范化建设，开放多渠道咨询途径，让群众享有充分的知情权、参与权和监督权，主动回应社会关切。全年开展民意征集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件，收到0条意见建议。通过多种渠道回应公众关注问题和咨询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次，未发生对重大政务舆情处置不得力、回应不妥当、报告不及时的事件。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二、主动公开政府信息情况</w:t>
      </w:r>
    </w:p>
    <w:p>
      <w:pPr>
        <w:rPr>
          <w:color w:val="auto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 </w:t>
            </w: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 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 </w:t>
            </w: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三、收到和处理政府信息公开申请情况</w:t>
      </w:r>
    </w:p>
    <w:p>
      <w:pPr>
        <w:rPr>
          <w:color w:val="auto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商业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结果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尚未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结果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结果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尚未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结果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结果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尚未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</w:tbl>
    <w:p>
      <w:pPr>
        <w:rPr>
          <w:color w:val="auto"/>
        </w:rPr>
      </w:pPr>
    </w:p>
    <w:p>
      <w:pPr>
        <w:adjustRightInd w:val="0"/>
        <w:snapToGrid w:val="0"/>
        <w:spacing w:line="580" w:lineRule="exact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 xml:space="preserve">（一）工作中存在的主要问题和困难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　　我委政府信息公开工作主要存在以下问题需要改进：一是信息公开的内容上还不够丰富、保障不够。二是信息公开的力度有待进一步加大，更新有时还不够及时。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（二）具体解决办法和改进措施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 xml:space="preserve">　　1.加强政府信息公开工作培训，提高专职工作人员关于信息公开工作规定及相关法律法规认识，切实增强其依法公开政府信息的意识和能力。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 xml:space="preserve">　　2.严把考核关，加强对信息公开工作的考核监督，确保政务信息公开的及时性和全面性，提高信息公开的透明度。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六、其他需要报告的事项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无收取信息处理费的情况。</w:t>
      </w:r>
    </w:p>
    <w:p>
      <w:pPr>
        <w:wordWrap w:val="0"/>
        <w:topLinePunct/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本报告中所列数据统计时间为2022年1月1日至2022年12月31日。如需了解更多政府信息，如需了解更多政府信息，请登录查询峨眉山风景名胜区管理委员会政务网站网址为http://emsjq.leshan.gov.cn/。</w:t>
      </w:r>
    </w:p>
    <w:bookmarkEnd w:id="0"/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567" w:left="1587" w:header="851" w:footer="124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CBBB8"/>
    <w:multiLevelType w:val="singleLevel"/>
    <w:tmpl w:val="AA1CB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306206"/>
    <w:multiLevelType w:val="singleLevel"/>
    <w:tmpl w:val="DF3062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GY4YmU5ZTg5NzdjMTYxM2QxYWVkMmQ2Y2Y5ZjgifQ=="/>
  </w:docVars>
  <w:rsids>
    <w:rsidRoot w:val="00FD61C2"/>
    <w:rsid w:val="00134D64"/>
    <w:rsid w:val="00135A4B"/>
    <w:rsid w:val="001467AA"/>
    <w:rsid w:val="001B4622"/>
    <w:rsid w:val="004C702D"/>
    <w:rsid w:val="00581081"/>
    <w:rsid w:val="0068306C"/>
    <w:rsid w:val="006A56BA"/>
    <w:rsid w:val="007450E9"/>
    <w:rsid w:val="007807F3"/>
    <w:rsid w:val="00863FD9"/>
    <w:rsid w:val="008A6D02"/>
    <w:rsid w:val="00972985"/>
    <w:rsid w:val="00A76D8B"/>
    <w:rsid w:val="00AE62EB"/>
    <w:rsid w:val="00B804DA"/>
    <w:rsid w:val="00B96957"/>
    <w:rsid w:val="00C02606"/>
    <w:rsid w:val="00C72B4B"/>
    <w:rsid w:val="00C96195"/>
    <w:rsid w:val="00CC6D39"/>
    <w:rsid w:val="00D718CB"/>
    <w:rsid w:val="00EB7B41"/>
    <w:rsid w:val="00F631BD"/>
    <w:rsid w:val="00F7195F"/>
    <w:rsid w:val="00FD61C2"/>
    <w:rsid w:val="02C848FD"/>
    <w:rsid w:val="07E94D5F"/>
    <w:rsid w:val="09A60492"/>
    <w:rsid w:val="0AAE51FB"/>
    <w:rsid w:val="141F16A1"/>
    <w:rsid w:val="18F67163"/>
    <w:rsid w:val="197A2D63"/>
    <w:rsid w:val="1BB1787F"/>
    <w:rsid w:val="1E4A684B"/>
    <w:rsid w:val="217501A4"/>
    <w:rsid w:val="25204E00"/>
    <w:rsid w:val="266D731C"/>
    <w:rsid w:val="2918130B"/>
    <w:rsid w:val="2ED056B9"/>
    <w:rsid w:val="2F2F1A1A"/>
    <w:rsid w:val="2F952A42"/>
    <w:rsid w:val="401B1378"/>
    <w:rsid w:val="44C77869"/>
    <w:rsid w:val="471137DF"/>
    <w:rsid w:val="48154F30"/>
    <w:rsid w:val="4F9E6E89"/>
    <w:rsid w:val="52FA2655"/>
    <w:rsid w:val="530B616D"/>
    <w:rsid w:val="54DC1248"/>
    <w:rsid w:val="55143403"/>
    <w:rsid w:val="55E721C8"/>
    <w:rsid w:val="59012EF2"/>
    <w:rsid w:val="5A814BB8"/>
    <w:rsid w:val="5BC3024B"/>
    <w:rsid w:val="5D662463"/>
    <w:rsid w:val="5E021FC1"/>
    <w:rsid w:val="5EAB56C6"/>
    <w:rsid w:val="618C17C7"/>
    <w:rsid w:val="65FF5165"/>
    <w:rsid w:val="69E23168"/>
    <w:rsid w:val="6EFE2D3E"/>
    <w:rsid w:val="6F694BE2"/>
    <w:rsid w:val="701C576A"/>
    <w:rsid w:val="78C66858"/>
    <w:rsid w:val="79045028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2057</Words>
  <Characters>2132</Characters>
  <Lines>18</Lines>
  <Paragraphs>5</Paragraphs>
  <TotalTime>17</TotalTime>
  <ScaleCrop>false</ScaleCrop>
  <LinksUpToDate>false</LinksUpToDate>
  <CharactersWithSpaces>2152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2021-09-30T02:34:00Z</dcterms:created>
  <dc:creator>Administrator</dc:creator>
  <cp:lastModifiedBy>李建国</cp:lastModifiedBy>
  <dcterms:modified xsi:type="dcterms:W3CDTF">2023-01-19T07:43:24Z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4AFA605E6F454DD7B4BB1AFED864BE8F</vt:lpwstr>
  </property>
</Properties>
</file>