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2023年乐山市机关事务管理局</w:t>
      </w:r>
      <w:r>
        <w:rPr>
          <w:rFonts w:hint="eastAsia" w:ascii="方正小标宋简体" w:hAnsi="方正小标宋简体" w:eastAsia="方正小标宋简体" w:cs="方正小标宋简体"/>
          <w:sz w:val="44"/>
          <w:szCs w:val="44"/>
        </w:rPr>
        <w:t>政府信息公开工作年度报告</w:t>
      </w:r>
    </w:p>
    <w:p>
      <w:pPr>
        <w:keepNext w:val="0"/>
        <w:keepLines w:val="0"/>
        <w:pageBreakBefore w:val="0"/>
        <w:widowControl w:val="0"/>
        <w:kinsoku/>
        <w:wordWrap/>
        <w:overflowPunct/>
        <w:topLinePunct w:val="0"/>
        <w:autoSpaceDE/>
        <w:autoSpaceDN/>
        <w:bidi w:val="0"/>
        <w:adjustRightInd w:val="0"/>
        <w:snapToGrid w:val="0"/>
        <w:spacing w:line="580" w:lineRule="exact"/>
        <w:ind w:firstLine="880" w:firstLineChars="200"/>
        <w:textAlignment w:val="auto"/>
        <w:rPr>
          <w:rFonts w:hint="eastAsia" w:ascii="方正小标宋_GBK" w:hAnsi="方正小标宋_GBK" w:eastAsia="方正小标宋_GBK" w:cs="方正小标宋_GBK"/>
          <w:sz w:val="44"/>
          <w:szCs w:val="44"/>
        </w:rPr>
      </w:pPr>
    </w:p>
    <w:p>
      <w:pPr>
        <w:widowControl/>
        <w:shd w:val="clear" w:color="auto" w:fill="FFFFFF"/>
        <w:spacing w:line="56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本报告根据《中华人民共和国政府信息公开条例》</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《四川省</w:t>
      </w:r>
      <w:r>
        <w:rPr>
          <w:rFonts w:hint="eastAsia" w:ascii="仿宋" w:hAnsi="仿宋" w:eastAsia="仿宋" w:cs="宋体"/>
          <w:color w:val="000000"/>
          <w:kern w:val="0"/>
          <w:sz w:val="32"/>
          <w:szCs w:val="32"/>
          <w:lang w:eastAsia="zh-CN"/>
        </w:rPr>
        <w:t>人民政府办公厅关于进一步做好政府信息公开工作年度报告编制发布工作的通知</w:t>
      </w:r>
      <w:r>
        <w:rPr>
          <w:rFonts w:hint="eastAsia" w:ascii="仿宋" w:hAnsi="仿宋" w:eastAsia="仿宋" w:cs="宋体"/>
          <w:color w:val="000000"/>
          <w:kern w:val="0"/>
          <w:sz w:val="32"/>
          <w:szCs w:val="32"/>
        </w:rPr>
        <w:t>》（川办便函〔202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〕3</w:t>
      </w:r>
      <w:r>
        <w:rPr>
          <w:rFonts w:hint="eastAsia" w:ascii="仿宋" w:hAnsi="仿宋" w:eastAsia="仿宋" w:cs="宋体"/>
          <w:color w:val="000000"/>
          <w:kern w:val="0"/>
          <w:sz w:val="32"/>
          <w:szCs w:val="32"/>
          <w:lang w:val="en-US" w:eastAsia="zh-CN"/>
        </w:rPr>
        <w:t>18</w:t>
      </w:r>
      <w:r>
        <w:rPr>
          <w:rFonts w:hint="eastAsia" w:ascii="仿宋" w:hAnsi="仿宋" w:eastAsia="仿宋" w:cs="宋体"/>
          <w:color w:val="000000"/>
          <w:kern w:val="0"/>
          <w:sz w:val="32"/>
          <w:szCs w:val="32"/>
        </w:rPr>
        <w:t>号）有关规定，由乐山市</w:t>
      </w:r>
      <w:r>
        <w:rPr>
          <w:rFonts w:hint="eastAsia" w:ascii="仿宋" w:hAnsi="仿宋" w:eastAsia="仿宋" w:cs="宋体"/>
          <w:color w:val="000000"/>
          <w:kern w:val="0"/>
          <w:sz w:val="32"/>
          <w:szCs w:val="32"/>
          <w:lang w:val="en-US" w:eastAsia="zh-CN"/>
        </w:rPr>
        <w:t>机关事务管理局</w:t>
      </w:r>
      <w:r>
        <w:rPr>
          <w:rFonts w:hint="eastAsia" w:ascii="仿宋" w:hAnsi="仿宋" w:eastAsia="仿宋" w:cs="宋体"/>
          <w:color w:val="000000"/>
          <w:kern w:val="0"/>
          <w:sz w:val="32"/>
          <w:szCs w:val="32"/>
        </w:rPr>
        <w:t>编制，主要包括：总体情况，主动公开政府信息情况，收到和处理政府信息公开申请情况，政府信息公开行政复议、行政诉讼情况，存在的主要问题及改进情况，其他需要报告的事项六个部分。</w:t>
      </w:r>
    </w:p>
    <w:p>
      <w:pPr>
        <w:widowControl/>
        <w:shd w:val="clear" w:color="auto" w:fill="FFFFFF"/>
        <w:spacing w:line="560" w:lineRule="exact"/>
        <w:ind w:firstLine="640" w:firstLineChars="200"/>
        <w:rPr>
          <w:rFonts w:hint="eastAsia" w:ascii="黑体" w:hAnsi="黑体" w:eastAsia="黑体" w:cs="黑体"/>
          <w:sz w:val="32"/>
          <w:szCs w:val="32"/>
        </w:rPr>
      </w:pPr>
      <w:r>
        <w:rPr>
          <w:rFonts w:hint="eastAsia" w:ascii="黑体" w:hAnsi="黑体" w:eastAsia="黑体" w:cs="黑体"/>
          <w:color w:val="000000"/>
          <w:kern w:val="0"/>
          <w:sz w:val="32"/>
          <w:szCs w:val="32"/>
        </w:rPr>
        <w:t>一、总体</w:t>
      </w:r>
      <w:r>
        <w:rPr>
          <w:rFonts w:hint="eastAsia" w:ascii="黑体" w:hAnsi="黑体" w:eastAsia="黑体" w:cs="黑体"/>
          <w:sz w:val="32"/>
          <w:szCs w:val="32"/>
        </w:rPr>
        <w:t>情况</w:t>
      </w:r>
    </w:p>
    <w:p>
      <w:pPr>
        <w:widowControl/>
        <w:shd w:val="clear" w:color="auto" w:fill="FFFFFF"/>
        <w:spacing w:line="56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rPr>
        <w:t>年，乐山市机关事务管理局认真贯彻落实《中华人民共和国政府信息公开条例》以及国家、省、市政务公开工作有关规定要求，紧紧围绕服务全市中心工作，通过机关门户网站等途径，积极主动做好政府信息公开各项工作，向社会公众展现了机关事务各项工作。</w:t>
      </w:r>
    </w:p>
    <w:p>
      <w:pPr>
        <w:widowControl/>
        <w:shd w:val="clear" w:color="auto" w:fill="FFFFFF"/>
        <w:spacing w:line="560" w:lineRule="exact"/>
        <w:ind w:firstLine="640" w:firstLineChars="200"/>
        <w:rPr>
          <w:rFonts w:hint="eastAsia" w:ascii="仿宋" w:hAnsi="仿宋" w:eastAsia="仿宋" w:cs="宋体"/>
          <w:color w:val="000000"/>
          <w:kern w:val="0"/>
          <w:sz w:val="32"/>
          <w:szCs w:val="32"/>
        </w:rPr>
      </w:pPr>
      <w:r>
        <w:rPr>
          <w:rFonts w:hint="eastAsia" w:ascii="楷体_GB2312" w:hAnsi="楷体_GB2312" w:eastAsia="楷体_GB2312" w:cs="楷体_GB2312"/>
          <w:color w:val="000000"/>
          <w:kern w:val="0"/>
          <w:sz w:val="32"/>
          <w:szCs w:val="32"/>
        </w:rPr>
        <w:t>（一）加强组织领导。</w:t>
      </w:r>
      <w:r>
        <w:rPr>
          <w:rFonts w:hint="eastAsia" w:ascii="仿宋" w:hAnsi="仿宋" w:eastAsia="仿宋" w:cs="宋体"/>
          <w:color w:val="000000"/>
          <w:kern w:val="0"/>
          <w:sz w:val="32"/>
          <w:szCs w:val="32"/>
        </w:rPr>
        <w:t>我局高度重视信息公开工作，</w:t>
      </w:r>
      <w:r>
        <w:rPr>
          <w:rFonts w:hint="eastAsia" w:ascii="仿宋" w:hAnsi="仿宋" w:eastAsia="仿宋" w:cs="宋体"/>
          <w:color w:val="000000"/>
          <w:kern w:val="0"/>
          <w:sz w:val="32"/>
          <w:szCs w:val="32"/>
          <w:lang w:eastAsia="zh-CN"/>
        </w:rPr>
        <w:t>局</w:t>
      </w:r>
      <w:r>
        <w:rPr>
          <w:rFonts w:hint="eastAsia" w:ascii="仿宋" w:hAnsi="仿宋" w:eastAsia="仿宋" w:cs="宋体"/>
          <w:color w:val="000000"/>
          <w:kern w:val="0"/>
          <w:sz w:val="32"/>
          <w:szCs w:val="32"/>
        </w:rPr>
        <w:t>政务信息公开工作领导小组</w:t>
      </w:r>
      <w:r>
        <w:rPr>
          <w:rFonts w:hint="eastAsia" w:ascii="仿宋" w:hAnsi="仿宋" w:eastAsia="仿宋" w:cs="宋体"/>
          <w:color w:val="000000"/>
          <w:kern w:val="0"/>
          <w:sz w:val="32"/>
          <w:szCs w:val="32"/>
          <w:lang w:eastAsia="zh-CN"/>
        </w:rPr>
        <w:t>严格落实职能职责</w:t>
      </w:r>
      <w:r>
        <w:rPr>
          <w:rFonts w:hint="eastAsia" w:ascii="仿宋" w:hAnsi="仿宋" w:eastAsia="仿宋" w:cs="宋体"/>
          <w:color w:val="000000"/>
          <w:kern w:val="0"/>
          <w:sz w:val="32"/>
          <w:szCs w:val="32"/>
        </w:rPr>
        <w:t>，局办公室承办具体工作，负责门户网站的组织建设、信息发布。将政府信息公开工作纳入重要议事日程，</w:t>
      </w:r>
      <w:r>
        <w:rPr>
          <w:rFonts w:hint="eastAsia" w:ascii="仿宋" w:hAnsi="仿宋" w:eastAsia="仿宋" w:cs="宋体"/>
          <w:color w:val="000000"/>
          <w:kern w:val="0"/>
          <w:sz w:val="32"/>
          <w:szCs w:val="32"/>
          <w:lang w:val="en-US" w:eastAsia="zh-CN"/>
        </w:rPr>
        <w:t>与</w:t>
      </w:r>
      <w:r>
        <w:rPr>
          <w:rFonts w:hint="eastAsia" w:ascii="仿宋" w:hAnsi="仿宋" w:eastAsia="仿宋" w:cs="宋体"/>
          <w:color w:val="000000"/>
          <w:kern w:val="0"/>
          <w:sz w:val="32"/>
          <w:szCs w:val="32"/>
        </w:rPr>
        <w:t>业务工作同研究、同部署、同落实，形成齐抓共管、上下联动的工作体系。</w:t>
      </w:r>
    </w:p>
    <w:p>
      <w:pPr>
        <w:widowControl/>
        <w:shd w:val="clear" w:color="auto" w:fill="FFFFFF"/>
        <w:spacing w:line="560" w:lineRule="exact"/>
        <w:ind w:firstLine="640" w:firstLineChars="200"/>
        <w:rPr>
          <w:rFonts w:hint="eastAsia" w:ascii="仿宋" w:hAnsi="仿宋" w:eastAsia="仿宋" w:cs="宋体"/>
          <w:b/>
          <w:bCs/>
          <w:color w:val="000000"/>
          <w:kern w:val="0"/>
          <w:sz w:val="32"/>
          <w:szCs w:val="32"/>
        </w:rPr>
      </w:pPr>
      <w:r>
        <w:rPr>
          <w:rFonts w:hint="eastAsia" w:ascii="楷体_GB2312" w:hAnsi="楷体_GB2312" w:eastAsia="楷体_GB2312" w:cs="楷体_GB2312"/>
          <w:color w:val="000000"/>
          <w:kern w:val="0"/>
          <w:sz w:val="32"/>
          <w:szCs w:val="32"/>
        </w:rPr>
        <w:t>（二）严格保密审查。</w:t>
      </w:r>
      <w:r>
        <w:rPr>
          <w:rFonts w:hint="eastAsia" w:ascii="仿宋" w:hAnsi="仿宋" w:eastAsia="仿宋" w:cs="宋体"/>
          <w:color w:val="000000"/>
          <w:kern w:val="0"/>
          <w:sz w:val="32"/>
          <w:szCs w:val="32"/>
        </w:rPr>
        <w:t>认真落实政府信息公开保密审查相关制度要求，严格执行信息公开网上报送、审批制度，明确专人负责局门户网站的常态化管理，做到</w:t>
      </w:r>
      <w:r>
        <w:rPr>
          <w:rFonts w:hint="eastAsia" w:ascii="仿宋" w:hAnsi="仿宋" w:eastAsia="仿宋" w:cs="宋体"/>
          <w:color w:val="000000"/>
          <w:kern w:val="0"/>
          <w:sz w:val="32"/>
          <w:szCs w:val="32"/>
          <w:lang w:val="en-US" w:eastAsia="zh-CN"/>
        </w:rPr>
        <w:t>层层审批、严格把关。确保</w:t>
      </w:r>
      <w:r>
        <w:rPr>
          <w:rFonts w:hint="eastAsia" w:ascii="仿宋" w:hAnsi="仿宋" w:eastAsia="仿宋" w:cs="宋体"/>
          <w:color w:val="000000"/>
          <w:kern w:val="0"/>
          <w:sz w:val="32"/>
          <w:szCs w:val="32"/>
        </w:rPr>
        <w:t>公开信息内容安全有监督</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质量有保障</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更新有效率。</w:t>
      </w:r>
    </w:p>
    <w:p>
      <w:pPr>
        <w:widowControl/>
        <w:shd w:val="clear" w:color="auto" w:fill="FFFFFF"/>
        <w:spacing w:line="560" w:lineRule="exact"/>
        <w:ind w:firstLine="640" w:firstLineChars="200"/>
        <w:rPr>
          <w:rFonts w:hint="default" w:ascii="仿宋" w:hAnsi="仿宋" w:eastAsia="仿宋" w:cs="宋体"/>
          <w:color w:val="auto"/>
          <w:kern w:val="0"/>
          <w:sz w:val="32"/>
          <w:szCs w:val="32"/>
          <w:lang w:val="en-US" w:eastAsia="zh-CN"/>
        </w:rPr>
      </w:pPr>
      <w:r>
        <w:rPr>
          <w:rFonts w:hint="eastAsia" w:ascii="楷体_GB2312" w:hAnsi="楷体_GB2312" w:eastAsia="楷体_GB2312" w:cs="楷体_GB2312"/>
          <w:color w:val="000000"/>
          <w:kern w:val="0"/>
          <w:sz w:val="32"/>
          <w:szCs w:val="32"/>
        </w:rPr>
        <w:t>（三）深化信息公开。</w:t>
      </w:r>
      <w:r>
        <w:rPr>
          <w:rFonts w:hint="eastAsia" w:ascii="仿宋" w:hAnsi="仿宋" w:eastAsia="仿宋" w:cs="宋体"/>
          <w:color w:val="000000"/>
          <w:kern w:val="0"/>
          <w:sz w:val="32"/>
          <w:szCs w:val="32"/>
        </w:rPr>
        <w:t>按照政务公开工作相关要求，我局编制并发布乐山市机关事务管理局政府信息主动公开基本目录，及时完善和更新机构信息、工作信息、公示公告等相关栏目信息，同时做到门户网站主页信息至少</w:t>
      </w:r>
      <w:r>
        <w:rPr>
          <w:rFonts w:hint="eastAsia" w:ascii="仿宋" w:hAnsi="仿宋" w:eastAsia="仿宋" w:cs="宋体"/>
          <w:color w:val="000000"/>
          <w:kern w:val="0"/>
          <w:sz w:val="32"/>
          <w:szCs w:val="32"/>
          <w:lang w:val="en-US" w:eastAsia="zh-CN"/>
        </w:rPr>
        <w:t>每周</w:t>
      </w:r>
      <w:r>
        <w:rPr>
          <w:rFonts w:hint="eastAsia" w:ascii="仿宋" w:hAnsi="仿宋" w:eastAsia="仿宋" w:cs="宋体"/>
          <w:color w:val="000000"/>
          <w:kern w:val="0"/>
          <w:sz w:val="32"/>
          <w:szCs w:val="32"/>
        </w:rPr>
        <w:t>一更新，确保了信息发布的及时有效性。</w:t>
      </w:r>
      <w:r>
        <w:rPr>
          <w:rFonts w:hint="eastAsia" w:ascii="仿宋" w:hAnsi="仿宋" w:eastAsia="仿宋" w:cs="宋体"/>
          <w:color w:val="auto"/>
          <w:kern w:val="0"/>
          <w:sz w:val="32"/>
          <w:szCs w:val="32"/>
          <w:lang w:val="en-US" w:eastAsia="zh-CN"/>
        </w:rPr>
        <w:t>2023年，我局发布工作信息194条，其中党中央国务院信息更新124条，省委省政府信息更新2条，政务动态信息更新58条，公示公告信息更新9条，主动公开政策解读类文件1份，收到依申请公开0份。经后台统计，网站的独立用户访问总量约</w:t>
      </w:r>
      <w:r>
        <w:rPr>
          <w:rFonts w:hint="default" w:ascii="仿宋" w:hAnsi="仿宋" w:eastAsia="仿宋" w:cs="宋体"/>
          <w:color w:val="auto"/>
          <w:kern w:val="0"/>
          <w:sz w:val="32"/>
          <w:szCs w:val="32"/>
          <w:lang w:val="en" w:eastAsia="zh-CN"/>
        </w:rPr>
        <w:t>16799</w:t>
      </w:r>
      <w:r>
        <w:rPr>
          <w:rFonts w:hint="eastAsia" w:ascii="仿宋" w:hAnsi="仿宋" w:eastAsia="仿宋" w:cs="宋体"/>
          <w:color w:val="auto"/>
          <w:kern w:val="0"/>
          <w:sz w:val="32"/>
          <w:szCs w:val="32"/>
          <w:lang w:val="en-US" w:eastAsia="zh-CN"/>
        </w:rPr>
        <w:t>次，网站总访问量约</w:t>
      </w:r>
      <w:r>
        <w:rPr>
          <w:rFonts w:hint="default" w:ascii="仿宋" w:hAnsi="仿宋" w:eastAsia="仿宋" w:cs="宋体"/>
          <w:color w:val="auto"/>
          <w:kern w:val="0"/>
          <w:sz w:val="32"/>
          <w:szCs w:val="32"/>
          <w:lang w:val="en" w:eastAsia="zh-CN"/>
        </w:rPr>
        <w:t>52425</w:t>
      </w:r>
      <w:r>
        <w:rPr>
          <w:rFonts w:hint="eastAsia" w:ascii="仿宋" w:hAnsi="仿宋" w:eastAsia="仿宋" w:cs="宋体"/>
          <w:color w:val="auto"/>
          <w:kern w:val="0"/>
          <w:sz w:val="32"/>
          <w:szCs w:val="32"/>
          <w:lang w:val="en-US" w:eastAsia="zh-CN"/>
        </w:rPr>
        <w:t>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仿宋_GB2312"/>
          <w:i w:val="0"/>
          <w:iCs w:val="0"/>
          <w:caps w:val="0"/>
          <w:color w:val="000000"/>
          <w:spacing w:val="0"/>
          <w:sz w:val="31"/>
          <w:szCs w:val="31"/>
          <w:shd w:val="clear" w:fill="FFFFFF"/>
        </w:rPr>
      </w:pPr>
      <w:r>
        <w:rPr>
          <w:rFonts w:hint="eastAsia" w:ascii="楷体_GB2312" w:hAnsi="楷体_GB2312" w:eastAsia="楷体_GB2312" w:cs="楷体_GB2312"/>
          <w:color w:val="000000"/>
          <w:kern w:val="0"/>
          <w:sz w:val="32"/>
          <w:szCs w:val="32"/>
          <w:lang w:val="en-US" w:eastAsia="zh-CN"/>
        </w:rPr>
        <w:t>（四）平台建设。</w:t>
      </w:r>
      <w:r>
        <w:rPr>
          <w:rFonts w:hint="eastAsia" w:ascii="仿宋_GB2312" w:hAnsi="仿宋_GB2312" w:eastAsia="仿宋_GB2312" w:cs="仿宋_GB2312"/>
          <w:color w:val="000000"/>
          <w:kern w:val="0"/>
          <w:sz w:val="32"/>
          <w:szCs w:val="32"/>
          <w:lang w:val="en-US" w:eastAsia="zh-CN"/>
        </w:rPr>
        <w:t>进一步优化栏</w:t>
      </w:r>
      <w:r>
        <w:rPr>
          <w:rFonts w:hint="eastAsia" w:ascii="仿宋" w:hAnsi="仿宋" w:eastAsia="仿宋" w:cs="宋体"/>
          <w:color w:val="000000"/>
          <w:kern w:val="0"/>
          <w:sz w:val="32"/>
          <w:szCs w:val="32"/>
          <w:lang w:val="en-US" w:eastAsia="zh-CN"/>
        </w:rPr>
        <w:t>目页面设置和展现方式，完善政策法规、政策解读、公示公告内容，及时准确发布法定主动公开内容并动态更新，确保了政府信息公开栏目与其他栏目数据同源。</w:t>
      </w:r>
      <w:r>
        <w:rPr>
          <w:rFonts w:hint="default" w:ascii="仿宋" w:hAnsi="仿宋" w:eastAsia="仿宋" w:cs="宋体"/>
          <w:color w:val="000000"/>
          <w:kern w:val="0"/>
          <w:sz w:val="32"/>
          <w:szCs w:val="32"/>
          <w:lang w:val="en-US" w:eastAsia="zh-CN"/>
        </w:rPr>
        <w:t>设置心连</w:t>
      </w:r>
      <w:r>
        <w:rPr>
          <w:rFonts w:hint="eastAsia" w:ascii="仿宋" w:hAnsi="仿宋" w:eastAsia="仿宋" w:cs="宋体"/>
          <w:color w:val="000000"/>
          <w:kern w:val="0"/>
          <w:sz w:val="32"/>
          <w:szCs w:val="32"/>
          <w:lang w:val="en-US" w:eastAsia="zh-CN"/>
        </w:rPr>
        <w:t>心信箱，及时收集群众意见及建议，及时解决群众反映的“急难愁盼”问题。</w:t>
      </w:r>
      <w:r>
        <w:rPr>
          <w:rFonts w:hint="default" w:ascii="仿宋" w:hAnsi="仿宋" w:eastAsia="仿宋" w:cs="宋体"/>
          <w:color w:val="auto"/>
          <w:kern w:val="0"/>
          <w:sz w:val="32"/>
          <w:szCs w:val="32"/>
          <w:lang w:val="en" w:eastAsia="zh-CN"/>
        </w:rPr>
        <w:t>202</w:t>
      </w:r>
      <w:r>
        <w:rPr>
          <w:rFonts w:hint="eastAsia" w:ascii="仿宋" w:hAnsi="仿宋" w:eastAsia="仿宋" w:cs="宋体"/>
          <w:color w:val="auto"/>
          <w:kern w:val="0"/>
          <w:sz w:val="32"/>
          <w:szCs w:val="32"/>
          <w:lang w:val="en-US" w:eastAsia="zh-CN"/>
        </w:rPr>
        <w:t>3</w:t>
      </w:r>
      <w:r>
        <w:rPr>
          <w:rFonts w:hint="eastAsia" w:ascii="仿宋_GB2312" w:hAnsi="宋体" w:eastAsia="仿宋_GB2312" w:cs="仿宋_GB2312"/>
          <w:i w:val="0"/>
          <w:iCs w:val="0"/>
          <w:caps w:val="0"/>
          <w:color w:val="000000"/>
          <w:spacing w:val="0"/>
          <w:sz w:val="31"/>
          <w:szCs w:val="31"/>
          <w:shd w:val="clear" w:fill="FFFFFF"/>
        </w:rPr>
        <w:t>年我局</w:t>
      </w:r>
      <w:r>
        <w:rPr>
          <w:rFonts w:hint="default" w:ascii="仿宋" w:hAnsi="仿宋" w:eastAsia="仿宋" w:cs="宋体"/>
          <w:color w:val="000000"/>
          <w:kern w:val="0"/>
          <w:sz w:val="32"/>
          <w:szCs w:val="32"/>
          <w:lang w:val="en-US" w:eastAsia="zh-CN"/>
        </w:rPr>
        <w:t>心连</w:t>
      </w:r>
      <w:r>
        <w:rPr>
          <w:rFonts w:hint="eastAsia" w:ascii="仿宋" w:hAnsi="仿宋" w:eastAsia="仿宋" w:cs="宋体"/>
          <w:color w:val="000000"/>
          <w:kern w:val="0"/>
          <w:sz w:val="32"/>
          <w:szCs w:val="32"/>
          <w:lang w:val="en-US" w:eastAsia="zh-CN"/>
        </w:rPr>
        <w:t>心信箱未</w:t>
      </w:r>
      <w:r>
        <w:rPr>
          <w:rFonts w:hint="eastAsia" w:ascii="仿宋_GB2312" w:hAnsi="宋体" w:eastAsia="仿宋_GB2312" w:cs="仿宋_GB2312"/>
          <w:i w:val="0"/>
          <w:iCs w:val="0"/>
          <w:caps w:val="0"/>
          <w:color w:val="000000"/>
          <w:spacing w:val="0"/>
          <w:sz w:val="31"/>
          <w:szCs w:val="31"/>
          <w:shd w:val="clear" w:fill="FFFFFF"/>
          <w:lang w:eastAsia="zh-CN"/>
        </w:rPr>
        <w:t>收到</w:t>
      </w:r>
      <w:r>
        <w:rPr>
          <w:rFonts w:hint="eastAsia" w:ascii="仿宋_GB2312" w:hAnsi="宋体" w:eastAsia="仿宋_GB2312" w:cs="仿宋_GB2312"/>
          <w:i w:val="0"/>
          <w:iCs w:val="0"/>
          <w:caps w:val="0"/>
          <w:color w:val="000000"/>
          <w:spacing w:val="0"/>
          <w:sz w:val="31"/>
          <w:szCs w:val="31"/>
          <w:shd w:val="clear" w:fill="FFFFFF"/>
          <w:lang w:val="en-US" w:eastAsia="zh-CN"/>
        </w:rPr>
        <w:t>群众问题</w:t>
      </w:r>
      <w:r>
        <w:rPr>
          <w:rFonts w:hint="eastAsia" w:ascii="仿宋_GB2312" w:hAnsi="宋体" w:eastAsia="仿宋_GB2312" w:cs="仿宋_GB2312"/>
          <w:i w:val="0"/>
          <w:iCs w:val="0"/>
          <w:caps w:val="0"/>
          <w:color w:val="000000"/>
          <w:spacing w:val="0"/>
          <w:sz w:val="31"/>
          <w:szCs w:val="31"/>
          <w:shd w:val="clear" w:fill="FFFFFF"/>
        </w:rPr>
        <w:t>，未发生对重大政务舆情处置不得力、回应不妥当、报告不及时的事件。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仿宋" w:hAnsi="仿宋" w:eastAsia="仿宋" w:cs="宋体"/>
          <w:color w:val="000000"/>
          <w:kern w:val="0"/>
          <w:sz w:val="32"/>
          <w:szCs w:val="32"/>
          <w:lang w:val="en-US" w:eastAsia="zh-CN"/>
        </w:rPr>
      </w:pPr>
      <w:r>
        <w:rPr>
          <w:rFonts w:hint="default" w:ascii="楷体_GB2312" w:hAnsi="楷体_GB2312" w:eastAsia="楷体_GB2312" w:cs="楷体_GB2312"/>
          <w:color w:val="000000"/>
          <w:kern w:val="0"/>
          <w:sz w:val="32"/>
          <w:szCs w:val="32"/>
          <w:lang w:val="en-US" w:eastAsia="zh-CN"/>
        </w:rPr>
        <w:t>（五）监督保障情况。</w:t>
      </w:r>
      <w:r>
        <w:rPr>
          <w:rFonts w:hint="default" w:ascii="仿宋" w:hAnsi="仿宋" w:eastAsia="仿宋" w:cs="宋体"/>
          <w:color w:val="000000"/>
          <w:kern w:val="0"/>
          <w:sz w:val="32"/>
          <w:szCs w:val="32"/>
          <w:lang w:val="en-US" w:eastAsia="zh-CN"/>
        </w:rPr>
        <w:t>强化信息发布流程管控，定期组织专人对发布的内容进行核查，确保信息发布真实、准确、权威。不断加强政府信息公开规范化建设，开放多渠道咨询途径，主动回应社会关切，让群众享有充分的知情权、参与</w:t>
      </w:r>
      <w:bookmarkStart w:id="0" w:name="_GoBack"/>
      <w:bookmarkEnd w:id="0"/>
      <w:r>
        <w:rPr>
          <w:rFonts w:hint="default" w:ascii="仿宋" w:hAnsi="仿宋" w:eastAsia="仿宋" w:cs="宋体"/>
          <w:color w:val="000000"/>
          <w:kern w:val="0"/>
          <w:sz w:val="32"/>
          <w:szCs w:val="32"/>
          <w:lang w:val="en-US" w:eastAsia="zh-CN"/>
        </w:rPr>
        <w:t>权和监督权。</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二、主动公开政府信息情况</w:t>
      </w:r>
    </w:p>
    <w:p>
      <w:pPr>
        <w:rPr>
          <w:rFonts w:hint="eastAsia"/>
        </w:rPr>
      </w:pPr>
    </w:p>
    <w:tbl>
      <w:tblPr>
        <w:tblStyle w:val="6"/>
        <w:tblW w:w="97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9740" w:type="dxa"/>
            <w:gridSpan w:val="4"/>
            <w:tcBorders>
              <w:tl2br w:val="nil"/>
              <w:tr2bl w:val="nil"/>
            </w:tcBorders>
            <w:shd w:val="clear" w:color="auto" w:fill="C6D9F1"/>
            <w:tcMar>
              <w:left w:w="57" w:type="dxa"/>
              <w:right w:w="57" w:type="dxa"/>
            </w:tcMar>
            <w:vAlign w:val="center"/>
          </w:tcPr>
          <w:p>
            <w:r>
              <w:rPr>
                <w:rFonts w:hint="eastAsia"/>
                <w:lang w:val="en-US" w:eastAsia="zh-CN"/>
              </w:rPr>
              <w:t>第二十条第（一）项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2435" w:type="dxa"/>
            <w:tcBorders>
              <w:tl2br w:val="nil"/>
              <w:tr2bl w:val="nil"/>
            </w:tcBorders>
            <w:shd w:val="clear" w:color="auto" w:fill="auto"/>
            <w:tcMar>
              <w:left w:w="57" w:type="dxa"/>
              <w:right w:w="57" w:type="dxa"/>
            </w:tcMar>
            <w:vAlign w:val="center"/>
          </w:tcPr>
          <w:p>
            <w:r>
              <w:rPr>
                <w:rFonts w:hint="eastAsia"/>
                <w:lang w:val="en-US" w:eastAsia="zh-CN"/>
              </w:rPr>
              <w:t>信息内容</w:t>
            </w:r>
          </w:p>
        </w:tc>
        <w:tc>
          <w:tcPr>
            <w:tcW w:w="2435" w:type="dxa"/>
            <w:tcBorders>
              <w:tl2br w:val="nil"/>
              <w:tr2bl w:val="nil"/>
            </w:tcBorders>
            <w:shd w:val="clear" w:color="auto" w:fill="auto"/>
            <w:tcMar>
              <w:left w:w="57" w:type="dxa"/>
              <w:right w:w="57" w:type="dxa"/>
            </w:tcMar>
            <w:vAlign w:val="center"/>
          </w:tcPr>
          <w:p>
            <w:r>
              <w:rPr>
                <w:rFonts w:hint="eastAsia"/>
                <w:lang w:val="en-US" w:eastAsia="zh-CN"/>
              </w:rPr>
              <w:t>本年制发件数</w:t>
            </w:r>
          </w:p>
        </w:tc>
        <w:tc>
          <w:tcPr>
            <w:tcW w:w="2435" w:type="dxa"/>
            <w:tcBorders>
              <w:tl2br w:val="nil"/>
              <w:tr2bl w:val="nil"/>
            </w:tcBorders>
            <w:shd w:val="clear" w:color="auto" w:fill="auto"/>
            <w:tcMar>
              <w:left w:w="57" w:type="dxa"/>
              <w:right w:w="57" w:type="dxa"/>
            </w:tcMar>
            <w:vAlign w:val="center"/>
          </w:tcPr>
          <w:p>
            <w:r>
              <w:rPr>
                <w:rFonts w:hint="eastAsia"/>
                <w:lang w:val="en-US" w:eastAsia="zh-CN"/>
              </w:rPr>
              <w:t>本年废止件数</w:t>
            </w:r>
          </w:p>
        </w:tc>
        <w:tc>
          <w:tcPr>
            <w:tcW w:w="2435" w:type="dxa"/>
            <w:tcBorders>
              <w:tl2br w:val="nil"/>
              <w:tr2bl w:val="nil"/>
            </w:tcBorders>
            <w:shd w:val="clear" w:color="auto" w:fill="auto"/>
            <w:tcMar>
              <w:left w:w="57" w:type="dxa"/>
              <w:right w:w="57" w:type="dxa"/>
            </w:tcMar>
            <w:vAlign w:val="center"/>
          </w:tcPr>
          <w:p>
            <w:r>
              <w:rPr>
                <w:rFonts w:hint="eastAsia"/>
                <w:lang w:val="en-US" w:eastAsia="zh-CN"/>
              </w:rPr>
              <w:t>现行有效件数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2435" w:type="dxa"/>
            <w:tcBorders>
              <w:tl2br w:val="nil"/>
              <w:tr2bl w:val="nil"/>
            </w:tcBorders>
            <w:shd w:val="clear" w:color="auto" w:fill="auto"/>
            <w:tcMar>
              <w:left w:w="57" w:type="dxa"/>
              <w:right w:w="57" w:type="dxa"/>
            </w:tcMar>
            <w:vAlign w:val="center"/>
          </w:tcPr>
          <w:p>
            <w:r>
              <w:rPr>
                <w:rFonts w:hint="eastAsia"/>
                <w:lang w:val="en-US" w:eastAsia="zh-CN"/>
              </w:rPr>
              <w:t>规章</w:t>
            </w:r>
          </w:p>
        </w:tc>
        <w:tc>
          <w:tcPr>
            <w:tcW w:w="2435" w:type="dxa"/>
            <w:tcBorders>
              <w:tl2br w:val="nil"/>
              <w:tr2bl w:val="nil"/>
            </w:tcBorders>
            <w:shd w:val="clear" w:color="auto" w:fill="auto"/>
            <w:tcMar>
              <w:left w:w="57" w:type="dxa"/>
              <w:right w:w="57" w:type="dxa"/>
            </w:tcMar>
            <w:vAlign w:val="center"/>
          </w:tcPr>
          <w:p>
            <w:pPr>
              <w:jc w:val="center"/>
            </w:pPr>
            <w:r>
              <w:rPr>
                <w:rFonts w:hint="eastAsia"/>
                <w:lang w:val="en-US" w:eastAsia="zh-CN"/>
              </w:rPr>
              <w:t>0</w:t>
            </w:r>
          </w:p>
        </w:tc>
        <w:tc>
          <w:tcPr>
            <w:tcW w:w="2435" w:type="dxa"/>
            <w:tcBorders>
              <w:tl2br w:val="nil"/>
              <w:tr2bl w:val="nil"/>
            </w:tcBorders>
            <w:shd w:val="clear" w:color="auto" w:fill="auto"/>
            <w:tcMar>
              <w:left w:w="57" w:type="dxa"/>
              <w:right w:w="57" w:type="dxa"/>
            </w:tcMar>
            <w:vAlign w:val="center"/>
          </w:tcPr>
          <w:p>
            <w:pPr>
              <w:jc w:val="center"/>
            </w:pPr>
            <w:r>
              <w:rPr>
                <w:rFonts w:hint="eastAsia"/>
                <w:lang w:val="en-US" w:eastAsia="zh-CN"/>
              </w:rPr>
              <w:t>0</w:t>
            </w:r>
          </w:p>
        </w:tc>
        <w:tc>
          <w:tcPr>
            <w:tcW w:w="2435" w:type="dxa"/>
            <w:tcBorders>
              <w:tl2br w:val="nil"/>
              <w:tr2bl w:val="nil"/>
            </w:tcBorders>
            <w:shd w:val="clear" w:color="auto" w:fill="auto"/>
            <w:tcMar>
              <w:left w:w="57" w:type="dxa"/>
              <w:right w:w="57" w:type="dxa"/>
            </w:tcMar>
            <w:vAlign w:val="center"/>
          </w:tcPr>
          <w:p>
            <w:pPr>
              <w:jc w:val="center"/>
              <w:rPr>
                <w:rFonts w:hint="default"/>
                <w:lang w:val="en-US"/>
              </w:rPr>
            </w:pPr>
            <w:r>
              <w:rPr>
                <w:rFonts w:hint="eastAsia"/>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2435" w:type="dxa"/>
            <w:tcBorders>
              <w:tl2br w:val="nil"/>
              <w:tr2bl w:val="nil"/>
            </w:tcBorders>
            <w:shd w:val="clear" w:color="auto" w:fill="auto"/>
            <w:tcMar>
              <w:left w:w="57" w:type="dxa"/>
              <w:right w:w="57" w:type="dxa"/>
            </w:tcMar>
            <w:vAlign w:val="center"/>
          </w:tcPr>
          <w:p>
            <w:r>
              <w:rPr>
                <w:rFonts w:hint="eastAsia"/>
                <w:lang w:val="en-US" w:eastAsia="zh-CN"/>
              </w:rPr>
              <w:t>行政规范性文件</w:t>
            </w:r>
          </w:p>
        </w:tc>
        <w:tc>
          <w:tcPr>
            <w:tcW w:w="2435" w:type="dxa"/>
            <w:tcBorders>
              <w:tl2br w:val="nil"/>
              <w:tr2bl w:val="nil"/>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2435" w:type="dxa"/>
            <w:tcBorders>
              <w:tl2br w:val="nil"/>
              <w:tr2bl w:val="nil"/>
            </w:tcBorders>
            <w:shd w:val="clear" w:color="auto" w:fill="auto"/>
            <w:tcMar>
              <w:left w:w="57" w:type="dxa"/>
              <w:right w:w="57" w:type="dxa"/>
            </w:tcMar>
            <w:vAlign w:val="center"/>
          </w:tcPr>
          <w:p>
            <w:pPr>
              <w:jc w:val="center"/>
            </w:pPr>
            <w:r>
              <w:rPr>
                <w:rFonts w:hint="eastAsia"/>
                <w:lang w:val="en-US" w:eastAsia="zh-CN"/>
              </w:rPr>
              <w:t>0</w:t>
            </w:r>
          </w:p>
        </w:tc>
        <w:tc>
          <w:tcPr>
            <w:tcW w:w="2435" w:type="dxa"/>
            <w:tcBorders>
              <w:tl2br w:val="nil"/>
              <w:tr2bl w:val="nil"/>
            </w:tcBorders>
            <w:shd w:val="clear" w:color="auto" w:fill="auto"/>
            <w:tcMar>
              <w:left w:w="57" w:type="dxa"/>
              <w:right w:w="57" w:type="dxa"/>
            </w:tcMar>
            <w:vAlign w:val="center"/>
          </w:tcPr>
          <w:p>
            <w:pPr>
              <w:jc w:val="center"/>
            </w:pPr>
            <w:r>
              <w:rPr>
                <w:rFonts w:hint="eastAsia"/>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9740" w:type="dxa"/>
            <w:gridSpan w:val="4"/>
            <w:tcBorders>
              <w:tl2br w:val="nil"/>
              <w:tr2bl w:val="nil"/>
            </w:tcBorders>
            <w:shd w:val="clear" w:color="auto" w:fill="C6D9F1"/>
            <w:tcMar>
              <w:left w:w="57" w:type="dxa"/>
              <w:right w:w="57" w:type="dxa"/>
            </w:tcMar>
            <w:vAlign w:val="center"/>
          </w:tcPr>
          <w:p>
            <w:r>
              <w:rPr>
                <w:rFonts w:hint="eastAsia"/>
                <w:lang w:val="en-US" w:eastAsia="zh-CN"/>
              </w:rPr>
              <w:t>第二十条第（五）项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2435" w:type="dxa"/>
            <w:tcBorders>
              <w:tl2br w:val="nil"/>
              <w:tr2bl w:val="nil"/>
            </w:tcBorders>
            <w:shd w:val="clear" w:color="auto" w:fill="auto"/>
            <w:tcMar>
              <w:left w:w="57" w:type="dxa"/>
              <w:right w:w="57" w:type="dxa"/>
            </w:tcMar>
            <w:vAlign w:val="center"/>
          </w:tcPr>
          <w:p>
            <w:r>
              <w:rPr>
                <w:rFonts w:hint="eastAsia"/>
                <w:lang w:val="en-US" w:eastAsia="zh-CN"/>
              </w:rPr>
              <w:t>信息内容</w:t>
            </w:r>
          </w:p>
        </w:tc>
        <w:tc>
          <w:tcPr>
            <w:tcW w:w="7305" w:type="dxa"/>
            <w:gridSpan w:val="3"/>
            <w:tcBorders>
              <w:tl2br w:val="nil"/>
              <w:tr2bl w:val="nil"/>
            </w:tcBorders>
            <w:shd w:val="clear" w:color="auto" w:fill="auto"/>
            <w:tcMar>
              <w:left w:w="57" w:type="dxa"/>
              <w:right w:w="57" w:type="dxa"/>
            </w:tcMar>
            <w:vAlign w:val="center"/>
          </w:tcPr>
          <w:p>
            <w:r>
              <w:rPr>
                <w:rFonts w:hint="eastAsia"/>
                <w:lang w:val="en-US" w:eastAsia="zh-CN"/>
              </w:rPr>
              <w:t>本年处理决定数量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2435" w:type="dxa"/>
            <w:tcBorders>
              <w:tl2br w:val="nil"/>
              <w:tr2bl w:val="nil"/>
            </w:tcBorders>
            <w:shd w:val="clear" w:color="auto" w:fill="auto"/>
            <w:tcMar>
              <w:left w:w="57" w:type="dxa"/>
              <w:right w:w="57" w:type="dxa"/>
            </w:tcMar>
            <w:vAlign w:val="center"/>
          </w:tcPr>
          <w:p>
            <w:r>
              <w:rPr>
                <w:rFonts w:hint="eastAsia"/>
                <w:lang w:val="en-US" w:eastAsia="zh-CN"/>
              </w:rPr>
              <w:t>行政许可</w:t>
            </w:r>
          </w:p>
        </w:tc>
        <w:tc>
          <w:tcPr>
            <w:tcW w:w="7305" w:type="dxa"/>
            <w:gridSpan w:val="3"/>
            <w:tcBorders>
              <w:tl2br w:val="nil"/>
              <w:tr2bl w:val="nil"/>
            </w:tcBorders>
            <w:shd w:val="clear" w:color="auto" w:fill="auto"/>
            <w:tcMar>
              <w:left w:w="57" w:type="dxa"/>
              <w:right w:w="57" w:type="dxa"/>
            </w:tcMar>
            <w:vAlign w:val="center"/>
          </w:tcPr>
          <w:p>
            <w:pPr>
              <w:jc w:val="center"/>
            </w:pPr>
            <w:r>
              <w:rPr>
                <w:rFonts w:hint="eastAsia"/>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9740" w:type="dxa"/>
            <w:gridSpan w:val="4"/>
            <w:tcBorders>
              <w:tl2br w:val="nil"/>
              <w:tr2bl w:val="nil"/>
            </w:tcBorders>
            <w:shd w:val="clear" w:color="auto" w:fill="C6D9F1"/>
            <w:tcMar>
              <w:left w:w="57" w:type="dxa"/>
              <w:right w:w="57" w:type="dxa"/>
            </w:tcMar>
            <w:vAlign w:val="center"/>
          </w:tcPr>
          <w:p>
            <w:r>
              <w:rPr>
                <w:rFonts w:hint="eastAsia"/>
                <w:lang w:val="en-US" w:eastAsia="zh-CN"/>
              </w:rPr>
              <w:t>第二十条第（六）项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2435" w:type="dxa"/>
            <w:tcBorders>
              <w:tl2br w:val="nil"/>
              <w:tr2bl w:val="nil"/>
            </w:tcBorders>
            <w:shd w:val="clear" w:color="auto" w:fill="auto"/>
            <w:tcMar>
              <w:left w:w="57" w:type="dxa"/>
              <w:right w:w="57" w:type="dxa"/>
            </w:tcMar>
            <w:vAlign w:val="center"/>
          </w:tcPr>
          <w:p>
            <w:r>
              <w:rPr>
                <w:rFonts w:hint="eastAsia"/>
                <w:lang w:val="en-US" w:eastAsia="zh-CN"/>
              </w:rPr>
              <w:t>信息内容</w:t>
            </w:r>
          </w:p>
        </w:tc>
        <w:tc>
          <w:tcPr>
            <w:tcW w:w="7305" w:type="dxa"/>
            <w:gridSpan w:val="3"/>
            <w:tcBorders>
              <w:tl2br w:val="nil"/>
              <w:tr2bl w:val="nil"/>
            </w:tcBorders>
            <w:shd w:val="clear" w:color="auto" w:fill="auto"/>
            <w:tcMar>
              <w:left w:w="57" w:type="dxa"/>
              <w:right w:w="57" w:type="dxa"/>
            </w:tcMar>
            <w:vAlign w:val="center"/>
          </w:tcPr>
          <w:p>
            <w:r>
              <w:rPr>
                <w:rFonts w:hint="eastAsia"/>
                <w:lang w:val="en-US" w:eastAsia="zh-CN"/>
              </w:rPr>
              <w:t>本年处理决定数量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2435" w:type="dxa"/>
            <w:tcBorders>
              <w:tl2br w:val="nil"/>
              <w:tr2bl w:val="nil"/>
            </w:tcBorders>
            <w:shd w:val="clear" w:color="auto" w:fill="auto"/>
            <w:tcMar>
              <w:left w:w="57" w:type="dxa"/>
              <w:right w:w="57" w:type="dxa"/>
            </w:tcMar>
            <w:vAlign w:val="center"/>
          </w:tcPr>
          <w:p>
            <w:r>
              <w:rPr>
                <w:rFonts w:hint="eastAsia"/>
                <w:lang w:val="en-US" w:eastAsia="zh-CN"/>
              </w:rPr>
              <w:t>行政处罚</w:t>
            </w:r>
          </w:p>
        </w:tc>
        <w:tc>
          <w:tcPr>
            <w:tcW w:w="7305" w:type="dxa"/>
            <w:gridSpan w:val="3"/>
            <w:tcBorders>
              <w:tl2br w:val="nil"/>
              <w:tr2bl w:val="nil"/>
            </w:tcBorders>
            <w:shd w:val="clear" w:color="auto" w:fill="auto"/>
            <w:tcMar>
              <w:left w:w="57" w:type="dxa"/>
              <w:right w:w="57" w:type="dxa"/>
            </w:tcMar>
            <w:vAlign w:val="center"/>
          </w:tcPr>
          <w:p>
            <w:pPr>
              <w:jc w:val="center"/>
            </w:pPr>
            <w:r>
              <w:rPr>
                <w:rFonts w:hint="eastAsia"/>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2435" w:type="dxa"/>
            <w:tcBorders>
              <w:tl2br w:val="nil"/>
              <w:tr2bl w:val="nil"/>
            </w:tcBorders>
            <w:shd w:val="clear" w:color="auto" w:fill="auto"/>
            <w:tcMar>
              <w:left w:w="57" w:type="dxa"/>
              <w:right w:w="57" w:type="dxa"/>
            </w:tcMar>
            <w:vAlign w:val="center"/>
          </w:tcPr>
          <w:p>
            <w:r>
              <w:rPr>
                <w:rFonts w:hint="eastAsia"/>
                <w:lang w:val="en-US" w:eastAsia="zh-CN"/>
              </w:rPr>
              <w:t>行政强制</w:t>
            </w:r>
          </w:p>
        </w:tc>
        <w:tc>
          <w:tcPr>
            <w:tcW w:w="7305" w:type="dxa"/>
            <w:gridSpan w:val="3"/>
            <w:tcBorders>
              <w:tl2br w:val="nil"/>
              <w:tr2bl w:val="nil"/>
            </w:tcBorders>
            <w:shd w:val="clear" w:color="auto" w:fill="auto"/>
            <w:tcMar>
              <w:left w:w="57" w:type="dxa"/>
              <w:right w:w="57" w:type="dxa"/>
            </w:tcMar>
            <w:vAlign w:val="center"/>
          </w:tcPr>
          <w:p>
            <w:pPr>
              <w:jc w:val="center"/>
            </w:pPr>
            <w:r>
              <w:rPr>
                <w:rFonts w:hint="eastAsia"/>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9740" w:type="dxa"/>
            <w:gridSpan w:val="4"/>
            <w:tcBorders>
              <w:tl2br w:val="nil"/>
              <w:tr2bl w:val="nil"/>
            </w:tcBorders>
            <w:shd w:val="clear" w:color="auto" w:fill="C6D9F1"/>
            <w:tcMar>
              <w:left w:w="57" w:type="dxa"/>
              <w:right w:w="57" w:type="dxa"/>
            </w:tcMar>
            <w:vAlign w:val="center"/>
          </w:tcPr>
          <w:p>
            <w:r>
              <w:rPr>
                <w:rFonts w:hint="eastAsia"/>
                <w:lang w:val="en-US" w:eastAsia="zh-CN"/>
              </w:rPr>
              <w:t>第二十条第（八）项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2435" w:type="dxa"/>
            <w:tcBorders>
              <w:tl2br w:val="nil"/>
              <w:tr2bl w:val="nil"/>
            </w:tcBorders>
            <w:shd w:val="clear" w:color="auto" w:fill="auto"/>
            <w:tcMar>
              <w:left w:w="57" w:type="dxa"/>
              <w:right w:w="57" w:type="dxa"/>
            </w:tcMar>
            <w:vAlign w:val="center"/>
          </w:tcPr>
          <w:p>
            <w:r>
              <w:rPr>
                <w:rFonts w:hint="eastAsia"/>
                <w:lang w:val="en-US" w:eastAsia="zh-CN"/>
              </w:rPr>
              <w:t>信息内容</w:t>
            </w:r>
          </w:p>
        </w:tc>
        <w:tc>
          <w:tcPr>
            <w:tcW w:w="7305" w:type="dxa"/>
            <w:gridSpan w:val="3"/>
            <w:tcBorders>
              <w:tl2br w:val="nil"/>
              <w:tr2bl w:val="nil"/>
            </w:tcBorders>
            <w:shd w:val="clear" w:color="auto" w:fill="auto"/>
            <w:tcMar>
              <w:left w:w="57" w:type="dxa"/>
              <w:right w:w="57" w:type="dxa"/>
            </w:tcMar>
            <w:vAlign w:val="center"/>
          </w:tcPr>
          <w:p>
            <w:r>
              <w:rPr>
                <w:rFonts w:hint="eastAsia"/>
                <w:lang w:val="en-US" w:eastAsia="zh-CN"/>
              </w:rPr>
              <w:t>本年收费金额（单位：万元）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4" w:hRule="atLeast"/>
          <w:jc w:val="center"/>
        </w:trPr>
        <w:tc>
          <w:tcPr>
            <w:tcW w:w="2435" w:type="dxa"/>
            <w:tcBorders>
              <w:tl2br w:val="nil"/>
              <w:tr2bl w:val="nil"/>
            </w:tcBorders>
            <w:shd w:val="clear" w:color="auto" w:fill="auto"/>
            <w:tcMar>
              <w:left w:w="57" w:type="dxa"/>
              <w:right w:w="57" w:type="dxa"/>
            </w:tcMar>
            <w:vAlign w:val="center"/>
          </w:tcPr>
          <w:p>
            <w:r>
              <w:rPr>
                <w:rFonts w:hint="eastAsia"/>
                <w:lang w:val="en-US" w:eastAsia="zh-CN"/>
              </w:rPr>
              <w:t>行政事业性收费</w:t>
            </w:r>
          </w:p>
        </w:tc>
        <w:tc>
          <w:tcPr>
            <w:tcW w:w="7305" w:type="dxa"/>
            <w:gridSpan w:val="3"/>
            <w:tcBorders>
              <w:tl2br w:val="nil"/>
              <w:tr2bl w:val="nil"/>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p>
      <w:pPr>
        <w:rPr>
          <w:rFonts w:hint="eastAsia"/>
        </w:rP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8"/>
        <w:gridCol w:w="945"/>
        <w:gridCol w:w="3217"/>
        <w:gridCol w:w="688"/>
        <w:gridCol w:w="688"/>
        <w:gridCol w:w="688"/>
        <w:gridCol w:w="688"/>
        <w:gridCol w:w="688"/>
        <w:gridCol w:w="689"/>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r>
              <w:rPr>
                <w:rFonts w:hint="eastAsia"/>
                <w:lang w:val="en-US" w:eastAsia="zh-CN"/>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rPr>
            </w:pPr>
          </w:p>
        </w:tc>
        <w:tc>
          <w:tcPr>
            <w:tcW w:w="714"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自然人</w:t>
            </w:r>
          </w:p>
        </w:tc>
        <w:tc>
          <w:tcPr>
            <w:tcW w:w="357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法人或其他组织</w:t>
            </w:r>
          </w:p>
        </w:tc>
        <w:tc>
          <w:tcPr>
            <w:tcW w:w="714"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r>
              <w:rPr>
                <w:rFonts w:hint="eastAsia"/>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rPr>
            </w:pPr>
          </w:p>
        </w:tc>
        <w:tc>
          <w:tcPr>
            <w:tcW w:w="714"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rPr>
            </w:pP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商业</w:t>
            </w:r>
          </w:p>
          <w:p>
            <w:r>
              <w:rPr>
                <w:rFonts w:hint="eastAsia"/>
                <w:lang w:val="en-US" w:eastAsia="zh-CN"/>
              </w:rPr>
              <w:t>企业</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科研</w:t>
            </w:r>
          </w:p>
          <w:p>
            <w:r>
              <w:rPr>
                <w:rFonts w:hint="eastAsia"/>
                <w:lang w:val="en-US" w:eastAsia="zh-CN"/>
              </w:rPr>
              <w:t>机构</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社会公益组织</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法律服务机构</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其他</w:t>
            </w:r>
          </w:p>
        </w:tc>
        <w:tc>
          <w:tcPr>
            <w:tcW w:w="714"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一、本年新收政府信息公开申请数量</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二、上年结转政府信息公开申请数量</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r>
              <w:rPr>
                <w:rFonts w:hint="eastAsia"/>
                <w:lang w:val="en-US" w:eastAsia="zh-CN"/>
              </w:rPr>
              <w:t>三、本年度办理结果</w:t>
            </w:r>
          </w:p>
        </w:tc>
        <w:tc>
          <w:tcPr>
            <w:tcW w:w="436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（一）予以公开</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436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（二）部分公开（区分处理的，只计这一情形，不计其他情形）</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r>
              <w:rPr>
                <w:rFonts w:hint="eastAsia"/>
                <w:lang w:val="en-US" w:eastAsia="zh-CN"/>
              </w:rPr>
              <w:t>（三）不予公开</w:t>
            </w: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1.属于国家秘密</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2.其他法律行政法规禁止公开</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3.危及“三安全一稳定”</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4.保护第三方合法权益</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5.属于三类内部事务信息</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6.属于四类过程性信息</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7.属于行政执法案卷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8.属于行政查询事项</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r>
              <w:rPr>
                <w:rFonts w:hint="eastAsia"/>
                <w:lang w:val="en-US" w:eastAsia="zh-CN"/>
              </w:rPr>
              <w:t>（四）无法提供</w:t>
            </w: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1.本机关不掌握相关政府信息</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default"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2.没有现成信息需要另行制作</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3.补正后申请内容仍不明确</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default"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r>
              <w:rPr>
                <w:rFonts w:hint="eastAsia"/>
                <w:lang w:val="en-US" w:eastAsia="zh-CN"/>
              </w:rPr>
              <w:t>（五）不予处理</w:t>
            </w: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1.信访举报投诉类申请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2.重复申请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3.要求提供公开出版物</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4.无正当理由大量反复申请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406" w:type="dxa"/>
            <w:tcBorders>
              <w:top w:val="nil"/>
              <w:left w:val="nil"/>
              <w:bottom w:val="outset" w:color="auto" w:sz="8" w:space="0"/>
              <w:right w:val="single" w:color="auto" w:sz="8" w:space="0"/>
            </w:tcBorders>
            <w:shd w:val="clear" w:color="auto" w:fill="auto"/>
            <w:tcMar>
              <w:left w:w="57" w:type="dxa"/>
              <w:right w:w="57" w:type="dxa"/>
            </w:tcMar>
            <w:vAlign w:val="center"/>
          </w:tcPr>
          <w:p>
            <w:r>
              <w:rPr>
                <w:rFonts w:hint="eastAsia"/>
                <w:lang w:val="en-US" w:eastAsia="zh-CN"/>
              </w:rPr>
              <w:t>5.要求行政机关确认或重新出具已获取信息</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r>
              <w:rPr>
                <w:rFonts w:hint="eastAsia"/>
                <w:lang w:val="en-US" w:eastAsia="zh-CN"/>
              </w:rPr>
              <w:t>（六）其他处理</w:t>
            </w:r>
          </w:p>
        </w:tc>
        <w:tc>
          <w:tcPr>
            <w:tcW w:w="3406"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1.申请人无正当理由逾期不补正、行政机关不再处理其政府信息公开申请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3.其他</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436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（七）总计</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四、结转下年度继续办理</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rPr>
            </w:pPr>
            <w:r>
              <w:rPr>
                <w:rFonts w:hint="eastAsia"/>
                <w:lang w:val="en-US" w:eastAsia="zh-CN"/>
              </w:rPr>
              <w:t>0</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6"/>
          <w:szCs w:val="36"/>
        </w:rPr>
      </w:pPr>
      <w:r>
        <w:rPr>
          <w:rFonts w:hint="eastAsia" w:ascii="黑体" w:hAnsi="黑体" w:eastAsia="黑体"/>
          <w:sz w:val="32"/>
          <w:szCs w:val="32"/>
        </w:rPr>
        <w:t>四、政府信息公开行政复议、行政诉讼情况</w:t>
      </w: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lang w:val="en-US" w:eastAsia="zh-CN"/>
              </w:rPr>
            </w:pPr>
            <w:r>
              <w:rPr>
                <w:rFonts w:hint="eastAsia"/>
                <w:lang w:val="en-US" w:eastAsia="zh-CN"/>
              </w:rPr>
              <w:t>结果</w:t>
            </w:r>
          </w:p>
          <w:p>
            <w:r>
              <w:rPr>
                <w:rFonts w:hint="eastAsia"/>
                <w:lang w:val="en-US" w:eastAsia="zh-CN"/>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lang w:val="en-US" w:eastAsia="zh-CN"/>
              </w:rPr>
            </w:pPr>
            <w:r>
              <w:rPr>
                <w:rFonts w:hint="eastAsia"/>
                <w:lang w:val="en-US" w:eastAsia="zh-CN"/>
              </w:rPr>
              <w:t>其他</w:t>
            </w:r>
          </w:p>
          <w:p>
            <w:r>
              <w:rPr>
                <w:rFonts w:hint="eastAsia"/>
                <w:lang w:val="en-US" w:eastAsia="zh-CN"/>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lang w:val="en-US" w:eastAsia="zh-CN"/>
              </w:rPr>
            </w:pPr>
            <w:r>
              <w:rPr>
                <w:rFonts w:hint="eastAsia"/>
                <w:lang w:val="en-US" w:eastAsia="zh-CN"/>
              </w:rPr>
              <w:t>尚未</w:t>
            </w:r>
          </w:p>
          <w:p>
            <w:r>
              <w:rPr>
                <w:rFonts w:hint="eastAsia"/>
                <w:lang w:val="en-US" w:eastAsia="zh-CN"/>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lang w:val="en-US" w:eastAsia="zh-CN"/>
              </w:rPr>
            </w:pPr>
            <w:r>
              <w:rPr>
                <w:rFonts w:hint="eastAsia"/>
                <w:lang w:val="en-US" w:eastAsia="zh-CN"/>
              </w:rPr>
              <w:t>结果</w:t>
            </w:r>
          </w:p>
          <w:p>
            <w:r>
              <w:rPr>
                <w:rFonts w:hint="eastAsia"/>
                <w:lang w:val="en-US" w:eastAsia="zh-CN"/>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lang w:val="en-US" w:eastAsia="zh-CN"/>
              </w:rPr>
            </w:pPr>
            <w:r>
              <w:rPr>
                <w:rFonts w:hint="eastAsia"/>
                <w:lang w:val="en-US" w:eastAsia="zh-CN"/>
              </w:rPr>
              <w:t>结果</w:t>
            </w:r>
          </w:p>
          <w:p>
            <w:r>
              <w:rPr>
                <w:rFonts w:hint="eastAsia"/>
                <w:lang w:val="en-US" w:eastAsia="zh-CN"/>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lang w:val="en-US" w:eastAsia="zh-CN"/>
              </w:rPr>
            </w:pPr>
            <w:r>
              <w:rPr>
                <w:rFonts w:hint="eastAsia"/>
                <w:lang w:val="en-US" w:eastAsia="zh-CN"/>
              </w:rPr>
              <w:t>其他</w:t>
            </w:r>
          </w:p>
          <w:p>
            <w:r>
              <w:rPr>
                <w:rFonts w:hint="eastAsia"/>
                <w:lang w:val="en-US" w:eastAsia="zh-CN"/>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lang w:val="en-US" w:eastAsia="zh-CN"/>
              </w:rPr>
            </w:pPr>
            <w:r>
              <w:rPr>
                <w:rFonts w:hint="eastAsia"/>
                <w:lang w:val="en-US" w:eastAsia="zh-CN"/>
              </w:rPr>
              <w:t>尚未</w:t>
            </w:r>
          </w:p>
          <w:p>
            <w:r>
              <w:rPr>
                <w:rFonts w:hint="eastAsia"/>
                <w:lang w:val="en-US" w:eastAsia="zh-CN"/>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lang w:val="en-US" w:eastAsia="zh-CN"/>
              </w:rPr>
            </w:pPr>
            <w:r>
              <w:rPr>
                <w:rFonts w:hint="eastAsia"/>
                <w:lang w:val="en-US" w:eastAsia="zh-CN"/>
              </w:rPr>
              <w:t>结果</w:t>
            </w:r>
          </w:p>
          <w:p>
            <w:r>
              <w:rPr>
                <w:rFonts w:hint="eastAsia"/>
                <w:lang w:val="en-US" w:eastAsia="zh-CN"/>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lang w:val="en-US" w:eastAsia="zh-CN"/>
              </w:rPr>
            </w:pPr>
            <w:r>
              <w:rPr>
                <w:rFonts w:hint="eastAsia"/>
                <w:lang w:val="en-US" w:eastAsia="zh-CN"/>
              </w:rPr>
              <w:t>结果</w:t>
            </w:r>
          </w:p>
          <w:p>
            <w:r>
              <w:rPr>
                <w:rFonts w:hint="eastAsia"/>
                <w:lang w:val="en-US" w:eastAsia="zh-CN"/>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lang w:val="en-US" w:eastAsia="zh-CN"/>
              </w:rPr>
            </w:pPr>
            <w:r>
              <w:rPr>
                <w:rFonts w:hint="eastAsia"/>
                <w:lang w:val="en-US" w:eastAsia="zh-CN"/>
              </w:rPr>
              <w:t>其他</w:t>
            </w:r>
          </w:p>
          <w:p>
            <w:r>
              <w:rPr>
                <w:rFonts w:hint="eastAsia"/>
                <w:lang w:val="en-US" w:eastAsia="zh-CN"/>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lang w:val="en-US" w:eastAsia="zh-CN"/>
              </w:rPr>
            </w:pPr>
            <w:r>
              <w:rPr>
                <w:rFonts w:hint="eastAsia"/>
                <w:lang w:val="en-US" w:eastAsia="zh-CN"/>
              </w:rPr>
              <w:t>尚未</w:t>
            </w:r>
          </w:p>
          <w:p>
            <w:r>
              <w:rPr>
                <w:rFonts w:hint="eastAsia"/>
                <w:lang w:val="en-US" w:eastAsia="zh-CN"/>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default"/>
                <w:lang w:val="en-US"/>
              </w:rPr>
            </w:pPr>
            <w:r>
              <w:rPr>
                <w:rFonts w:hint="eastAsia"/>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eastAsiaTheme="minorEastAsia"/>
                <w:lang w:val="en-US" w:eastAsia="zh-CN"/>
              </w:rPr>
            </w:pPr>
            <w:r>
              <w:rPr>
                <w:rFonts w:hint="eastAsia"/>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eastAsiaTheme="minorEastAsia"/>
                <w:lang w:val="en-US" w:eastAsia="zh-CN"/>
              </w:rPr>
            </w:pPr>
            <w:r>
              <w:rPr>
                <w:rFonts w:hint="eastAsia"/>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eastAsiaTheme="minorEastAsia"/>
                <w:lang w:val="en-US" w:eastAsia="zh-CN"/>
              </w:rPr>
            </w:pPr>
            <w:r>
              <w:rPr>
                <w:rFonts w:hint="eastAsia"/>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eastAsiaTheme="minorEastAsia"/>
                <w:lang w:val="en-US" w:eastAsia="zh-CN"/>
              </w:rPr>
            </w:pPr>
            <w:r>
              <w:rPr>
                <w:rFonts w:hint="eastAsia"/>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eastAsiaTheme="minorEastAsia"/>
                <w:lang w:val="en-US" w:eastAsia="zh-CN"/>
              </w:rPr>
            </w:pPr>
            <w:r>
              <w:rPr>
                <w:rFonts w:hint="eastAsia"/>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eastAsiaTheme="minorEastAsia"/>
                <w:lang w:val="en-US" w:eastAsia="zh-CN"/>
              </w:rPr>
            </w:pPr>
            <w:r>
              <w:rPr>
                <w:rFonts w:hint="eastAsia"/>
                <w:lang w:val="en-US" w:eastAsia="zh-CN"/>
              </w:rPr>
              <w:t>0</w:t>
            </w:r>
          </w:p>
        </w:tc>
      </w:tr>
    </w:tbl>
    <w:p/>
    <w:p>
      <w:pPr>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五、存在的主要问题及改进情况</w:t>
      </w:r>
    </w:p>
    <w:p>
      <w:pPr>
        <w:widowControl/>
        <w:shd w:val="clear" w:color="auto" w:fill="FFFFFF"/>
        <w:tabs>
          <w:tab w:val="left" w:pos="2940"/>
        </w:tabs>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因单位工作性质的特殊性，信息公开类型较单一，群众关心的各类信息较少，</w:t>
      </w:r>
      <w:r>
        <w:rPr>
          <w:rFonts w:hint="eastAsia" w:ascii="仿宋_GB2312" w:hAnsi="仿宋_GB2312" w:eastAsia="仿宋_GB2312" w:cs="仿宋_GB2312"/>
          <w:color w:val="000000"/>
          <w:kern w:val="0"/>
          <w:sz w:val="32"/>
          <w:szCs w:val="32"/>
        </w:rPr>
        <w:t>主动性政策解读较少、</w:t>
      </w:r>
      <w:r>
        <w:rPr>
          <w:rFonts w:hint="eastAsia" w:ascii="仿宋_GB2312" w:hAnsi="仿宋_GB2312" w:eastAsia="仿宋_GB2312" w:cs="仿宋_GB2312"/>
          <w:color w:val="000000"/>
          <w:kern w:val="0"/>
          <w:sz w:val="32"/>
          <w:szCs w:val="32"/>
          <w:lang w:eastAsia="zh-CN"/>
        </w:rPr>
        <w:t>信息</w:t>
      </w:r>
      <w:r>
        <w:rPr>
          <w:rFonts w:hint="eastAsia" w:ascii="仿宋_GB2312" w:hAnsi="仿宋_GB2312" w:eastAsia="仿宋_GB2312" w:cs="仿宋_GB2312"/>
          <w:color w:val="000000"/>
          <w:kern w:val="0"/>
          <w:sz w:val="32"/>
          <w:szCs w:val="32"/>
        </w:rPr>
        <w:t>公开的内容和方式有待进一步</w:t>
      </w:r>
      <w:r>
        <w:rPr>
          <w:rFonts w:hint="eastAsia" w:ascii="仿宋_GB2312" w:hAnsi="仿宋_GB2312" w:eastAsia="仿宋_GB2312" w:cs="仿宋_GB2312"/>
          <w:color w:val="000000"/>
          <w:kern w:val="0"/>
          <w:sz w:val="32"/>
          <w:szCs w:val="32"/>
          <w:lang w:eastAsia="zh-CN"/>
        </w:rPr>
        <w:t>丰富完善。</w:t>
      </w:r>
      <w:r>
        <w:rPr>
          <w:rFonts w:hint="eastAsia" w:ascii="仿宋_GB2312" w:hAnsi="仿宋_GB2312" w:eastAsia="仿宋_GB2312" w:cs="仿宋_GB2312"/>
          <w:color w:val="000000"/>
          <w:kern w:val="0"/>
          <w:sz w:val="32"/>
          <w:szCs w:val="32"/>
        </w:rPr>
        <w:t>对此，我局将进一步抓好《政府信息公开条例》的学习，</w:t>
      </w:r>
      <w:r>
        <w:rPr>
          <w:rFonts w:hint="eastAsia" w:ascii="仿宋_GB2312" w:hAnsi="仿宋_GB2312" w:eastAsia="仿宋_GB2312" w:cs="仿宋_GB2312"/>
          <w:color w:val="000000"/>
          <w:kern w:val="0"/>
          <w:sz w:val="32"/>
          <w:szCs w:val="32"/>
          <w:lang w:eastAsia="zh-CN"/>
        </w:rPr>
        <w:t>进一步</w:t>
      </w:r>
      <w:r>
        <w:rPr>
          <w:rFonts w:hint="eastAsia" w:ascii="仿宋_GB2312" w:hAnsi="仿宋_GB2312" w:eastAsia="仿宋_GB2312" w:cs="仿宋_GB2312"/>
          <w:color w:val="000000"/>
          <w:kern w:val="0"/>
          <w:sz w:val="32"/>
          <w:szCs w:val="32"/>
        </w:rPr>
        <w:t>强化主动公开意识，加大主动公开力度，</w:t>
      </w:r>
      <w:r>
        <w:rPr>
          <w:rFonts w:hint="eastAsia" w:ascii="仿宋_GB2312" w:hAnsi="仿宋_GB2312" w:eastAsia="仿宋_GB2312" w:cs="仿宋_GB2312"/>
          <w:color w:val="000000"/>
          <w:kern w:val="0"/>
          <w:sz w:val="32"/>
          <w:szCs w:val="32"/>
          <w:lang w:eastAsia="zh-CN"/>
        </w:rPr>
        <w:t>建立长效工作机制，将政府信息公开工作与日常业务工作紧密结合，</w:t>
      </w:r>
      <w:r>
        <w:rPr>
          <w:rFonts w:hint="eastAsia" w:ascii="仿宋_GB2312" w:hAnsi="仿宋_GB2312" w:eastAsia="仿宋_GB2312" w:cs="仿宋_GB2312"/>
          <w:color w:val="000000"/>
          <w:kern w:val="0"/>
          <w:sz w:val="32"/>
          <w:szCs w:val="32"/>
        </w:rPr>
        <w:t>增强公开信息的全面性、准确性、及时性。</w:t>
      </w:r>
    </w:p>
    <w:p>
      <w:pPr>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六、其他需要报告的事项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本年度未收取政府信息公开申请信息处理收费。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本报告中所列数据统计时间为202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年1月1日至202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年12月31日。报告电子版可在乐山市人民政府网站、</w:t>
      </w:r>
      <w:r>
        <w:rPr>
          <w:rFonts w:hint="eastAsia" w:ascii="仿宋_GB2312" w:hAnsi="仿宋_GB2312" w:eastAsia="仿宋_GB2312" w:cs="仿宋_GB2312"/>
          <w:sz w:val="32"/>
          <w:szCs w:val="32"/>
          <w:lang w:val="en-US" w:eastAsia="zh-CN"/>
        </w:rPr>
        <w:t>乐山市机关事务管理局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网址为：https://jgsw.leshan.gov.cn/</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下载。如对本年度报告有任何疑问，请与</w:t>
      </w:r>
      <w:r>
        <w:rPr>
          <w:rFonts w:hint="eastAsia" w:ascii="仿宋_GB2312" w:hAnsi="仿宋_GB2312" w:eastAsia="仿宋_GB2312" w:cs="仿宋_GB2312"/>
          <w:sz w:val="32"/>
          <w:szCs w:val="32"/>
          <w:lang w:val="en-US" w:eastAsia="zh-CN"/>
        </w:rPr>
        <w:t>乐山市机关事务管理局</w:t>
      </w:r>
      <w:r>
        <w:rPr>
          <w:rFonts w:hint="eastAsia" w:ascii="仿宋_GB2312" w:hAnsi="仿宋_GB2312" w:eastAsia="仿宋_GB2312" w:cs="仿宋_GB2312"/>
          <w:sz w:val="32"/>
          <w:szCs w:val="32"/>
        </w:rPr>
        <w:t>联系（通讯地址：乐山市市中区</w:t>
      </w:r>
      <w:r>
        <w:rPr>
          <w:rFonts w:hint="eastAsia" w:ascii="仿宋_GB2312" w:hAnsi="仿宋_GB2312" w:eastAsia="仿宋_GB2312" w:cs="仿宋_GB2312"/>
          <w:sz w:val="32"/>
          <w:szCs w:val="32"/>
          <w:lang w:val="en-US" w:eastAsia="zh-CN"/>
        </w:rPr>
        <w:t>柏杨东路199号</w:t>
      </w:r>
      <w:r>
        <w:rPr>
          <w:rFonts w:hint="eastAsia" w:ascii="仿宋_GB2312" w:hAnsi="仿宋_GB2312" w:eastAsia="仿宋_GB2312" w:cs="仿宋_GB2312"/>
          <w:sz w:val="32"/>
          <w:szCs w:val="32"/>
        </w:rPr>
        <w:t>，邮编:614000，联系电话：0833—</w:t>
      </w:r>
      <w:r>
        <w:rPr>
          <w:rFonts w:hint="eastAsia" w:ascii="仿宋_GB2312" w:hAnsi="仿宋_GB2312" w:eastAsia="仿宋_GB2312" w:cs="仿宋_GB2312"/>
          <w:sz w:val="32"/>
          <w:szCs w:val="32"/>
          <w:lang w:val="en-US" w:eastAsia="zh-CN"/>
        </w:rPr>
        <w:t>2425793</w:t>
      </w:r>
      <w:r>
        <w:rPr>
          <w:rFonts w:hint="eastAsia" w:ascii="仿宋_GB2312" w:hAnsi="仿宋_GB2312" w:eastAsia="仿宋_GB2312" w:cs="仿宋_GB2312"/>
          <w:sz w:val="32"/>
          <w:szCs w:val="32"/>
        </w:rPr>
        <w:t>）。</w:t>
      </w:r>
    </w:p>
    <w:sectPr>
      <w:footerReference r:id="rId5" w:type="first"/>
      <w:footerReference r:id="rId3" w:type="default"/>
      <w:footerReference r:id="rId4" w:type="even"/>
      <w:pgSz w:w="11906" w:h="16838"/>
      <w:pgMar w:top="2098" w:right="1474" w:bottom="567" w:left="1587" w:header="851" w:footer="1247" w:gutter="0"/>
      <w:pgBorders>
        <w:top w:val="none" w:sz="0" w:space="0"/>
        <w:left w:val="none" w:sz="0" w:space="0"/>
        <w:bottom w:val="none" w:sz="0" w:space="0"/>
        <w:right w:val="none" w:sz="0" w:space="0"/>
      </w:pgBorders>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F3B6E"/>
    <w:rsid w:val="07FE28C4"/>
    <w:rsid w:val="2ED056B9"/>
    <w:rsid w:val="385A3B30"/>
    <w:rsid w:val="457F5C7F"/>
    <w:rsid w:val="46B255A5"/>
    <w:rsid w:val="48154F30"/>
    <w:rsid w:val="52FA2655"/>
    <w:rsid w:val="54BDD63E"/>
    <w:rsid w:val="5BC3024B"/>
    <w:rsid w:val="5BF35BB8"/>
    <w:rsid w:val="5BFFB9E2"/>
    <w:rsid w:val="5FD79910"/>
    <w:rsid w:val="5FFC6659"/>
    <w:rsid w:val="61380F9A"/>
    <w:rsid w:val="6142075D"/>
    <w:rsid w:val="67EFBAE7"/>
    <w:rsid w:val="6EFE2D3E"/>
    <w:rsid w:val="6FA61DDB"/>
    <w:rsid w:val="6FB57280"/>
    <w:rsid w:val="700A4CD7"/>
    <w:rsid w:val="75BBD30B"/>
    <w:rsid w:val="75F9A8A5"/>
    <w:rsid w:val="79045028"/>
    <w:rsid w:val="7FFFA862"/>
    <w:rsid w:val="AFFEDD0D"/>
    <w:rsid w:val="B07B488D"/>
    <w:rsid w:val="BDEF5FBF"/>
    <w:rsid w:val="CAAC3BE9"/>
    <w:rsid w:val="CC79C23A"/>
    <w:rsid w:val="E9FBF26B"/>
    <w:rsid w:val="F3FCFD2A"/>
    <w:rsid w:val="F3FE983C"/>
    <w:rsid w:val="F76FD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Salutation"/>
    <w:basedOn w:val="1"/>
    <w:next w:val="1"/>
    <w:qFormat/>
    <w:uiPriority w:val="0"/>
    <w:rPr>
      <w:rFonts w:ascii="Times New Roman" w:hAnsi="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Emphasis"/>
    <w:basedOn w:val="7"/>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2021-10-03T18:34:00Z</dcterms:created>
  <dc:creator>Administrator</dc:creator>
  <cp:lastModifiedBy>user</cp:lastModifiedBy>
  <cp:lastPrinted>2024-01-02T22:18:00Z</cp:lastPrinted>
  <dcterms:modified xsi:type="dcterms:W3CDTF">2024-01-23T17:41:53Z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5387FA5C04DB45BB9BFB1B6500A2486B</vt:lpwstr>
  </property>
</Properties>
</file>