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乐山市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新闻出版局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年，乐山市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新闻出版局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深入学习贯彻习近平新时代中国特色社会主义思想，在市委、市政府的正确领导下，认真贯彻执行《中华人民共和国政府信息公开条例》以及国家、省、市关于政务公开工作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的决策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部署，坚持以“公开为常态，不公开为例外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的原则，积极履行政务公开工作职责，着力提升政府信息公开质效。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（一）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主动公开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情况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按照依法、全面、真实的原则，把涉及出版物零售业务经营许可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、印刷企业年检、电影放映、干部人事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等问题作为公开的重点内容。通过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等途径，主动发布信息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80余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条，向社会公众展现了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新闻出版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事务各项工作。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（二）依申请公开工作情况。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主动接受社会监督，坚持和完善政府信息依申请公开登记、审核、办理、答复、归档等办理制度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扎实做好依申请公开。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年未收到依申请公开政府信息，本年度无应公开而不予公开的政府信息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行政复议、行政诉讼结果数均为0。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（三）政府信息管理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情况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按照“谁主管谁负责、谁运行谁负责、谁发布谁负责”的原则，落实信息发布“三审三校”制度。信息发布严把政治关、法律关、政策关、保密关、文字关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进一步完善政府信息公开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内部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管理制度，落实1名专职人员从事政府信息公开工作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确保公开的政府信息内容准确，格式规范。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（四）平台建设情况。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由于市新闻出版局没有新闻网站，我们依托市政府信息公开网站和乐山宣传公众号进行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加强与市政府信息公开办、市委网信办对接协调，集中规范公开现行有效规章、行政规范性文件，严格按照要求开展数据库建设。加强政府信息公开专栏数据同源工作。严格执行信息发布“三审”制度，严把信息发布关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商业</w:t>
            </w:r>
          </w:p>
          <w:p>
            <w:r>
              <w:rPr>
                <w:rFonts w:hint="eastAsia"/>
                <w:lang w:val="en-US" w:eastAsia="zh-CN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科研</w:t>
            </w:r>
          </w:p>
          <w:p>
            <w:r>
              <w:rPr>
                <w:rFonts w:hint="eastAsia"/>
                <w:lang w:val="en-US" w:eastAsia="zh-CN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eastAsia"/>
                <w:lang w:val="en-US" w:eastAsia="zh-CN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结果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尚未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市新闻出版局为挂牌机构，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工作人员少，业务工作量多，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政府信息公开的政策解读较少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，主动公开内容形式较单一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。对此，我局将进一步抓好《政府信息公开条例》的学习，进一步强化主动公开意识，加强政务信息公开衔接沟通，加大主动公开力度，建立长效工作机制，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增强公开信息的全面性、准确性、及时性。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本年度未收取政府信息公开申请信息处理收费。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567" w:left="1587" w:header="851" w:footer="124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BDEC43-941D-4747-8B18-989FA2606F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394DD5-7EFF-4F38-8DF7-587DDEE9B8A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—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8B572"/>
    <w:multiLevelType w:val="singleLevel"/>
    <w:tmpl w:val="4CE8B5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RiNTVkMTY0NDg3MWM1YTVlZGMzYWNhMjBhODAifQ=="/>
    <w:docVar w:name="KSO_WPS_MARK_KEY" w:val="bf3b2714-b74a-43b1-bc54-eae84a785cf4"/>
  </w:docVars>
  <w:rsids>
    <w:rsidRoot w:val="00000000"/>
    <w:rsid w:val="033228F0"/>
    <w:rsid w:val="05614B95"/>
    <w:rsid w:val="0C6B2155"/>
    <w:rsid w:val="1F4918F6"/>
    <w:rsid w:val="200E567E"/>
    <w:rsid w:val="20F52909"/>
    <w:rsid w:val="238A37C5"/>
    <w:rsid w:val="2ED056B9"/>
    <w:rsid w:val="2F1F781D"/>
    <w:rsid w:val="36482664"/>
    <w:rsid w:val="3C6050B6"/>
    <w:rsid w:val="48154F30"/>
    <w:rsid w:val="52FA2655"/>
    <w:rsid w:val="54322953"/>
    <w:rsid w:val="57640CEA"/>
    <w:rsid w:val="5BAF7602"/>
    <w:rsid w:val="5BC3024B"/>
    <w:rsid w:val="5DB23D55"/>
    <w:rsid w:val="6D8E65E2"/>
    <w:rsid w:val="6EFE2D3E"/>
    <w:rsid w:val="73045395"/>
    <w:rsid w:val="763E66B4"/>
    <w:rsid w:val="79045028"/>
    <w:rsid w:val="7916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1823</Characters>
  <Lines>0</Lines>
  <Paragraphs>0</Paragraphs>
  <TotalTime>1</TotalTime>
  <ScaleCrop>false</ScaleCrop>
  <LinksUpToDate>false</LinksUpToDate>
  <CharactersWithSpaces>2026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2021-09-30T02:34:00Z</dcterms:created>
  <dc:creator>Administrator</dc:creator>
  <cp:lastModifiedBy>祝梦箫</cp:lastModifiedBy>
  <cp:lastPrinted>2023-01-09T03:05:00Z</cp:lastPrinted>
  <dcterms:modified xsi:type="dcterms:W3CDTF">2024-01-24T08:11:19Z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5FE25CF7A1A54F4FB38905E128924964_13</vt:lpwstr>
  </property>
</Properties>
</file>