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468B">
      <w:pPr>
        <w:ind w:firstLine="640"/>
      </w:pPr>
    </w:p>
    <w:p w14:paraId="4DD061CC">
      <w:pPr>
        <w:ind w:firstLine="640"/>
      </w:pPr>
    </w:p>
    <w:p w14:paraId="57ACC269">
      <w:pPr>
        <w:ind w:firstLine="640"/>
      </w:pPr>
    </w:p>
    <w:p w14:paraId="6A2A37EB">
      <w:pPr>
        <w:ind w:firstLine="0" w:firstLineChars="0"/>
        <w:jc w:val="center"/>
        <w:rPr>
          <w:rFonts w:ascii="宋体" w:hAnsi="宋体" w:eastAsia="宋体"/>
          <w:b/>
          <w:i/>
          <w:sz w:val="52"/>
          <w:szCs w:val="52"/>
        </w:rPr>
      </w:pPr>
      <w:r>
        <w:rPr>
          <w:rFonts w:hint="eastAsia" w:ascii="宋体" w:hAnsi="宋体" w:eastAsia="宋体"/>
          <w:b/>
          <w:sz w:val="52"/>
          <w:szCs w:val="52"/>
        </w:rPr>
        <w:t>四川省乐山市矿产资源总体规划</w:t>
      </w:r>
    </w:p>
    <w:p w14:paraId="330BA68E">
      <w:pPr>
        <w:ind w:firstLine="0" w:firstLineChars="0"/>
        <w:jc w:val="center"/>
        <w:rPr>
          <w:sz w:val="48"/>
          <w:szCs w:val="48"/>
        </w:rPr>
      </w:pPr>
      <w:r>
        <w:rPr>
          <w:rFonts w:hint="eastAsia"/>
          <w:sz w:val="48"/>
          <w:szCs w:val="48"/>
        </w:rPr>
        <w:t>(201</w:t>
      </w:r>
      <w:r>
        <w:rPr>
          <w:sz w:val="48"/>
          <w:szCs w:val="48"/>
        </w:rPr>
        <w:t>6</w:t>
      </w:r>
      <w:r>
        <w:rPr>
          <w:rFonts w:hint="eastAsia"/>
          <w:sz w:val="48"/>
          <w:szCs w:val="48"/>
        </w:rPr>
        <w:t>年-</w:t>
      </w:r>
      <w:r>
        <w:rPr>
          <w:sz w:val="48"/>
          <w:szCs w:val="48"/>
        </w:rPr>
        <w:t>2020</w:t>
      </w:r>
      <w:r>
        <w:rPr>
          <w:rFonts w:hint="eastAsia"/>
          <w:sz w:val="48"/>
          <w:szCs w:val="48"/>
        </w:rPr>
        <w:t>年</w:t>
      </w:r>
      <w:r>
        <w:rPr>
          <w:sz w:val="48"/>
          <w:szCs w:val="48"/>
        </w:rPr>
        <w:t>)</w:t>
      </w:r>
    </w:p>
    <w:p w14:paraId="3FC043DA">
      <w:pPr>
        <w:ind w:firstLine="640"/>
      </w:pPr>
    </w:p>
    <w:p w14:paraId="3CCBC466">
      <w:pPr>
        <w:ind w:firstLine="640"/>
      </w:pPr>
    </w:p>
    <w:p w14:paraId="532F69FF">
      <w:pPr>
        <w:ind w:firstLine="640"/>
      </w:pPr>
    </w:p>
    <w:p w14:paraId="1779A0DA">
      <w:pPr>
        <w:ind w:firstLine="640"/>
      </w:pPr>
    </w:p>
    <w:p w14:paraId="07B53D5C">
      <w:pPr>
        <w:ind w:firstLine="640"/>
      </w:pPr>
    </w:p>
    <w:p w14:paraId="24B0FB32">
      <w:pPr>
        <w:ind w:firstLine="640"/>
      </w:pPr>
    </w:p>
    <w:p w14:paraId="34862017">
      <w:pPr>
        <w:ind w:firstLine="640"/>
      </w:pPr>
    </w:p>
    <w:p w14:paraId="7641AB21">
      <w:pPr>
        <w:ind w:firstLine="640"/>
      </w:pPr>
    </w:p>
    <w:p w14:paraId="484D3D0D">
      <w:pPr>
        <w:ind w:firstLine="640"/>
      </w:pPr>
    </w:p>
    <w:p w14:paraId="73F3CF9E">
      <w:pPr>
        <w:ind w:firstLine="640"/>
      </w:pPr>
    </w:p>
    <w:p w14:paraId="42EA941C">
      <w:pPr>
        <w:ind w:firstLine="640"/>
      </w:pPr>
    </w:p>
    <w:p w14:paraId="62FAF262">
      <w:pPr>
        <w:ind w:firstLine="640"/>
      </w:pPr>
    </w:p>
    <w:p w14:paraId="74F73190">
      <w:pPr>
        <w:ind w:firstLine="640"/>
      </w:pPr>
    </w:p>
    <w:p w14:paraId="0DCDDB72">
      <w:pPr>
        <w:ind w:firstLine="640"/>
      </w:pPr>
    </w:p>
    <w:p w14:paraId="24D248BF">
      <w:pPr>
        <w:ind w:firstLine="0" w:firstLineChars="0"/>
        <w:jc w:val="center"/>
        <w:rPr>
          <w:b/>
          <w:sz w:val="44"/>
          <w:szCs w:val="44"/>
        </w:rPr>
      </w:pPr>
      <w:r>
        <w:rPr>
          <w:rFonts w:hint="eastAsia"/>
          <w:b/>
          <w:sz w:val="44"/>
          <w:szCs w:val="44"/>
        </w:rPr>
        <w:t>四川省乐山市人民政府</w:t>
      </w:r>
    </w:p>
    <w:p w14:paraId="1B17233F">
      <w:pPr>
        <w:ind w:firstLine="0" w:firstLineChars="0"/>
        <w:jc w:val="center"/>
        <w:rPr>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284"/>
          <w:cols w:space="425" w:num="1"/>
          <w:docGrid w:linePitch="435" w:charSpace="0"/>
        </w:sectPr>
      </w:pPr>
      <w:r>
        <w:rPr>
          <w:rFonts w:hint="eastAsia"/>
          <w:sz w:val="36"/>
          <w:szCs w:val="36"/>
        </w:rPr>
        <w:t>201</w:t>
      </w:r>
      <w:r>
        <w:rPr>
          <w:sz w:val="36"/>
          <w:szCs w:val="36"/>
        </w:rPr>
        <w:t>6</w:t>
      </w:r>
      <w:r>
        <w:rPr>
          <w:rFonts w:hint="eastAsia"/>
          <w:sz w:val="36"/>
          <w:szCs w:val="36"/>
        </w:rPr>
        <w:t>年</w:t>
      </w:r>
      <w:r>
        <w:rPr>
          <w:sz w:val="36"/>
          <w:szCs w:val="36"/>
        </w:rPr>
        <w:t>12</w:t>
      </w:r>
      <w:r>
        <w:rPr>
          <w:rFonts w:hint="eastAsia"/>
          <w:sz w:val="36"/>
          <w:szCs w:val="36"/>
        </w:rPr>
        <w:t>月</w:t>
      </w:r>
      <w:r>
        <w:rPr>
          <w:sz w:val="36"/>
          <w:szCs w:val="36"/>
        </w:rPr>
        <w:t>30</w:t>
      </w:r>
      <w:r>
        <w:rPr>
          <w:rFonts w:hint="eastAsia"/>
          <w:sz w:val="36"/>
          <w:szCs w:val="36"/>
        </w:rPr>
        <w:t>日</w:t>
      </w:r>
    </w:p>
    <w:p w14:paraId="632D8F1B">
      <w:pPr>
        <w:ind w:firstLine="640"/>
      </w:pPr>
    </w:p>
    <w:tbl>
      <w:tblPr>
        <w:tblStyle w:val="19"/>
        <w:tblW w:w="0" w:type="auto"/>
        <w:tblInd w:w="85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280"/>
        <w:gridCol w:w="320"/>
        <w:gridCol w:w="3520"/>
      </w:tblGrid>
      <w:tr w14:paraId="60AFD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gridSpan w:val="3"/>
          </w:tcPr>
          <w:p w14:paraId="7544D063">
            <w:pPr>
              <w:ind w:firstLine="0" w:firstLineChars="0"/>
              <w:rPr>
                <w:b/>
              </w:rPr>
            </w:pPr>
            <w:r>
              <w:rPr>
                <w:rFonts w:hint="eastAsia"/>
                <w:b/>
              </w:rPr>
              <w:t>编制工作领导小组</w:t>
            </w:r>
          </w:p>
        </w:tc>
      </w:tr>
      <w:tr w14:paraId="08DCE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4A9E359E">
            <w:pPr>
              <w:ind w:firstLine="0" w:firstLineChars="0"/>
              <w:jc w:val="distribute"/>
            </w:pPr>
            <w:r>
              <w:rPr>
                <w:rFonts w:hint="eastAsia"/>
              </w:rPr>
              <w:t>组  长</w:t>
            </w:r>
          </w:p>
        </w:tc>
        <w:tc>
          <w:tcPr>
            <w:tcW w:w="0" w:type="auto"/>
          </w:tcPr>
          <w:p w14:paraId="72FCD896">
            <w:pPr>
              <w:ind w:firstLine="0" w:firstLineChars="0"/>
            </w:pPr>
            <w:r>
              <w:rPr>
                <w:rFonts w:hint="eastAsia"/>
              </w:rPr>
              <w:t>：</w:t>
            </w:r>
          </w:p>
        </w:tc>
        <w:tc>
          <w:tcPr>
            <w:tcW w:w="0" w:type="auto"/>
          </w:tcPr>
          <w:p w14:paraId="6AD8EF2A">
            <w:pPr>
              <w:ind w:firstLine="0" w:firstLineChars="0"/>
            </w:pPr>
            <w:r>
              <w:rPr>
                <w:rFonts w:hint="eastAsia"/>
              </w:rPr>
              <w:t>李  鹏</w:t>
            </w:r>
          </w:p>
        </w:tc>
      </w:tr>
      <w:tr w14:paraId="49C18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036B3180">
            <w:pPr>
              <w:ind w:firstLine="0" w:firstLineChars="0"/>
              <w:jc w:val="distribute"/>
            </w:pPr>
            <w:r>
              <w:rPr>
                <w:rFonts w:hint="eastAsia"/>
              </w:rPr>
              <w:t>副组长</w:t>
            </w:r>
          </w:p>
        </w:tc>
        <w:tc>
          <w:tcPr>
            <w:tcW w:w="0" w:type="auto"/>
          </w:tcPr>
          <w:p w14:paraId="37C1E3BC">
            <w:pPr>
              <w:ind w:firstLine="0" w:firstLineChars="0"/>
            </w:pPr>
            <w:r>
              <w:rPr>
                <w:rFonts w:hint="eastAsia"/>
              </w:rPr>
              <w:t>：</w:t>
            </w:r>
          </w:p>
        </w:tc>
        <w:tc>
          <w:tcPr>
            <w:tcW w:w="0" w:type="auto"/>
          </w:tcPr>
          <w:p w14:paraId="07A2B9F3">
            <w:pPr>
              <w:ind w:firstLine="0" w:firstLineChars="0"/>
            </w:pPr>
            <w:r>
              <w:rPr>
                <w:rFonts w:hint="eastAsia"/>
              </w:rPr>
              <w:t>余红卫</w:t>
            </w:r>
          </w:p>
        </w:tc>
      </w:tr>
      <w:tr w14:paraId="44A65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72DC1AFE">
            <w:pPr>
              <w:ind w:firstLine="0" w:firstLineChars="0"/>
              <w:jc w:val="distribute"/>
            </w:pPr>
            <w:r>
              <w:rPr>
                <w:rFonts w:hint="eastAsia"/>
              </w:rPr>
              <w:t>成  员</w:t>
            </w:r>
          </w:p>
        </w:tc>
        <w:tc>
          <w:tcPr>
            <w:tcW w:w="0" w:type="auto"/>
          </w:tcPr>
          <w:p w14:paraId="612F9EC4">
            <w:pPr>
              <w:ind w:firstLine="0" w:firstLineChars="0"/>
            </w:pPr>
            <w:r>
              <w:rPr>
                <w:rFonts w:hint="eastAsia"/>
              </w:rPr>
              <w:t>：</w:t>
            </w:r>
          </w:p>
        </w:tc>
        <w:tc>
          <w:tcPr>
            <w:tcW w:w="0" w:type="auto"/>
          </w:tcPr>
          <w:p w14:paraId="3115B8D2">
            <w:pPr>
              <w:ind w:firstLine="0" w:firstLineChars="0"/>
            </w:pPr>
            <w:r>
              <w:rPr>
                <w:rFonts w:hint="eastAsia"/>
              </w:rPr>
              <w:t>秦天彬　黄　静　罗　群</w:t>
            </w:r>
          </w:p>
          <w:p w14:paraId="16E6FEFD">
            <w:pPr>
              <w:ind w:firstLine="0" w:firstLineChars="0"/>
            </w:pPr>
            <w:r>
              <w:rPr>
                <w:rFonts w:hint="eastAsia"/>
              </w:rPr>
              <w:t>龚定涛　杨学科</w:t>
            </w:r>
          </w:p>
        </w:tc>
      </w:tr>
      <w:tr w14:paraId="3DD9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gridSpan w:val="3"/>
          </w:tcPr>
          <w:p w14:paraId="36C2C5E6">
            <w:pPr>
              <w:ind w:firstLine="0" w:firstLineChars="0"/>
              <w:rPr>
                <w:b/>
              </w:rPr>
            </w:pPr>
            <w:r>
              <w:rPr>
                <w:rFonts w:hint="eastAsia"/>
                <w:b/>
              </w:rPr>
              <w:t>编制工作技术组</w:t>
            </w:r>
          </w:p>
        </w:tc>
      </w:tr>
      <w:tr w14:paraId="1B459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695355FF">
            <w:pPr>
              <w:ind w:firstLine="0" w:firstLineChars="0"/>
              <w:jc w:val="distribute"/>
            </w:pPr>
            <w:r>
              <w:rPr>
                <w:rFonts w:hint="eastAsia"/>
              </w:rPr>
              <w:t>组  长</w:t>
            </w:r>
          </w:p>
        </w:tc>
        <w:tc>
          <w:tcPr>
            <w:tcW w:w="0" w:type="auto"/>
          </w:tcPr>
          <w:p w14:paraId="2B820A6E">
            <w:pPr>
              <w:ind w:firstLine="0" w:firstLineChars="0"/>
            </w:pPr>
            <w:r>
              <w:rPr>
                <w:rFonts w:hint="eastAsia"/>
              </w:rPr>
              <w:t>：</w:t>
            </w:r>
          </w:p>
        </w:tc>
        <w:tc>
          <w:tcPr>
            <w:tcW w:w="0" w:type="auto"/>
          </w:tcPr>
          <w:p w14:paraId="60A7FE32">
            <w:pPr>
              <w:ind w:firstLine="0" w:firstLineChars="0"/>
            </w:pPr>
            <w:r>
              <w:rPr>
                <w:rFonts w:hint="eastAsia"/>
              </w:rPr>
              <w:t>张金元　秦天彬</w:t>
            </w:r>
          </w:p>
        </w:tc>
      </w:tr>
      <w:tr w14:paraId="7262F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7C4D4FEC">
            <w:pPr>
              <w:ind w:firstLine="0" w:firstLineChars="0"/>
              <w:jc w:val="distribute"/>
            </w:pPr>
            <w:r>
              <w:rPr>
                <w:rFonts w:hint="eastAsia"/>
              </w:rPr>
              <w:t>副组长</w:t>
            </w:r>
          </w:p>
        </w:tc>
        <w:tc>
          <w:tcPr>
            <w:tcW w:w="0" w:type="auto"/>
          </w:tcPr>
          <w:p w14:paraId="6CCB8D61">
            <w:pPr>
              <w:ind w:firstLine="0" w:firstLineChars="0"/>
            </w:pPr>
            <w:r>
              <w:rPr>
                <w:rFonts w:hint="eastAsia"/>
              </w:rPr>
              <w:t>：</w:t>
            </w:r>
          </w:p>
        </w:tc>
        <w:tc>
          <w:tcPr>
            <w:tcW w:w="0" w:type="auto"/>
          </w:tcPr>
          <w:p w14:paraId="03744551">
            <w:pPr>
              <w:ind w:firstLine="0" w:firstLineChars="0"/>
            </w:pPr>
            <w:r>
              <w:rPr>
                <w:rFonts w:hint="eastAsia"/>
              </w:rPr>
              <w:t>郭文彦　石爱华　龚定涛</w:t>
            </w:r>
          </w:p>
        </w:tc>
      </w:tr>
      <w:tr w14:paraId="78A5C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60A2134A">
            <w:pPr>
              <w:ind w:firstLine="0" w:firstLineChars="0"/>
              <w:jc w:val="distribute"/>
            </w:pPr>
            <w:r>
              <w:rPr>
                <w:rFonts w:hint="eastAsia"/>
              </w:rPr>
              <w:t>成  员</w:t>
            </w:r>
          </w:p>
        </w:tc>
        <w:tc>
          <w:tcPr>
            <w:tcW w:w="0" w:type="auto"/>
          </w:tcPr>
          <w:p w14:paraId="2FD92F1D">
            <w:pPr>
              <w:ind w:firstLine="0" w:firstLineChars="0"/>
            </w:pPr>
            <w:r>
              <w:rPr>
                <w:rFonts w:hint="eastAsia"/>
              </w:rPr>
              <w:t>：</w:t>
            </w:r>
          </w:p>
        </w:tc>
        <w:tc>
          <w:tcPr>
            <w:tcW w:w="0" w:type="auto"/>
          </w:tcPr>
          <w:p w14:paraId="1B1D5F64">
            <w:pPr>
              <w:ind w:firstLine="0" w:firstLineChars="0"/>
            </w:pPr>
            <w:r>
              <w:rPr>
                <w:rFonts w:hint="eastAsia"/>
              </w:rPr>
              <w:t>袁　杰　凌茂前　杨元杰　</w:t>
            </w:r>
          </w:p>
          <w:p w14:paraId="6312E7E7">
            <w:pPr>
              <w:ind w:firstLine="0" w:firstLineChars="0"/>
            </w:pPr>
            <w:r>
              <w:rPr>
                <w:rFonts w:hint="eastAsia"/>
              </w:rPr>
              <w:t>黄　平　梁　旭　文　俊　</w:t>
            </w:r>
          </w:p>
          <w:p w14:paraId="621C34C0">
            <w:pPr>
              <w:ind w:firstLine="0" w:firstLineChars="0"/>
            </w:pPr>
            <w:r>
              <w:rPr>
                <w:rFonts w:hint="eastAsia"/>
              </w:rPr>
              <w:t>李鹏程　周　军　竹合林</w:t>
            </w:r>
          </w:p>
          <w:p w14:paraId="2DD09C35">
            <w:pPr>
              <w:ind w:firstLine="0" w:firstLineChars="0"/>
            </w:pPr>
            <w:r>
              <w:rPr>
                <w:rFonts w:hint="eastAsia"/>
              </w:rPr>
              <w:t>杨　永　钟强生　胡耀中</w:t>
            </w:r>
          </w:p>
          <w:p w14:paraId="766BC71D">
            <w:pPr>
              <w:ind w:firstLine="0" w:firstLineChars="0"/>
            </w:pPr>
            <w:r>
              <w:rPr>
                <w:rFonts w:hint="eastAsia"/>
              </w:rPr>
              <w:t>袁  野  梁　成  宋桂碧</w:t>
            </w:r>
          </w:p>
        </w:tc>
      </w:tr>
      <w:tr w14:paraId="6B85F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Pr>
          <w:p w14:paraId="2DE37E5A">
            <w:pPr>
              <w:ind w:firstLine="0" w:firstLineChars="0"/>
            </w:pPr>
            <w:r>
              <w:rPr>
                <w:rFonts w:hint="eastAsia"/>
              </w:rPr>
              <w:t>技术指导</w:t>
            </w:r>
          </w:p>
        </w:tc>
        <w:tc>
          <w:tcPr>
            <w:tcW w:w="0" w:type="auto"/>
          </w:tcPr>
          <w:p w14:paraId="73BEC049">
            <w:pPr>
              <w:ind w:firstLine="0" w:firstLineChars="0"/>
            </w:pPr>
            <w:r>
              <w:rPr>
                <w:rFonts w:hint="eastAsia"/>
              </w:rPr>
              <w:t>：</w:t>
            </w:r>
          </w:p>
        </w:tc>
        <w:tc>
          <w:tcPr>
            <w:tcW w:w="0" w:type="auto"/>
          </w:tcPr>
          <w:p w14:paraId="2CE69ACE">
            <w:pPr>
              <w:ind w:firstLine="0" w:firstLineChars="0"/>
            </w:pPr>
            <w:r>
              <w:rPr>
                <w:rFonts w:hint="eastAsia"/>
              </w:rPr>
              <w:t xml:space="preserve">陈天伦　韩思定　李　众 </w:t>
            </w:r>
          </w:p>
          <w:p w14:paraId="6D9B1FB8">
            <w:pPr>
              <w:ind w:firstLine="0" w:firstLineChars="0"/>
            </w:pPr>
            <w:r>
              <w:rPr>
                <w:rFonts w:hint="eastAsia"/>
              </w:rPr>
              <w:t>孙冀川　杨静雪　王　嘉</w:t>
            </w:r>
          </w:p>
        </w:tc>
      </w:tr>
    </w:tbl>
    <w:p w14:paraId="20D149D0">
      <w:pPr>
        <w:ind w:firstLine="640"/>
        <w:sectPr>
          <w:pgSz w:w="11906" w:h="16838"/>
          <w:pgMar w:top="1440" w:right="1440" w:bottom="1440" w:left="1440" w:header="851" w:footer="992" w:gutter="284"/>
          <w:cols w:space="425" w:num="1"/>
          <w:docGrid w:linePitch="435" w:charSpace="0"/>
        </w:sectPr>
      </w:pPr>
    </w:p>
    <w:p w14:paraId="1EBA3496">
      <w:pPr>
        <w:ind w:firstLine="640"/>
      </w:pPr>
    </w:p>
    <w:p w14:paraId="0F056710">
      <w:pPr>
        <w:ind w:firstLine="0" w:firstLineChars="0"/>
        <w:jc w:val="center"/>
        <w:rPr>
          <w:b/>
          <w:sz w:val="36"/>
          <w:szCs w:val="36"/>
        </w:rPr>
      </w:pPr>
      <w:r>
        <w:rPr>
          <w:rFonts w:hint="eastAsia"/>
          <w:b/>
          <w:sz w:val="36"/>
          <w:szCs w:val="36"/>
        </w:rPr>
        <w:t>目  录</w:t>
      </w:r>
    </w:p>
    <w:p w14:paraId="7ED6FC15">
      <w:pPr>
        <w:pStyle w:val="15"/>
        <w:rPr>
          <w:rFonts w:asciiTheme="minorHAnsi" w:hAnsiTheme="minorHAnsi" w:eastAsiaTheme="minorEastAsia"/>
          <w:kern w:val="2"/>
          <w:sz w:val="21"/>
          <w:szCs w:val="22"/>
        </w:rPr>
      </w:pPr>
      <w:r>
        <w:fldChar w:fldCharType="begin"/>
      </w:r>
      <w:r>
        <w:instrText xml:space="preserve"> </w:instrText>
      </w:r>
      <w:r>
        <w:rPr>
          <w:rFonts w:hint="eastAsia"/>
        </w:rPr>
        <w:instrText xml:space="preserve">TOC \o "1-3" \u</w:instrText>
      </w:r>
      <w:r>
        <w:instrText xml:space="preserve"> </w:instrText>
      </w:r>
      <w:r>
        <w:fldChar w:fldCharType="separate"/>
      </w:r>
      <w:r>
        <w:rPr>
          <w:rFonts w:hint="eastAsia"/>
        </w:rPr>
        <w:t>总则</w:t>
      </w:r>
      <w:r>
        <w:tab/>
      </w:r>
      <w:r>
        <w:fldChar w:fldCharType="begin"/>
      </w:r>
      <w:r>
        <w:instrText xml:space="preserve"> PAGEREF _Toc482798144 \h </w:instrText>
      </w:r>
      <w:r>
        <w:fldChar w:fldCharType="separate"/>
      </w:r>
      <w:r>
        <w:t>1</w:t>
      </w:r>
      <w:r>
        <w:fldChar w:fldCharType="end"/>
      </w:r>
    </w:p>
    <w:p w14:paraId="231C3584">
      <w:pPr>
        <w:pStyle w:val="15"/>
        <w:rPr>
          <w:rFonts w:asciiTheme="minorHAnsi" w:hAnsiTheme="minorHAnsi" w:eastAsiaTheme="minorEastAsia"/>
          <w:kern w:val="2"/>
          <w:sz w:val="21"/>
          <w:szCs w:val="22"/>
        </w:rPr>
      </w:pPr>
      <w:r>
        <w:t>1</w:t>
      </w:r>
      <w:r>
        <w:rPr>
          <w:rFonts w:hint="eastAsia"/>
        </w:rPr>
        <w:t xml:space="preserve"> 现状与形势</w:t>
      </w:r>
      <w:r>
        <w:tab/>
      </w:r>
      <w:r>
        <w:fldChar w:fldCharType="begin"/>
      </w:r>
      <w:r>
        <w:instrText xml:space="preserve"> PAGEREF _Toc482798145 \h </w:instrText>
      </w:r>
      <w:r>
        <w:fldChar w:fldCharType="separate"/>
      </w:r>
      <w:r>
        <w:t>3</w:t>
      </w:r>
      <w:r>
        <w:fldChar w:fldCharType="end"/>
      </w:r>
    </w:p>
    <w:p w14:paraId="6C6E0CE4">
      <w:pPr>
        <w:pStyle w:val="16"/>
        <w:rPr>
          <w:rFonts w:asciiTheme="minorHAnsi" w:hAnsiTheme="minorHAnsi" w:eastAsiaTheme="minorEastAsia"/>
          <w:kern w:val="2"/>
          <w:sz w:val="21"/>
          <w:szCs w:val="22"/>
        </w:rPr>
      </w:pPr>
      <w:r>
        <w:t>1.1</w:t>
      </w:r>
      <w:r>
        <w:rPr>
          <w:rFonts w:hint="eastAsia"/>
        </w:rPr>
        <w:t xml:space="preserve"> 乐山市地理概况</w:t>
      </w:r>
      <w:r>
        <w:tab/>
      </w:r>
      <w:r>
        <w:fldChar w:fldCharType="begin"/>
      </w:r>
      <w:r>
        <w:instrText xml:space="preserve"> PAGEREF _Toc482798146 \h </w:instrText>
      </w:r>
      <w:r>
        <w:fldChar w:fldCharType="separate"/>
      </w:r>
      <w:r>
        <w:t>3</w:t>
      </w:r>
      <w:r>
        <w:fldChar w:fldCharType="end"/>
      </w:r>
    </w:p>
    <w:p w14:paraId="43438C9E">
      <w:pPr>
        <w:pStyle w:val="16"/>
        <w:rPr>
          <w:rFonts w:asciiTheme="minorHAnsi" w:hAnsiTheme="minorHAnsi" w:eastAsiaTheme="minorEastAsia"/>
          <w:kern w:val="2"/>
          <w:sz w:val="21"/>
          <w:szCs w:val="22"/>
        </w:rPr>
      </w:pPr>
      <w:r>
        <w:t>1.2</w:t>
      </w:r>
      <w:r>
        <w:rPr>
          <w:rFonts w:hint="eastAsia"/>
        </w:rPr>
        <w:t xml:space="preserve"> 矿产资源概况及开发利用现状</w:t>
      </w:r>
      <w:r>
        <w:tab/>
      </w:r>
      <w:r>
        <w:fldChar w:fldCharType="begin"/>
      </w:r>
      <w:r>
        <w:instrText xml:space="preserve"> PAGEREF _Toc482798147 \h </w:instrText>
      </w:r>
      <w:r>
        <w:fldChar w:fldCharType="separate"/>
      </w:r>
      <w:r>
        <w:t>3</w:t>
      </w:r>
      <w:r>
        <w:fldChar w:fldCharType="end"/>
      </w:r>
    </w:p>
    <w:p w14:paraId="02B9D952">
      <w:pPr>
        <w:pStyle w:val="12"/>
        <w:rPr>
          <w:rFonts w:asciiTheme="minorHAnsi" w:hAnsiTheme="minorHAnsi" w:eastAsiaTheme="minorEastAsia"/>
          <w:kern w:val="2"/>
          <w:sz w:val="21"/>
          <w:szCs w:val="22"/>
        </w:rPr>
      </w:pPr>
      <w:r>
        <w:t>1.2.1</w:t>
      </w:r>
      <w:r>
        <w:rPr>
          <w:rFonts w:hint="eastAsia"/>
        </w:rPr>
        <w:t xml:space="preserve"> 矿产资源概况</w:t>
      </w:r>
      <w:r>
        <w:tab/>
      </w:r>
      <w:r>
        <w:fldChar w:fldCharType="begin"/>
      </w:r>
      <w:r>
        <w:instrText xml:space="preserve"> PAGEREF _Toc482798148 \h </w:instrText>
      </w:r>
      <w:r>
        <w:fldChar w:fldCharType="separate"/>
      </w:r>
      <w:r>
        <w:t>3</w:t>
      </w:r>
      <w:r>
        <w:fldChar w:fldCharType="end"/>
      </w:r>
    </w:p>
    <w:p w14:paraId="754F78B7">
      <w:pPr>
        <w:pStyle w:val="12"/>
        <w:rPr>
          <w:rFonts w:asciiTheme="minorHAnsi" w:hAnsiTheme="minorHAnsi" w:eastAsiaTheme="minorEastAsia"/>
          <w:kern w:val="2"/>
          <w:sz w:val="21"/>
          <w:szCs w:val="22"/>
        </w:rPr>
      </w:pPr>
      <w:r>
        <w:t>1.2.2</w:t>
      </w:r>
      <w:r>
        <w:rPr>
          <w:rFonts w:hint="eastAsia"/>
        </w:rPr>
        <w:t xml:space="preserve"> 开发利用现状</w:t>
      </w:r>
      <w:r>
        <w:tab/>
      </w:r>
      <w:r>
        <w:fldChar w:fldCharType="begin"/>
      </w:r>
      <w:r>
        <w:instrText xml:space="preserve"> PAGEREF _Toc482798149 \h </w:instrText>
      </w:r>
      <w:r>
        <w:fldChar w:fldCharType="separate"/>
      </w:r>
      <w:r>
        <w:t>4</w:t>
      </w:r>
      <w:r>
        <w:fldChar w:fldCharType="end"/>
      </w:r>
    </w:p>
    <w:p w14:paraId="6D364739">
      <w:pPr>
        <w:pStyle w:val="16"/>
        <w:rPr>
          <w:rFonts w:asciiTheme="minorHAnsi" w:hAnsiTheme="minorHAnsi" w:eastAsiaTheme="minorEastAsia"/>
          <w:kern w:val="2"/>
          <w:sz w:val="21"/>
          <w:szCs w:val="22"/>
        </w:rPr>
      </w:pPr>
      <w:r>
        <w:t>1.3</w:t>
      </w:r>
      <w:r>
        <w:rPr>
          <w:rFonts w:hint="eastAsia"/>
        </w:rPr>
        <w:t xml:space="preserve"> 形势与要求</w:t>
      </w:r>
      <w:r>
        <w:tab/>
      </w:r>
      <w:r>
        <w:fldChar w:fldCharType="begin"/>
      </w:r>
      <w:r>
        <w:instrText xml:space="preserve"> PAGEREF _Toc482798150 \h </w:instrText>
      </w:r>
      <w:r>
        <w:fldChar w:fldCharType="separate"/>
      </w:r>
      <w:r>
        <w:t>7</w:t>
      </w:r>
      <w:r>
        <w:fldChar w:fldCharType="end"/>
      </w:r>
    </w:p>
    <w:p w14:paraId="6663B1EC">
      <w:pPr>
        <w:pStyle w:val="15"/>
        <w:rPr>
          <w:rFonts w:asciiTheme="minorHAnsi" w:hAnsiTheme="minorHAnsi" w:eastAsiaTheme="minorEastAsia"/>
          <w:kern w:val="2"/>
          <w:sz w:val="21"/>
          <w:szCs w:val="22"/>
        </w:rPr>
      </w:pPr>
      <w:r>
        <w:t>2</w:t>
      </w:r>
      <w:r>
        <w:rPr>
          <w:rFonts w:hint="eastAsia"/>
        </w:rPr>
        <w:t xml:space="preserve"> 指导原则与目标</w:t>
      </w:r>
      <w:r>
        <w:tab/>
      </w:r>
      <w:r>
        <w:fldChar w:fldCharType="begin"/>
      </w:r>
      <w:r>
        <w:instrText xml:space="preserve"> PAGEREF _Toc482798151 \h </w:instrText>
      </w:r>
      <w:r>
        <w:fldChar w:fldCharType="separate"/>
      </w:r>
      <w:r>
        <w:t>10</w:t>
      </w:r>
      <w:r>
        <w:fldChar w:fldCharType="end"/>
      </w:r>
    </w:p>
    <w:p w14:paraId="7D6A60B4">
      <w:pPr>
        <w:pStyle w:val="16"/>
        <w:rPr>
          <w:rFonts w:asciiTheme="minorHAnsi" w:hAnsiTheme="minorHAnsi" w:eastAsiaTheme="minorEastAsia"/>
          <w:kern w:val="2"/>
          <w:sz w:val="21"/>
          <w:szCs w:val="22"/>
        </w:rPr>
      </w:pPr>
      <w:r>
        <w:t>2.1</w:t>
      </w:r>
      <w:r>
        <w:rPr>
          <w:rFonts w:hint="eastAsia"/>
        </w:rPr>
        <w:t xml:space="preserve"> 指导原则</w:t>
      </w:r>
      <w:r>
        <w:tab/>
      </w:r>
      <w:r>
        <w:fldChar w:fldCharType="begin"/>
      </w:r>
      <w:r>
        <w:instrText xml:space="preserve"> PAGEREF _Toc482798152 \h </w:instrText>
      </w:r>
      <w:r>
        <w:fldChar w:fldCharType="separate"/>
      </w:r>
      <w:r>
        <w:t>10</w:t>
      </w:r>
      <w:r>
        <w:fldChar w:fldCharType="end"/>
      </w:r>
    </w:p>
    <w:p w14:paraId="7DBD8B47">
      <w:pPr>
        <w:pStyle w:val="12"/>
        <w:rPr>
          <w:rFonts w:asciiTheme="minorHAnsi" w:hAnsiTheme="minorHAnsi" w:eastAsiaTheme="minorEastAsia"/>
          <w:kern w:val="2"/>
          <w:sz w:val="21"/>
          <w:szCs w:val="22"/>
        </w:rPr>
      </w:pPr>
      <w:r>
        <w:t>2.1.1</w:t>
      </w:r>
      <w:r>
        <w:rPr>
          <w:rFonts w:hint="eastAsia"/>
        </w:rPr>
        <w:t xml:space="preserve"> 指导思想</w:t>
      </w:r>
      <w:r>
        <w:tab/>
      </w:r>
      <w:r>
        <w:fldChar w:fldCharType="begin"/>
      </w:r>
      <w:r>
        <w:instrText xml:space="preserve"> PAGEREF _Toc482798153 \h </w:instrText>
      </w:r>
      <w:r>
        <w:fldChar w:fldCharType="separate"/>
      </w:r>
      <w:r>
        <w:t>10</w:t>
      </w:r>
      <w:r>
        <w:fldChar w:fldCharType="end"/>
      </w:r>
    </w:p>
    <w:p w14:paraId="2DA2F6DD">
      <w:pPr>
        <w:pStyle w:val="12"/>
        <w:rPr>
          <w:rFonts w:asciiTheme="minorHAnsi" w:hAnsiTheme="minorHAnsi" w:eastAsiaTheme="minorEastAsia"/>
          <w:kern w:val="2"/>
          <w:sz w:val="21"/>
          <w:szCs w:val="22"/>
        </w:rPr>
      </w:pPr>
      <w:r>
        <w:t>2.1.2</w:t>
      </w:r>
      <w:r>
        <w:rPr>
          <w:rFonts w:hint="eastAsia"/>
        </w:rPr>
        <w:t xml:space="preserve"> 基本原则</w:t>
      </w:r>
      <w:r>
        <w:tab/>
      </w:r>
      <w:r>
        <w:fldChar w:fldCharType="begin"/>
      </w:r>
      <w:r>
        <w:instrText xml:space="preserve"> PAGEREF _Toc482798154 \h </w:instrText>
      </w:r>
      <w:r>
        <w:fldChar w:fldCharType="separate"/>
      </w:r>
      <w:r>
        <w:t>10</w:t>
      </w:r>
      <w:r>
        <w:fldChar w:fldCharType="end"/>
      </w:r>
    </w:p>
    <w:p w14:paraId="08881CA3">
      <w:pPr>
        <w:pStyle w:val="16"/>
        <w:rPr>
          <w:rFonts w:asciiTheme="minorHAnsi" w:hAnsiTheme="minorHAnsi" w:eastAsiaTheme="minorEastAsia"/>
          <w:kern w:val="2"/>
          <w:sz w:val="21"/>
          <w:szCs w:val="22"/>
        </w:rPr>
      </w:pPr>
      <w:r>
        <w:t>2.2</w:t>
      </w:r>
      <w:r>
        <w:rPr>
          <w:rFonts w:hint="eastAsia"/>
        </w:rPr>
        <w:t xml:space="preserve"> 规划目标</w:t>
      </w:r>
      <w:r>
        <w:tab/>
      </w:r>
      <w:r>
        <w:fldChar w:fldCharType="begin"/>
      </w:r>
      <w:r>
        <w:instrText xml:space="preserve"> PAGEREF _Toc482798155 \h </w:instrText>
      </w:r>
      <w:r>
        <w:fldChar w:fldCharType="separate"/>
      </w:r>
      <w:r>
        <w:t>12</w:t>
      </w:r>
      <w:r>
        <w:fldChar w:fldCharType="end"/>
      </w:r>
    </w:p>
    <w:p w14:paraId="2C42415E">
      <w:pPr>
        <w:pStyle w:val="12"/>
        <w:rPr>
          <w:rFonts w:asciiTheme="minorHAnsi" w:hAnsiTheme="minorHAnsi" w:eastAsiaTheme="minorEastAsia"/>
          <w:kern w:val="2"/>
          <w:sz w:val="21"/>
          <w:szCs w:val="22"/>
        </w:rPr>
      </w:pPr>
      <w:r>
        <w:t>2.2.1</w:t>
      </w:r>
      <w:r>
        <w:rPr>
          <w:rFonts w:hint="eastAsia"/>
        </w:rPr>
        <w:t xml:space="preserve"> 加强矿产资源开发与保护，增强矿产品供给能力</w:t>
      </w:r>
      <w:r>
        <w:tab/>
      </w:r>
      <w:r>
        <w:fldChar w:fldCharType="begin"/>
      </w:r>
      <w:r>
        <w:instrText xml:space="preserve"> PAGEREF _Toc482798156 \h </w:instrText>
      </w:r>
      <w:r>
        <w:fldChar w:fldCharType="separate"/>
      </w:r>
      <w:r>
        <w:t>12</w:t>
      </w:r>
      <w:r>
        <w:fldChar w:fldCharType="end"/>
      </w:r>
    </w:p>
    <w:p w14:paraId="02761EBB">
      <w:pPr>
        <w:pStyle w:val="12"/>
        <w:rPr>
          <w:rFonts w:asciiTheme="minorHAnsi" w:hAnsiTheme="minorHAnsi" w:eastAsiaTheme="minorEastAsia"/>
          <w:kern w:val="2"/>
          <w:sz w:val="21"/>
          <w:szCs w:val="22"/>
        </w:rPr>
      </w:pPr>
      <w:r>
        <w:t>2.2.2</w:t>
      </w:r>
      <w:r>
        <w:rPr>
          <w:rFonts w:hint="eastAsia"/>
        </w:rPr>
        <w:t xml:space="preserve"> 加快推进矿业转型升级与绿色发展，保住绿水青山</w:t>
      </w:r>
      <w:r>
        <w:tab/>
      </w:r>
      <w:r>
        <w:fldChar w:fldCharType="begin"/>
      </w:r>
      <w:r>
        <w:instrText xml:space="preserve"> PAGEREF _Toc482798157 \h </w:instrText>
      </w:r>
      <w:r>
        <w:fldChar w:fldCharType="separate"/>
      </w:r>
      <w:r>
        <w:t>13</w:t>
      </w:r>
      <w:r>
        <w:fldChar w:fldCharType="end"/>
      </w:r>
    </w:p>
    <w:p w14:paraId="2CE6164C">
      <w:pPr>
        <w:pStyle w:val="12"/>
        <w:rPr>
          <w:rFonts w:asciiTheme="minorHAnsi" w:hAnsiTheme="minorHAnsi" w:eastAsiaTheme="minorEastAsia"/>
          <w:kern w:val="2"/>
          <w:sz w:val="21"/>
          <w:szCs w:val="22"/>
        </w:rPr>
      </w:pPr>
      <w:r>
        <w:t>2.2.3</w:t>
      </w:r>
      <w:r>
        <w:rPr>
          <w:rFonts w:hint="eastAsia"/>
        </w:rPr>
        <w:t xml:space="preserve"> 推进绿色矿山建设示范试点工作</w:t>
      </w:r>
      <w:r>
        <w:tab/>
      </w:r>
      <w:r>
        <w:fldChar w:fldCharType="begin"/>
      </w:r>
      <w:r>
        <w:instrText xml:space="preserve"> PAGEREF _Toc482798158 \h </w:instrText>
      </w:r>
      <w:r>
        <w:fldChar w:fldCharType="separate"/>
      </w:r>
      <w:r>
        <w:t>13</w:t>
      </w:r>
      <w:r>
        <w:fldChar w:fldCharType="end"/>
      </w:r>
    </w:p>
    <w:p w14:paraId="055DCE4D">
      <w:pPr>
        <w:pStyle w:val="12"/>
        <w:rPr>
          <w:rFonts w:asciiTheme="minorHAnsi" w:hAnsiTheme="minorHAnsi" w:eastAsiaTheme="minorEastAsia"/>
          <w:kern w:val="2"/>
          <w:sz w:val="21"/>
          <w:szCs w:val="22"/>
        </w:rPr>
      </w:pPr>
      <w:r>
        <w:t>2.2.4</w:t>
      </w:r>
      <w:r>
        <w:rPr>
          <w:rFonts w:hint="eastAsia"/>
        </w:rPr>
        <w:t xml:space="preserve"> 矿产资源开发利用“三率”指标达到或超过国家标准</w:t>
      </w:r>
      <w:r>
        <w:tab/>
      </w:r>
      <w:r>
        <w:fldChar w:fldCharType="begin"/>
      </w:r>
      <w:r>
        <w:instrText xml:space="preserve"> PAGEREF _Toc482798159 \h </w:instrText>
      </w:r>
      <w:r>
        <w:fldChar w:fldCharType="separate"/>
      </w:r>
      <w:r>
        <w:t>14</w:t>
      </w:r>
      <w:r>
        <w:fldChar w:fldCharType="end"/>
      </w:r>
    </w:p>
    <w:p w14:paraId="70B3EA24">
      <w:pPr>
        <w:pStyle w:val="12"/>
        <w:rPr>
          <w:rFonts w:asciiTheme="minorHAnsi" w:hAnsiTheme="minorHAnsi" w:eastAsiaTheme="minorEastAsia"/>
          <w:kern w:val="2"/>
          <w:sz w:val="21"/>
          <w:szCs w:val="22"/>
        </w:rPr>
      </w:pPr>
      <w:r>
        <w:t>2.2.5</w:t>
      </w:r>
      <w:r>
        <w:rPr>
          <w:rFonts w:hint="eastAsia"/>
        </w:rPr>
        <w:t xml:space="preserve"> 加快矿山环境恢复治理和矿区土地复垦，全面实现绿色化发展和生态文明建设</w:t>
      </w:r>
      <w:r>
        <w:tab/>
      </w:r>
      <w:r>
        <w:fldChar w:fldCharType="begin"/>
      </w:r>
      <w:r>
        <w:instrText xml:space="preserve"> PAGEREF _Toc482798160 \h </w:instrText>
      </w:r>
      <w:r>
        <w:fldChar w:fldCharType="separate"/>
      </w:r>
      <w:r>
        <w:t>14</w:t>
      </w:r>
      <w:r>
        <w:fldChar w:fldCharType="end"/>
      </w:r>
    </w:p>
    <w:p w14:paraId="4D0F6EF8">
      <w:pPr>
        <w:pStyle w:val="12"/>
        <w:rPr>
          <w:rFonts w:asciiTheme="minorHAnsi" w:hAnsiTheme="minorHAnsi" w:eastAsiaTheme="minorEastAsia"/>
          <w:kern w:val="2"/>
          <w:sz w:val="21"/>
          <w:szCs w:val="22"/>
        </w:rPr>
      </w:pPr>
      <w:r>
        <w:t>2.2.6</w:t>
      </w:r>
      <w:r>
        <w:rPr>
          <w:rFonts w:hint="eastAsia"/>
        </w:rPr>
        <w:t xml:space="preserve"> 矿产资源管理能力与水平明显提升</w:t>
      </w:r>
      <w:r>
        <w:tab/>
      </w:r>
      <w:r>
        <w:fldChar w:fldCharType="begin"/>
      </w:r>
      <w:r>
        <w:instrText xml:space="preserve"> PAGEREF _Toc482798161 \h </w:instrText>
      </w:r>
      <w:r>
        <w:fldChar w:fldCharType="separate"/>
      </w:r>
      <w:r>
        <w:t>14</w:t>
      </w:r>
      <w:r>
        <w:fldChar w:fldCharType="end"/>
      </w:r>
    </w:p>
    <w:p w14:paraId="3784031D">
      <w:pPr>
        <w:pStyle w:val="12"/>
        <w:rPr>
          <w:rFonts w:asciiTheme="minorHAnsi" w:hAnsiTheme="minorHAnsi" w:eastAsiaTheme="minorEastAsia"/>
          <w:kern w:val="2"/>
          <w:sz w:val="21"/>
          <w:szCs w:val="22"/>
        </w:rPr>
      </w:pPr>
      <w:r>
        <w:t>2.2.7</w:t>
      </w:r>
      <w:r>
        <w:rPr>
          <w:rFonts w:hint="eastAsia"/>
        </w:rPr>
        <w:t xml:space="preserve"> 合理开发利用与保护矿产资源</w:t>
      </w:r>
      <w:r>
        <w:tab/>
      </w:r>
      <w:r>
        <w:fldChar w:fldCharType="begin"/>
      </w:r>
      <w:r>
        <w:instrText xml:space="preserve"> PAGEREF _Toc482798162 \h </w:instrText>
      </w:r>
      <w:r>
        <w:fldChar w:fldCharType="separate"/>
      </w:r>
      <w:r>
        <w:t>15</w:t>
      </w:r>
      <w:r>
        <w:fldChar w:fldCharType="end"/>
      </w:r>
    </w:p>
    <w:p w14:paraId="7CC7140D">
      <w:pPr>
        <w:pStyle w:val="15"/>
        <w:rPr>
          <w:rFonts w:asciiTheme="minorHAnsi" w:hAnsiTheme="minorHAnsi" w:eastAsiaTheme="minorEastAsia"/>
          <w:kern w:val="2"/>
          <w:sz w:val="21"/>
          <w:szCs w:val="22"/>
        </w:rPr>
      </w:pPr>
      <w:r>
        <w:t>3</w:t>
      </w:r>
      <w:r>
        <w:rPr>
          <w:rFonts w:hint="eastAsia"/>
        </w:rPr>
        <w:t xml:space="preserve"> 矿产开发与资源产业布局</w:t>
      </w:r>
      <w:r>
        <w:tab/>
      </w:r>
      <w:r>
        <w:fldChar w:fldCharType="begin"/>
      </w:r>
      <w:r>
        <w:instrText xml:space="preserve"> PAGEREF _Toc482798163 \h </w:instrText>
      </w:r>
      <w:r>
        <w:fldChar w:fldCharType="separate"/>
      </w:r>
      <w:r>
        <w:t>17</w:t>
      </w:r>
      <w:r>
        <w:fldChar w:fldCharType="end"/>
      </w:r>
    </w:p>
    <w:p w14:paraId="60302F88">
      <w:pPr>
        <w:pStyle w:val="16"/>
        <w:rPr>
          <w:rFonts w:asciiTheme="minorHAnsi" w:hAnsiTheme="minorHAnsi" w:eastAsiaTheme="minorEastAsia"/>
          <w:kern w:val="2"/>
          <w:sz w:val="21"/>
          <w:szCs w:val="22"/>
        </w:rPr>
      </w:pPr>
      <w:r>
        <w:t>3.1</w:t>
      </w:r>
      <w:r>
        <w:rPr>
          <w:rFonts w:hint="eastAsia"/>
        </w:rPr>
        <w:t xml:space="preserve"> 矿产资源勘查开发调控方向</w:t>
      </w:r>
      <w:r>
        <w:tab/>
      </w:r>
      <w:r>
        <w:fldChar w:fldCharType="begin"/>
      </w:r>
      <w:r>
        <w:instrText xml:space="preserve"> PAGEREF _Toc482798164 \h </w:instrText>
      </w:r>
      <w:r>
        <w:fldChar w:fldCharType="separate"/>
      </w:r>
      <w:r>
        <w:t>17</w:t>
      </w:r>
      <w:r>
        <w:fldChar w:fldCharType="end"/>
      </w:r>
    </w:p>
    <w:p w14:paraId="3CAB591C">
      <w:pPr>
        <w:pStyle w:val="16"/>
        <w:rPr>
          <w:rFonts w:asciiTheme="minorHAnsi" w:hAnsiTheme="minorHAnsi" w:eastAsiaTheme="minorEastAsia"/>
          <w:kern w:val="2"/>
          <w:sz w:val="21"/>
          <w:szCs w:val="22"/>
        </w:rPr>
      </w:pPr>
      <w:r>
        <w:t>3.2</w:t>
      </w:r>
      <w:r>
        <w:rPr>
          <w:rFonts w:hint="eastAsia"/>
        </w:rPr>
        <w:t xml:space="preserve"> 矿产资源产业重点发展区域</w:t>
      </w:r>
      <w:r>
        <w:tab/>
      </w:r>
      <w:r>
        <w:fldChar w:fldCharType="begin"/>
      </w:r>
      <w:r>
        <w:instrText xml:space="preserve"> PAGEREF _Toc482798165 \h </w:instrText>
      </w:r>
      <w:r>
        <w:fldChar w:fldCharType="separate"/>
      </w:r>
      <w:r>
        <w:t>21</w:t>
      </w:r>
      <w:r>
        <w:fldChar w:fldCharType="end"/>
      </w:r>
    </w:p>
    <w:p w14:paraId="0067AB8A">
      <w:pPr>
        <w:pStyle w:val="12"/>
        <w:rPr>
          <w:rFonts w:asciiTheme="minorHAnsi" w:hAnsiTheme="minorHAnsi" w:eastAsiaTheme="minorEastAsia"/>
          <w:kern w:val="2"/>
          <w:sz w:val="21"/>
          <w:szCs w:val="22"/>
        </w:rPr>
      </w:pPr>
      <w:r>
        <w:t>3.2.1</w:t>
      </w:r>
      <w:r>
        <w:rPr>
          <w:rFonts w:hint="eastAsia"/>
        </w:rPr>
        <w:t xml:space="preserve"> 规划重点开发区和重点工程</w:t>
      </w:r>
      <w:r>
        <w:tab/>
      </w:r>
      <w:r>
        <w:fldChar w:fldCharType="begin"/>
      </w:r>
      <w:r>
        <w:instrText xml:space="preserve"> PAGEREF _Toc482798166 \h </w:instrText>
      </w:r>
      <w:r>
        <w:fldChar w:fldCharType="separate"/>
      </w:r>
      <w:r>
        <w:t>21</w:t>
      </w:r>
      <w:r>
        <w:fldChar w:fldCharType="end"/>
      </w:r>
    </w:p>
    <w:p w14:paraId="47DE3391">
      <w:pPr>
        <w:pStyle w:val="12"/>
        <w:rPr>
          <w:rFonts w:asciiTheme="minorHAnsi" w:hAnsiTheme="minorHAnsi" w:eastAsiaTheme="minorEastAsia"/>
          <w:kern w:val="2"/>
          <w:sz w:val="21"/>
          <w:szCs w:val="22"/>
        </w:rPr>
      </w:pPr>
      <w:r>
        <w:t>3.2.2</w:t>
      </w:r>
      <w:r>
        <w:rPr>
          <w:rFonts w:hint="eastAsia"/>
        </w:rPr>
        <w:t xml:space="preserve"> 勘查开发规划区划分</w:t>
      </w:r>
      <w:r>
        <w:tab/>
      </w:r>
      <w:r>
        <w:fldChar w:fldCharType="begin"/>
      </w:r>
      <w:r>
        <w:instrText xml:space="preserve"> PAGEREF _Toc482798167 \h </w:instrText>
      </w:r>
      <w:r>
        <w:fldChar w:fldCharType="separate"/>
      </w:r>
      <w:r>
        <w:t>22</w:t>
      </w:r>
      <w:r>
        <w:fldChar w:fldCharType="end"/>
      </w:r>
    </w:p>
    <w:p w14:paraId="00143B38">
      <w:pPr>
        <w:pStyle w:val="12"/>
        <w:rPr>
          <w:rFonts w:asciiTheme="minorHAnsi" w:hAnsiTheme="minorHAnsi" w:eastAsiaTheme="minorEastAsia"/>
          <w:kern w:val="2"/>
          <w:sz w:val="21"/>
          <w:szCs w:val="22"/>
        </w:rPr>
      </w:pPr>
      <w:r>
        <w:t>3.2.3</w:t>
      </w:r>
      <w:r>
        <w:rPr>
          <w:rFonts w:hint="eastAsia"/>
        </w:rPr>
        <w:t xml:space="preserve"> 勘查规划区块管理</w:t>
      </w:r>
      <w:r>
        <w:tab/>
      </w:r>
      <w:r>
        <w:fldChar w:fldCharType="begin"/>
      </w:r>
      <w:r>
        <w:instrText xml:space="preserve"> PAGEREF _Toc482798168 \h </w:instrText>
      </w:r>
      <w:r>
        <w:fldChar w:fldCharType="separate"/>
      </w:r>
      <w:r>
        <w:t>29</w:t>
      </w:r>
      <w:r>
        <w:fldChar w:fldCharType="end"/>
      </w:r>
    </w:p>
    <w:p w14:paraId="6E4D23D8">
      <w:pPr>
        <w:pStyle w:val="16"/>
        <w:rPr>
          <w:rFonts w:asciiTheme="minorHAnsi" w:hAnsiTheme="minorHAnsi" w:eastAsiaTheme="minorEastAsia"/>
          <w:kern w:val="2"/>
          <w:sz w:val="21"/>
          <w:szCs w:val="22"/>
        </w:rPr>
      </w:pPr>
      <w:r>
        <w:t>3.3</w:t>
      </w:r>
      <w:r>
        <w:rPr>
          <w:rFonts w:hint="eastAsia"/>
        </w:rPr>
        <w:t xml:space="preserve"> 矿业布局优化调整与转型升级</w:t>
      </w:r>
      <w:r>
        <w:tab/>
      </w:r>
      <w:r>
        <w:fldChar w:fldCharType="begin"/>
      </w:r>
      <w:r>
        <w:instrText xml:space="preserve"> PAGEREF _Toc482798169 \h </w:instrText>
      </w:r>
      <w:r>
        <w:fldChar w:fldCharType="separate"/>
      </w:r>
      <w:r>
        <w:t>29</w:t>
      </w:r>
      <w:r>
        <w:fldChar w:fldCharType="end"/>
      </w:r>
    </w:p>
    <w:p w14:paraId="63D0A1A6">
      <w:pPr>
        <w:pStyle w:val="12"/>
        <w:rPr>
          <w:rFonts w:asciiTheme="minorHAnsi" w:hAnsiTheme="minorHAnsi" w:eastAsiaTheme="minorEastAsia"/>
          <w:kern w:val="2"/>
          <w:sz w:val="21"/>
          <w:szCs w:val="22"/>
        </w:rPr>
      </w:pPr>
      <w:r>
        <w:t>3.3.1</w:t>
      </w:r>
      <w:r>
        <w:rPr>
          <w:rFonts w:hint="eastAsia"/>
        </w:rPr>
        <w:t xml:space="preserve"> 开发利用结构调整</w:t>
      </w:r>
      <w:r>
        <w:tab/>
      </w:r>
      <w:r>
        <w:fldChar w:fldCharType="begin"/>
      </w:r>
      <w:r>
        <w:instrText xml:space="preserve"> PAGEREF _Toc482798170 \h </w:instrText>
      </w:r>
      <w:r>
        <w:fldChar w:fldCharType="separate"/>
      </w:r>
      <w:r>
        <w:t>29</w:t>
      </w:r>
      <w:r>
        <w:fldChar w:fldCharType="end"/>
      </w:r>
    </w:p>
    <w:p w14:paraId="62B8A6D4">
      <w:pPr>
        <w:pStyle w:val="12"/>
        <w:rPr>
          <w:rFonts w:asciiTheme="minorHAnsi" w:hAnsiTheme="minorHAnsi" w:eastAsiaTheme="minorEastAsia"/>
          <w:kern w:val="2"/>
          <w:sz w:val="21"/>
          <w:szCs w:val="22"/>
        </w:rPr>
      </w:pPr>
      <w:r>
        <w:t>3.3.2</w:t>
      </w:r>
      <w:r>
        <w:rPr>
          <w:rFonts w:hint="eastAsia"/>
        </w:rPr>
        <w:t xml:space="preserve"> 优化矿山规模结构</w:t>
      </w:r>
      <w:r>
        <w:tab/>
      </w:r>
      <w:r>
        <w:fldChar w:fldCharType="begin"/>
      </w:r>
      <w:r>
        <w:instrText xml:space="preserve"> PAGEREF _Toc482798171 \h </w:instrText>
      </w:r>
      <w:r>
        <w:fldChar w:fldCharType="separate"/>
      </w:r>
      <w:r>
        <w:t>30</w:t>
      </w:r>
      <w:r>
        <w:fldChar w:fldCharType="end"/>
      </w:r>
    </w:p>
    <w:p w14:paraId="31FE81BC">
      <w:pPr>
        <w:pStyle w:val="12"/>
        <w:rPr>
          <w:rFonts w:asciiTheme="minorHAnsi" w:hAnsiTheme="minorHAnsi" w:eastAsiaTheme="minorEastAsia"/>
          <w:kern w:val="2"/>
          <w:sz w:val="21"/>
          <w:szCs w:val="22"/>
        </w:rPr>
      </w:pPr>
      <w:r>
        <w:t>3.3.3</w:t>
      </w:r>
      <w:r>
        <w:rPr>
          <w:rFonts w:hint="eastAsia"/>
        </w:rPr>
        <w:t xml:space="preserve"> 矿产资源节约与综合利用</w:t>
      </w:r>
      <w:r>
        <w:tab/>
      </w:r>
      <w:r>
        <w:fldChar w:fldCharType="begin"/>
      </w:r>
      <w:r>
        <w:instrText xml:space="preserve"> PAGEREF _Toc482798172 \h </w:instrText>
      </w:r>
      <w:r>
        <w:fldChar w:fldCharType="separate"/>
      </w:r>
      <w:r>
        <w:t>31</w:t>
      </w:r>
      <w:r>
        <w:fldChar w:fldCharType="end"/>
      </w:r>
    </w:p>
    <w:p w14:paraId="41D517DE">
      <w:pPr>
        <w:pStyle w:val="12"/>
        <w:rPr>
          <w:rFonts w:asciiTheme="minorHAnsi" w:hAnsiTheme="minorHAnsi" w:eastAsiaTheme="minorEastAsia"/>
          <w:kern w:val="2"/>
          <w:sz w:val="21"/>
          <w:szCs w:val="22"/>
        </w:rPr>
      </w:pPr>
      <w:r>
        <w:t>3.3.4</w:t>
      </w:r>
      <w:r>
        <w:rPr>
          <w:rFonts w:hint="eastAsia"/>
        </w:rPr>
        <w:t xml:space="preserve"> 推广矿产资源节约与综合利用先进适用技术</w:t>
      </w:r>
      <w:r>
        <w:tab/>
      </w:r>
      <w:r>
        <w:fldChar w:fldCharType="begin"/>
      </w:r>
      <w:r>
        <w:instrText xml:space="preserve"> PAGEREF _Toc482798173 \h </w:instrText>
      </w:r>
      <w:r>
        <w:fldChar w:fldCharType="separate"/>
      </w:r>
      <w:r>
        <w:t>31</w:t>
      </w:r>
      <w:r>
        <w:fldChar w:fldCharType="end"/>
      </w:r>
    </w:p>
    <w:p w14:paraId="78DBD39B">
      <w:pPr>
        <w:pStyle w:val="12"/>
        <w:rPr>
          <w:rFonts w:asciiTheme="minorHAnsi" w:hAnsiTheme="minorHAnsi" w:eastAsiaTheme="minorEastAsia"/>
          <w:kern w:val="2"/>
          <w:sz w:val="21"/>
          <w:szCs w:val="22"/>
        </w:rPr>
      </w:pPr>
      <w:r>
        <w:t>3.3.5</w:t>
      </w:r>
      <w:r>
        <w:rPr>
          <w:rFonts w:hint="eastAsia"/>
        </w:rPr>
        <w:t xml:space="preserve"> 健全矿产资源节约与综合利用激励约束机制</w:t>
      </w:r>
      <w:r>
        <w:tab/>
      </w:r>
      <w:r>
        <w:fldChar w:fldCharType="begin"/>
      </w:r>
      <w:r>
        <w:instrText xml:space="preserve"> PAGEREF _Toc482798174 \h </w:instrText>
      </w:r>
      <w:r>
        <w:fldChar w:fldCharType="separate"/>
      </w:r>
      <w:r>
        <w:t>32</w:t>
      </w:r>
      <w:r>
        <w:fldChar w:fldCharType="end"/>
      </w:r>
    </w:p>
    <w:p w14:paraId="2B141F76">
      <w:pPr>
        <w:pStyle w:val="12"/>
        <w:rPr>
          <w:rFonts w:asciiTheme="minorHAnsi" w:hAnsiTheme="minorHAnsi" w:eastAsiaTheme="minorEastAsia"/>
          <w:kern w:val="2"/>
          <w:sz w:val="21"/>
          <w:szCs w:val="22"/>
        </w:rPr>
      </w:pPr>
      <w:r>
        <w:t>3.3.6</w:t>
      </w:r>
      <w:r>
        <w:rPr>
          <w:rFonts w:hint="eastAsia"/>
        </w:rPr>
        <w:t xml:space="preserve"> 严格开采规划准入管理</w:t>
      </w:r>
      <w:r>
        <w:tab/>
      </w:r>
      <w:r>
        <w:fldChar w:fldCharType="begin"/>
      </w:r>
      <w:r>
        <w:instrText xml:space="preserve"> PAGEREF _Toc482798175 \h </w:instrText>
      </w:r>
      <w:r>
        <w:fldChar w:fldCharType="separate"/>
      </w:r>
      <w:r>
        <w:t>33</w:t>
      </w:r>
      <w:r>
        <w:fldChar w:fldCharType="end"/>
      </w:r>
    </w:p>
    <w:p w14:paraId="50C6B128">
      <w:pPr>
        <w:pStyle w:val="15"/>
        <w:rPr>
          <w:rFonts w:asciiTheme="minorHAnsi" w:hAnsiTheme="minorHAnsi" w:eastAsiaTheme="minorEastAsia"/>
          <w:kern w:val="2"/>
          <w:sz w:val="21"/>
          <w:szCs w:val="22"/>
        </w:rPr>
      </w:pPr>
      <w:r>
        <w:t>4</w:t>
      </w:r>
      <w:r>
        <w:rPr>
          <w:rFonts w:hint="eastAsia"/>
        </w:rPr>
        <w:t xml:space="preserve"> 严格规范砂石粘土／小型非金属矿产资源开发管理</w:t>
      </w:r>
      <w:r>
        <w:tab/>
      </w:r>
      <w:r>
        <w:fldChar w:fldCharType="begin"/>
      </w:r>
      <w:r>
        <w:instrText xml:space="preserve"> PAGEREF _Toc482798176 \h </w:instrText>
      </w:r>
      <w:r>
        <w:fldChar w:fldCharType="separate"/>
      </w:r>
      <w:r>
        <w:t>35</w:t>
      </w:r>
      <w:r>
        <w:fldChar w:fldCharType="end"/>
      </w:r>
    </w:p>
    <w:p w14:paraId="3E1D9B08">
      <w:pPr>
        <w:pStyle w:val="16"/>
        <w:rPr>
          <w:rFonts w:asciiTheme="minorHAnsi" w:hAnsiTheme="minorHAnsi" w:eastAsiaTheme="minorEastAsia"/>
          <w:kern w:val="2"/>
          <w:sz w:val="21"/>
          <w:szCs w:val="22"/>
        </w:rPr>
      </w:pPr>
      <w:r>
        <w:t>4.1</w:t>
      </w:r>
      <w:r>
        <w:rPr>
          <w:rFonts w:hint="eastAsia"/>
        </w:rPr>
        <w:t xml:space="preserve"> 合理调控开采总量</w:t>
      </w:r>
      <w:r>
        <w:tab/>
      </w:r>
      <w:r>
        <w:fldChar w:fldCharType="begin"/>
      </w:r>
      <w:r>
        <w:instrText xml:space="preserve"> PAGEREF _Toc482798177 \h </w:instrText>
      </w:r>
      <w:r>
        <w:fldChar w:fldCharType="separate"/>
      </w:r>
      <w:r>
        <w:t>35</w:t>
      </w:r>
      <w:r>
        <w:fldChar w:fldCharType="end"/>
      </w:r>
    </w:p>
    <w:p w14:paraId="78ED8E25">
      <w:pPr>
        <w:pStyle w:val="12"/>
        <w:rPr>
          <w:rFonts w:asciiTheme="minorHAnsi" w:hAnsiTheme="minorHAnsi" w:eastAsiaTheme="minorEastAsia"/>
          <w:kern w:val="2"/>
          <w:sz w:val="21"/>
          <w:szCs w:val="22"/>
        </w:rPr>
      </w:pPr>
      <w:r>
        <w:t>4.1.1</w:t>
      </w:r>
      <w:r>
        <w:rPr>
          <w:rFonts w:hint="eastAsia"/>
        </w:rPr>
        <w:t xml:space="preserve"> 采矿权数量</w:t>
      </w:r>
      <w:r>
        <w:tab/>
      </w:r>
      <w:r>
        <w:fldChar w:fldCharType="begin"/>
      </w:r>
      <w:r>
        <w:instrText xml:space="preserve"> PAGEREF _Toc482798178 \h </w:instrText>
      </w:r>
      <w:r>
        <w:fldChar w:fldCharType="separate"/>
      </w:r>
      <w:r>
        <w:t>35</w:t>
      </w:r>
      <w:r>
        <w:fldChar w:fldCharType="end"/>
      </w:r>
    </w:p>
    <w:p w14:paraId="7DBD1A23">
      <w:pPr>
        <w:pStyle w:val="12"/>
        <w:rPr>
          <w:rFonts w:asciiTheme="minorHAnsi" w:hAnsiTheme="minorHAnsi" w:eastAsiaTheme="minorEastAsia"/>
          <w:kern w:val="2"/>
          <w:sz w:val="21"/>
          <w:szCs w:val="22"/>
        </w:rPr>
      </w:pPr>
      <w:r>
        <w:t>4.1.2</w:t>
      </w:r>
      <w:r>
        <w:rPr>
          <w:rFonts w:hint="eastAsia"/>
        </w:rPr>
        <w:t xml:space="preserve"> 矿产资源开采总量控制</w:t>
      </w:r>
      <w:r>
        <w:tab/>
      </w:r>
      <w:r>
        <w:fldChar w:fldCharType="begin"/>
      </w:r>
      <w:r>
        <w:instrText xml:space="preserve"> PAGEREF _Toc482798179 \h </w:instrText>
      </w:r>
      <w:r>
        <w:fldChar w:fldCharType="separate"/>
      </w:r>
      <w:r>
        <w:t>36</w:t>
      </w:r>
      <w:r>
        <w:fldChar w:fldCharType="end"/>
      </w:r>
    </w:p>
    <w:p w14:paraId="3E692675">
      <w:pPr>
        <w:pStyle w:val="12"/>
        <w:rPr>
          <w:rFonts w:asciiTheme="minorHAnsi" w:hAnsiTheme="minorHAnsi" w:eastAsiaTheme="minorEastAsia"/>
          <w:kern w:val="2"/>
          <w:sz w:val="21"/>
          <w:szCs w:val="22"/>
        </w:rPr>
      </w:pPr>
      <w:r>
        <w:t>4.1.3</w:t>
      </w:r>
      <w:r>
        <w:rPr>
          <w:rFonts w:hint="eastAsia"/>
        </w:rPr>
        <w:t xml:space="preserve"> 管理措施</w:t>
      </w:r>
      <w:r>
        <w:tab/>
      </w:r>
      <w:r>
        <w:fldChar w:fldCharType="begin"/>
      </w:r>
      <w:r>
        <w:instrText xml:space="preserve"> PAGEREF _Toc482798180 \h </w:instrText>
      </w:r>
      <w:r>
        <w:fldChar w:fldCharType="separate"/>
      </w:r>
      <w:r>
        <w:t>38</w:t>
      </w:r>
      <w:r>
        <w:fldChar w:fldCharType="end"/>
      </w:r>
    </w:p>
    <w:p w14:paraId="50850E88">
      <w:pPr>
        <w:pStyle w:val="16"/>
        <w:rPr>
          <w:rFonts w:asciiTheme="minorHAnsi" w:hAnsiTheme="minorHAnsi" w:eastAsiaTheme="minorEastAsia"/>
          <w:kern w:val="2"/>
          <w:sz w:val="21"/>
          <w:szCs w:val="22"/>
        </w:rPr>
      </w:pPr>
      <w:r>
        <w:t>4.2</w:t>
      </w:r>
      <w:r>
        <w:rPr>
          <w:rFonts w:hint="eastAsia"/>
        </w:rPr>
        <w:t xml:space="preserve"> 优化资源开采布局</w:t>
      </w:r>
      <w:r>
        <w:tab/>
      </w:r>
      <w:r>
        <w:fldChar w:fldCharType="begin"/>
      </w:r>
      <w:r>
        <w:instrText xml:space="preserve"> PAGEREF _Toc482798181 \h </w:instrText>
      </w:r>
      <w:r>
        <w:fldChar w:fldCharType="separate"/>
      </w:r>
      <w:r>
        <w:t>40</w:t>
      </w:r>
      <w:r>
        <w:fldChar w:fldCharType="end"/>
      </w:r>
    </w:p>
    <w:p w14:paraId="230D29F1">
      <w:pPr>
        <w:pStyle w:val="12"/>
        <w:rPr>
          <w:rFonts w:asciiTheme="minorHAnsi" w:hAnsiTheme="minorHAnsi" w:eastAsiaTheme="minorEastAsia"/>
          <w:kern w:val="2"/>
          <w:sz w:val="21"/>
          <w:szCs w:val="22"/>
        </w:rPr>
      </w:pPr>
      <w:r>
        <w:t>4.2.1</w:t>
      </w:r>
      <w:r>
        <w:rPr>
          <w:rFonts w:hint="eastAsia"/>
        </w:rPr>
        <w:t xml:space="preserve"> 合理划分集中开采区</w:t>
      </w:r>
      <w:r>
        <w:tab/>
      </w:r>
      <w:r>
        <w:fldChar w:fldCharType="begin"/>
      </w:r>
      <w:r>
        <w:instrText xml:space="preserve"> PAGEREF _Toc482798182 \h </w:instrText>
      </w:r>
      <w:r>
        <w:fldChar w:fldCharType="separate"/>
      </w:r>
      <w:r>
        <w:t>40</w:t>
      </w:r>
      <w:r>
        <w:fldChar w:fldCharType="end"/>
      </w:r>
    </w:p>
    <w:p w14:paraId="0C44D6C6">
      <w:pPr>
        <w:pStyle w:val="12"/>
        <w:rPr>
          <w:rFonts w:asciiTheme="minorHAnsi" w:hAnsiTheme="minorHAnsi" w:eastAsiaTheme="minorEastAsia"/>
          <w:kern w:val="2"/>
          <w:sz w:val="21"/>
          <w:szCs w:val="22"/>
        </w:rPr>
      </w:pPr>
      <w:r>
        <w:t>4.2.2</w:t>
      </w:r>
      <w:r>
        <w:rPr>
          <w:rFonts w:hint="eastAsia"/>
        </w:rPr>
        <w:t xml:space="preserve"> 集中开采区管理措施</w:t>
      </w:r>
      <w:r>
        <w:tab/>
      </w:r>
      <w:r>
        <w:fldChar w:fldCharType="begin"/>
      </w:r>
      <w:r>
        <w:instrText xml:space="preserve"> PAGEREF _Toc482798183 \h </w:instrText>
      </w:r>
      <w:r>
        <w:fldChar w:fldCharType="separate"/>
      </w:r>
      <w:r>
        <w:t>41</w:t>
      </w:r>
      <w:r>
        <w:fldChar w:fldCharType="end"/>
      </w:r>
    </w:p>
    <w:p w14:paraId="0321456B">
      <w:pPr>
        <w:pStyle w:val="16"/>
        <w:rPr>
          <w:rFonts w:asciiTheme="minorHAnsi" w:hAnsiTheme="minorHAnsi" w:eastAsiaTheme="minorEastAsia"/>
          <w:kern w:val="2"/>
          <w:sz w:val="21"/>
          <w:szCs w:val="22"/>
        </w:rPr>
      </w:pPr>
      <w:r>
        <w:t>4.3</w:t>
      </w:r>
      <w:r>
        <w:rPr>
          <w:rFonts w:hint="eastAsia"/>
        </w:rPr>
        <w:t xml:space="preserve"> 严格开采规划准入管理</w:t>
      </w:r>
      <w:r>
        <w:tab/>
      </w:r>
      <w:r>
        <w:fldChar w:fldCharType="begin"/>
      </w:r>
      <w:r>
        <w:instrText xml:space="preserve"> PAGEREF _Toc482798184 \h </w:instrText>
      </w:r>
      <w:r>
        <w:fldChar w:fldCharType="separate"/>
      </w:r>
      <w:r>
        <w:t>42</w:t>
      </w:r>
      <w:r>
        <w:fldChar w:fldCharType="end"/>
      </w:r>
    </w:p>
    <w:p w14:paraId="72509A0C">
      <w:pPr>
        <w:pStyle w:val="12"/>
        <w:rPr>
          <w:rFonts w:asciiTheme="minorHAnsi" w:hAnsiTheme="minorHAnsi" w:eastAsiaTheme="minorEastAsia"/>
          <w:kern w:val="2"/>
          <w:sz w:val="21"/>
          <w:szCs w:val="22"/>
        </w:rPr>
      </w:pPr>
      <w:r>
        <w:t>4.3.1</w:t>
      </w:r>
      <w:r>
        <w:rPr>
          <w:rFonts w:hint="eastAsia"/>
        </w:rPr>
        <w:t xml:space="preserve"> 资源条件</w:t>
      </w:r>
      <w:r>
        <w:tab/>
      </w:r>
      <w:r>
        <w:fldChar w:fldCharType="begin"/>
      </w:r>
      <w:r>
        <w:instrText xml:space="preserve"> PAGEREF _Toc482798185 \h </w:instrText>
      </w:r>
      <w:r>
        <w:fldChar w:fldCharType="separate"/>
      </w:r>
      <w:r>
        <w:t>42</w:t>
      </w:r>
      <w:r>
        <w:fldChar w:fldCharType="end"/>
      </w:r>
    </w:p>
    <w:p w14:paraId="29641982">
      <w:pPr>
        <w:pStyle w:val="12"/>
        <w:rPr>
          <w:rFonts w:asciiTheme="minorHAnsi" w:hAnsiTheme="minorHAnsi" w:eastAsiaTheme="minorEastAsia"/>
          <w:kern w:val="2"/>
          <w:sz w:val="21"/>
          <w:szCs w:val="22"/>
        </w:rPr>
      </w:pPr>
      <w:r>
        <w:t>4.3.2</w:t>
      </w:r>
      <w:r>
        <w:rPr>
          <w:rFonts w:hint="eastAsia"/>
        </w:rPr>
        <w:t xml:space="preserve"> 资质条件</w:t>
      </w:r>
      <w:r>
        <w:tab/>
      </w:r>
      <w:r>
        <w:fldChar w:fldCharType="begin"/>
      </w:r>
      <w:r>
        <w:instrText xml:space="preserve"> PAGEREF _Toc482798186 \h </w:instrText>
      </w:r>
      <w:r>
        <w:fldChar w:fldCharType="separate"/>
      </w:r>
      <w:r>
        <w:t>42</w:t>
      </w:r>
      <w:r>
        <w:fldChar w:fldCharType="end"/>
      </w:r>
    </w:p>
    <w:p w14:paraId="28F9DF14">
      <w:pPr>
        <w:pStyle w:val="12"/>
        <w:rPr>
          <w:rFonts w:asciiTheme="minorHAnsi" w:hAnsiTheme="minorHAnsi" w:eastAsiaTheme="minorEastAsia"/>
          <w:kern w:val="2"/>
          <w:sz w:val="21"/>
          <w:szCs w:val="22"/>
        </w:rPr>
      </w:pPr>
      <w:r>
        <w:t>4.3.3</w:t>
      </w:r>
      <w:r>
        <w:rPr>
          <w:rFonts w:hint="eastAsia"/>
        </w:rPr>
        <w:t xml:space="preserve"> 开采规模条件</w:t>
      </w:r>
      <w:r>
        <w:tab/>
      </w:r>
      <w:r>
        <w:fldChar w:fldCharType="begin"/>
      </w:r>
      <w:r>
        <w:instrText xml:space="preserve"> PAGEREF _Toc482798187 \h </w:instrText>
      </w:r>
      <w:r>
        <w:fldChar w:fldCharType="separate"/>
      </w:r>
      <w:r>
        <w:t>42</w:t>
      </w:r>
      <w:r>
        <w:fldChar w:fldCharType="end"/>
      </w:r>
    </w:p>
    <w:p w14:paraId="6AD0ED0A">
      <w:pPr>
        <w:pStyle w:val="12"/>
        <w:rPr>
          <w:rFonts w:asciiTheme="minorHAnsi" w:hAnsiTheme="minorHAnsi" w:eastAsiaTheme="minorEastAsia"/>
          <w:kern w:val="2"/>
          <w:sz w:val="21"/>
          <w:szCs w:val="22"/>
        </w:rPr>
      </w:pPr>
      <w:r>
        <w:t>4.3.4</w:t>
      </w:r>
      <w:r>
        <w:rPr>
          <w:rFonts w:hint="eastAsia"/>
        </w:rPr>
        <w:t xml:space="preserve"> 规划布局条件</w:t>
      </w:r>
      <w:r>
        <w:tab/>
      </w:r>
      <w:r>
        <w:fldChar w:fldCharType="begin"/>
      </w:r>
      <w:r>
        <w:instrText xml:space="preserve"> PAGEREF _Toc482798188 \h </w:instrText>
      </w:r>
      <w:r>
        <w:fldChar w:fldCharType="separate"/>
      </w:r>
      <w:r>
        <w:t>43</w:t>
      </w:r>
      <w:r>
        <w:fldChar w:fldCharType="end"/>
      </w:r>
    </w:p>
    <w:p w14:paraId="1AE5DE62">
      <w:pPr>
        <w:pStyle w:val="12"/>
        <w:rPr>
          <w:rFonts w:asciiTheme="minorHAnsi" w:hAnsiTheme="minorHAnsi" w:eastAsiaTheme="minorEastAsia"/>
          <w:kern w:val="2"/>
          <w:sz w:val="21"/>
          <w:szCs w:val="22"/>
        </w:rPr>
      </w:pPr>
      <w:r>
        <w:t>4.3.5</w:t>
      </w:r>
      <w:r>
        <w:rPr>
          <w:rFonts w:hint="eastAsia"/>
        </w:rPr>
        <w:t xml:space="preserve"> 资源利用效率条件</w:t>
      </w:r>
      <w:r>
        <w:tab/>
      </w:r>
      <w:r>
        <w:fldChar w:fldCharType="begin"/>
      </w:r>
      <w:r>
        <w:instrText xml:space="preserve"> PAGEREF _Toc482798189 \h </w:instrText>
      </w:r>
      <w:r>
        <w:fldChar w:fldCharType="separate"/>
      </w:r>
      <w:r>
        <w:t>43</w:t>
      </w:r>
      <w:r>
        <w:fldChar w:fldCharType="end"/>
      </w:r>
    </w:p>
    <w:p w14:paraId="7332EC0A">
      <w:pPr>
        <w:pStyle w:val="12"/>
        <w:rPr>
          <w:rFonts w:asciiTheme="minorHAnsi" w:hAnsiTheme="minorHAnsi" w:eastAsiaTheme="minorEastAsia"/>
          <w:kern w:val="2"/>
          <w:sz w:val="21"/>
          <w:szCs w:val="22"/>
        </w:rPr>
      </w:pPr>
      <w:r>
        <w:t>4.3.6</w:t>
      </w:r>
      <w:r>
        <w:rPr>
          <w:rFonts w:hint="eastAsia"/>
        </w:rPr>
        <w:t xml:space="preserve"> 环境保护条件</w:t>
      </w:r>
      <w:r>
        <w:tab/>
      </w:r>
      <w:r>
        <w:fldChar w:fldCharType="begin"/>
      </w:r>
      <w:r>
        <w:instrText xml:space="preserve"> PAGEREF _Toc482798190 \h </w:instrText>
      </w:r>
      <w:r>
        <w:fldChar w:fldCharType="separate"/>
      </w:r>
      <w:r>
        <w:t>43</w:t>
      </w:r>
      <w:r>
        <w:fldChar w:fldCharType="end"/>
      </w:r>
    </w:p>
    <w:p w14:paraId="0BA4BF9D">
      <w:pPr>
        <w:pStyle w:val="12"/>
        <w:rPr>
          <w:rFonts w:asciiTheme="minorHAnsi" w:hAnsiTheme="minorHAnsi" w:eastAsiaTheme="minorEastAsia"/>
          <w:kern w:val="2"/>
          <w:sz w:val="21"/>
          <w:szCs w:val="22"/>
        </w:rPr>
      </w:pPr>
      <w:r>
        <w:t>4.3.7</w:t>
      </w:r>
      <w:r>
        <w:rPr>
          <w:rFonts w:hint="eastAsia"/>
        </w:rPr>
        <w:t xml:space="preserve"> 安全生产条件</w:t>
      </w:r>
      <w:r>
        <w:tab/>
      </w:r>
      <w:r>
        <w:fldChar w:fldCharType="begin"/>
      </w:r>
      <w:r>
        <w:instrText xml:space="preserve"> PAGEREF _Toc482798191 \h </w:instrText>
      </w:r>
      <w:r>
        <w:fldChar w:fldCharType="separate"/>
      </w:r>
      <w:r>
        <w:t>44</w:t>
      </w:r>
      <w:r>
        <w:fldChar w:fldCharType="end"/>
      </w:r>
    </w:p>
    <w:p w14:paraId="6ABBFA58">
      <w:pPr>
        <w:pStyle w:val="15"/>
        <w:rPr>
          <w:rFonts w:asciiTheme="minorHAnsi" w:hAnsiTheme="minorHAnsi" w:eastAsiaTheme="minorEastAsia"/>
          <w:kern w:val="2"/>
          <w:sz w:val="21"/>
          <w:szCs w:val="22"/>
        </w:rPr>
      </w:pPr>
      <w:r>
        <w:t>5</w:t>
      </w:r>
      <w:r>
        <w:rPr>
          <w:rFonts w:hint="eastAsia"/>
        </w:rPr>
        <w:t xml:space="preserve"> 加强矿山地质环境保护与治理</w:t>
      </w:r>
      <w:r>
        <w:tab/>
      </w:r>
      <w:r>
        <w:fldChar w:fldCharType="begin"/>
      </w:r>
      <w:r>
        <w:instrText xml:space="preserve"> PAGEREF _Toc482798192 \h </w:instrText>
      </w:r>
      <w:r>
        <w:fldChar w:fldCharType="separate"/>
      </w:r>
      <w:r>
        <w:t>45</w:t>
      </w:r>
      <w:r>
        <w:fldChar w:fldCharType="end"/>
      </w:r>
    </w:p>
    <w:p w14:paraId="03E6BC8F">
      <w:pPr>
        <w:pStyle w:val="16"/>
        <w:rPr>
          <w:rFonts w:asciiTheme="minorHAnsi" w:hAnsiTheme="minorHAnsi" w:eastAsiaTheme="minorEastAsia"/>
          <w:kern w:val="2"/>
          <w:sz w:val="21"/>
          <w:szCs w:val="22"/>
        </w:rPr>
      </w:pPr>
      <w:r>
        <w:t>5.1</w:t>
      </w:r>
      <w:r>
        <w:rPr>
          <w:rFonts w:hint="eastAsia"/>
        </w:rPr>
        <w:t xml:space="preserve"> 加强矿山地质环境保护</w:t>
      </w:r>
      <w:r>
        <w:tab/>
      </w:r>
      <w:r>
        <w:fldChar w:fldCharType="begin"/>
      </w:r>
      <w:r>
        <w:instrText xml:space="preserve"> PAGEREF _Toc482798193 \h </w:instrText>
      </w:r>
      <w:r>
        <w:fldChar w:fldCharType="separate"/>
      </w:r>
      <w:r>
        <w:t>45</w:t>
      </w:r>
      <w:r>
        <w:fldChar w:fldCharType="end"/>
      </w:r>
    </w:p>
    <w:p w14:paraId="1BADCD43">
      <w:pPr>
        <w:pStyle w:val="16"/>
        <w:rPr>
          <w:rFonts w:asciiTheme="minorHAnsi" w:hAnsiTheme="minorHAnsi" w:eastAsiaTheme="minorEastAsia"/>
          <w:kern w:val="2"/>
          <w:sz w:val="21"/>
          <w:szCs w:val="22"/>
        </w:rPr>
      </w:pPr>
      <w:r>
        <w:t>5.2</w:t>
      </w:r>
      <w:r>
        <w:rPr>
          <w:rFonts w:hint="eastAsia"/>
        </w:rPr>
        <w:t xml:space="preserve"> 实施矿山地质环境治理重点项目</w:t>
      </w:r>
      <w:r>
        <w:tab/>
      </w:r>
      <w:r>
        <w:fldChar w:fldCharType="begin"/>
      </w:r>
      <w:r>
        <w:instrText xml:space="preserve"> PAGEREF _Toc482798194 \h </w:instrText>
      </w:r>
      <w:r>
        <w:fldChar w:fldCharType="separate"/>
      </w:r>
      <w:r>
        <w:t>46</w:t>
      </w:r>
      <w:r>
        <w:fldChar w:fldCharType="end"/>
      </w:r>
    </w:p>
    <w:p w14:paraId="397A0FEC">
      <w:pPr>
        <w:pStyle w:val="16"/>
        <w:rPr>
          <w:rFonts w:asciiTheme="minorHAnsi" w:hAnsiTheme="minorHAnsi" w:eastAsiaTheme="minorEastAsia"/>
          <w:kern w:val="2"/>
          <w:sz w:val="21"/>
          <w:szCs w:val="22"/>
        </w:rPr>
      </w:pPr>
      <w:r>
        <w:t>5.3</w:t>
      </w:r>
      <w:r>
        <w:rPr>
          <w:rFonts w:hint="eastAsia"/>
        </w:rPr>
        <w:t xml:space="preserve"> 创新矿山地质环境治理恢复工作机制</w:t>
      </w:r>
      <w:r>
        <w:tab/>
      </w:r>
      <w:r>
        <w:fldChar w:fldCharType="begin"/>
      </w:r>
      <w:r>
        <w:instrText xml:space="preserve"> PAGEREF _Toc482798195 \h </w:instrText>
      </w:r>
      <w:r>
        <w:fldChar w:fldCharType="separate"/>
      </w:r>
      <w:r>
        <w:t>48</w:t>
      </w:r>
      <w:r>
        <w:fldChar w:fldCharType="end"/>
      </w:r>
    </w:p>
    <w:p w14:paraId="75142CA2">
      <w:pPr>
        <w:pStyle w:val="12"/>
        <w:rPr>
          <w:rFonts w:asciiTheme="minorHAnsi" w:hAnsiTheme="minorHAnsi" w:eastAsiaTheme="minorEastAsia"/>
          <w:kern w:val="2"/>
          <w:sz w:val="21"/>
          <w:szCs w:val="22"/>
        </w:rPr>
      </w:pPr>
      <w:r>
        <w:t>5.3.1</w:t>
      </w:r>
      <w:r>
        <w:rPr>
          <w:rFonts w:hint="eastAsia"/>
        </w:rPr>
        <w:t xml:space="preserve"> 严格矿山环境保护和准入要求</w:t>
      </w:r>
      <w:r>
        <w:tab/>
      </w:r>
      <w:r>
        <w:fldChar w:fldCharType="begin"/>
      </w:r>
      <w:r>
        <w:instrText xml:space="preserve"> PAGEREF _Toc482798196 \h </w:instrText>
      </w:r>
      <w:r>
        <w:fldChar w:fldCharType="separate"/>
      </w:r>
      <w:r>
        <w:t>48</w:t>
      </w:r>
      <w:r>
        <w:fldChar w:fldCharType="end"/>
      </w:r>
    </w:p>
    <w:p w14:paraId="5B7D9969">
      <w:pPr>
        <w:pStyle w:val="12"/>
        <w:rPr>
          <w:rFonts w:asciiTheme="minorHAnsi" w:hAnsiTheme="minorHAnsi" w:eastAsiaTheme="minorEastAsia"/>
          <w:kern w:val="2"/>
          <w:sz w:val="21"/>
          <w:szCs w:val="22"/>
        </w:rPr>
      </w:pPr>
      <w:r>
        <w:t>5.3.2</w:t>
      </w:r>
      <w:r>
        <w:rPr>
          <w:rFonts w:hint="eastAsia"/>
        </w:rPr>
        <w:t xml:space="preserve"> 加强对生产矿山地质环境保护的监督管理</w:t>
      </w:r>
      <w:r>
        <w:tab/>
      </w:r>
      <w:r>
        <w:fldChar w:fldCharType="begin"/>
      </w:r>
      <w:r>
        <w:instrText xml:space="preserve"> PAGEREF _Toc482798197 \h </w:instrText>
      </w:r>
      <w:r>
        <w:fldChar w:fldCharType="separate"/>
      </w:r>
      <w:r>
        <w:t>49</w:t>
      </w:r>
      <w:r>
        <w:fldChar w:fldCharType="end"/>
      </w:r>
    </w:p>
    <w:p w14:paraId="1454DB2F">
      <w:pPr>
        <w:pStyle w:val="12"/>
        <w:rPr>
          <w:rFonts w:asciiTheme="minorHAnsi" w:hAnsiTheme="minorHAnsi" w:eastAsiaTheme="minorEastAsia"/>
          <w:kern w:val="2"/>
          <w:sz w:val="21"/>
          <w:szCs w:val="22"/>
        </w:rPr>
      </w:pPr>
      <w:r>
        <w:t>5.3.3</w:t>
      </w:r>
      <w:r>
        <w:rPr>
          <w:rFonts w:hint="eastAsia"/>
        </w:rPr>
        <w:t xml:space="preserve"> 积极开展矿区土地复垦</w:t>
      </w:r>
      <w:r>
        <w:tab/>
      </w:r>
      <w:r>
        <w:fldChar w:fldCharType="begin"/>
      </w:r>
      <w:r>
        <w:instrText xml:space="preserve"> PAGEREF _Toc482798198 \h </w:instrText>
      </w:r>
      <w:r>
        <w:fldChar w:fldCharType="separate"/>
      </w:r>
      <w:r>
        <w:t>49</w:t>
      </w:r>
      <w:r>
        <w:fldChar w:fldCharType="end"/>
      </w:r>
    </w:p>
    <w:p w14:paraId="3AA948D3">
      <w:pPr>
        <w:pStyle w:val="12"/>
        <w:rPr>
          <w:rFonts w:asciiTheme="minorHAnsi" w:hAnsiTheme="minorHAnsi" w:eastAsiaTheme="minorEastAsia"/>
          <w:kern w:val="2"/>
          <w:sz w:val="21"/>
          <w:szCs w:val="22"/>
        </w:rPr>
      </w:pPr>
      <w:r>
        <w:t>5.3.4</w:t>
      </w:r>
      <w:r>
        <w:rPr>
          <w:rFonts w:hint="eastAsia"/>
        </w:rPr>
        <w:t xml:space="preserve"> 加强矿山地质环境调查与监测</w:t>
      </w:r>
      <w:r>
        <w:tab/>
      </w:r>
      <w:r>
        <w:fldChar w:fldCharType="begin"/>
      </w:r>
      <w:r>
        <w:instrText xml:space="preserve"> PAGEREF _Toc482798199 \h </w:instrText>
      </w:r>
      <w:r>
        <w:fldChar w:fldCharType="separate"/>
      </w:r>
      <w:r>
        <w:t>49</w:t>
      </w:r>
      <w:r>
        <w:fldChar w:fldCharType="end"/>
      </w:r>
    </w:p>
    <w:p w14:paraId="542FD3B6">
      <w:pPr>
        <w:pStyle w:val="12"/>
        <w:rPr>
          <w:rFonts w:asciiTheme="minorHAnsi" w:hAnsiTheme="minorHAnsi" w:eastAsiaTheme="minorEastAsia"/>
          <w:kern w:val="2"/>
          <w:sz w:val="21"/>
          <w:szCs w:val="22"/>
        </w:rPr>
      </w:pPr>
      <w:r>
        <w:t>5.3.5</w:t>
      </w:r>
      <w:r>
        <w:rPr>
          <w:rFonts w:hint="eastAsia"/>
        </w:rPr>
        <w:t xml:space="preserve"> 建立矿山恢复治理的长效机制</w:t>
      </w:r>
      <w:r>
        <w:tab/>
      </w:r>
      <w:r>
        <w:fldChar w:fldCharType="begin"/>
      </w:r>
      <w:r>
        <w:instrText xml:space="preserve"> PAGEREF _Toc482798200 \h </w:instrText>
      </w:r>
      <w:r>
        <w:fldChar w:fldCharType="separate"/>
      </w:r>
      <w:r>
        <w:t>50</w:t>
      </w:r>
      <w:r>
        <w:fldChar w:fldCharType="end"/>
      </w:r>
    </w:p>
    <w:p w14:paraId="5C747091">
      <w:pPr>
        <w:pStyle w:val="15"/>
        <w:rPr>
          <w:rFonts w:asciiTheme="minorHAnsi" w:hAnsiTheme="minorHAnsi" w:eastAsiaTheme="minorEastAsia"/>
          <w:kern w:val="2"/>
          <w:sz w:val="21"/>
          <w:szCs w:val="22"/>
        </w:rPr>
      </w:pPr>
      <w:r>
        <w:t>6</w:t>
      </w:r>
      <w:r>
        <w:rPr>
          <w:rFonts w:hint="eastAsia"/>
        </w:rPr>
        <w:t xml:space="preserve"> 积极发展绿色矿业</w:t>
      </w:r>
      <w:r>
        <w:tab/>
      </w:r>
      <w:r>
        <w:fldChar w:fldCharType="begin"/>
      </w:r>
      <w:r>
        <w:instrText xml:space="preserve"> PAGEREF _Toc482798201 \h </w:instrText>
      </w:r>
      <w:r>
        <w:fldChar w:fldCharType="separate"/>
      </w:r>
      <w:r>
        <w:t>51</w:t>
      </w:r>
      <w:r>
        <w:fldChar w:fldCharType="end"/>
      </w:r>
    </w:p>
    <w:p w14:paraId="60E2F446">
      <w:pPr>
        <w:pStyle w:val="16"/>
        <w:rPr>
          <w:rFonts w:asciiTheme="minorHAnsi" w:hAnsiTheme="minorHAnsi" w:eastAsiaTheme="minorEastAsia"/>
          <w:kern w:val="2"/>
          <w:sz w:val="21"/>
          <w:szCs w:val="22"/>
        </w:rPr>
      </w:pPr>
      <w:r>
        <w:t>6.1</w:t>
      </w:r>
      <w:r>
        <w:rPr>
          <w:rFonts w:hint="eastAsia"/>
        </w:rPr>
        <w:t xml:space="preserve"> 加快推进绿色矿山建设</w:t>
      </w:r>
      <w:r>
        <w:tab/>
      </w:r>
      <w:r>
        <w:fldChar w:fldCharType="begin"/>
      </w:r>
      <w:r>
        <w:instrText xml:space="preserve"> PAGEREF _Toc482798202 \h </w:instrText>
      </w:r>
      <w:r>
        <w:fldChar w:fldCharType="separate"/>
      </w:r>
      <w:r>
        <w:t>51</w:t>
      </w:r>
      <w:r>
        <w:fldChar w:fldCharType="end"/>
      </w:r>
    </w:p>
    <w:p w14:paraId="3E0D89EC">
      <w:pPr>
        <w:pStyle w:val="16"/>
        <w:rPr>
          <w:rFonts w:asciiTheme="minorHAnsi" w:hAnsiTheme="minorHAnsi" w:eastAsiaTheme="minorEastAsia"/>
          <w:kern w:val="2"/>
          <w:sz w:val="21"/>
          <w:szCs w:val="22"/>
        </w:rPr>
      </w:pPr>
      <w:r>
        <w:t>6.2</w:t>
      </w:r>
      <w:r>
        <w:rPr>
          <w:rFonts w:hint="eastAsia"/>
        </w:rPr>
        <w:t xml:space="preserve"> 建设绿色矿业发展示范区</w:t>
      </w:r>
      <w:r>
        <w:tab/>
      </w:r>
      <w:r>
        <w:fldChar w:fldCharType="begin"/>
      </w:r>
      <w:r>
        <w:instrText xml:space="preserve"> PAGEREF _Toc482798203 \h </w:instrText>
      </w:r>
      <w:r>
        <w:fldChar w:fldCharType="separate"/>
      </w:r>
      <w:r>
        <w:t>52</w:t>
      </w:r>
      <w:r>
        <w:fldChar w:fldCharType="end"/>
      </w:r>
    </w:p>
    <w:p w14:paraId="4CA1FDAC">
      <w:pPr>
        <w:pStyle w:val="12"/>
        <w:rPr>
          <w:rFonts w:asciiTheme="minorHAnsi" w:hAnsiTheme="minorHAnsi" w:eastAsiaTheme="minorEastAsia"/>
          <w:kern w:val="2"/>
          <w:sz w:val="21"/>
          <w:szCs w:val="22"/>
        </w:rPr>
      </w:pPr>
      <w:r>
        <w:t>6.2.1</w:t>
      </w:r>
      <w:r>
        <w:rPr>
          <w:rFonts w:hint="eastAsia"/>
        </w:rPr>
        <w:t xml:space="preserve"> 绿色矿业发展示范区</w:t>
      </w:r>
      <w:r>
        <w:tab/>
      </w:r>
      <w:r>
        <w:fldChar w:fldCharType="begin"/>
      </w:r>
      <w:r>
        <w:instrText xml:space="preserve"> PAGEREF _Toc482798204 \h </w:instrText>
      </w:r>
      <w:r>
        <w:fldChar w:fldCharType="separate"/>
      </w:r>
      <w:r>
        <w:t>53</w:t>
      </w:r>
      <w:r>
        <w:fldChar w:fldCharType="end"/>
      </w:r>
    </w:p>
    <w:p w14:paraId="015EEE74">
      <w:pPr>
        <w:pStyle w:val="12"/>
        <w:rPr>
          <w:rFonts w:asciiTheme="minorHAnsi" w:hAnsiTheme="minorHAnsi" w:eastAsiaTheme="minorEastAsia"/>
          <w:kern w:val="2"/>
          <w:sz w:val="21"/>
          <w:szCs w:val="22"/>
        </w:rPr>
      </w:pPr>
      <w:r>
        <w:t>6.2.2</w:t>
      </w:r>
      <w:r>
        <w:rPr>
          <w:rFonts w:hint="eastAsia"/>
        </w:rPr>
        <w:t xml:space="preserve"> 建设目标及进度安排</w:t>
      </w:r>
      <w:r>
        <w:tab/>
      </w:r>
      <w:r>
        <w:fldChar w:fldCharType="begin"/>
      </w:r>
      <w:r>
        <w:instrText xml:space="preserve"> PAGEREF _Toc482798205 \h </w:instrText>
      </w:r>
      <w:r>
        <w:fldChar w:fldCharType="separate"/>
      </w:r>
      <w:r>
        <w:t>53</w:t>
      </w:r>
      <w:r>
        <w:fldChar w:fldCharType="end"/>
      </w:r>
    </w:p>
    <w:p w14:paraId="45561CAF">
      <w:pPr>
        <w:pStyle w:val="12"/>
        <w:rPr>
          <w:rFonts w:asciiTheme="minorHAnsi" w:hAnsiTheme="minorHAnsi" w:eastAsiaTheme="minorEastAsia"/>
          <w:kern w:val="2"/>
          <w:sz w:val="21"/>
          <w:szCs w:val="22"/>
        </w:rPr>
      </w:pPr>
      <w:r>
        <w:t>6.2.3</w:t>
      </w:r>
      <w:r>
        <w:rPr>
          <w:rFonts w:hint="eastAsia"/>
        </w:rPr>
        <w:t xml:space="preserve"> 绿色矿山的基本条件</w:t>
      </w:r>
      <w:r>
        <w:tab/>
      </w:r>
      <w:r>
        <w:fldChar w:fldCharType="begin"/>
      </w:r>
      <w:r>
        <w:instrText xml:space="preserve"> PAGEREF _Toc482798206 \h </w:instrText>
      </w:r>
      <w:r>
        <w:fldChar w:fldCharType="separate"/>
      </w:r>
      <w:r>
        <w:t>53</w:t>
      </w:r>
      <w:r>
        <w:fldChar w:fldCharType="end"/>
      </w:r>
    </w:p>
    <w:p w14:paraId="28E102CF">
      <w:pPr>
        <w:pStyle w:val="12"/>
        <w:rPr>
          <w:rFonts w:asciiTheme="minorHAnsi" w:hAnsiTheme="minorHAnsi" w:eastAsiaTheme="minorEastAsia"/>
          <w:kern w:val="2"/>
          <w:sz w:val="21"/>
          <w:szCs w:val="22"/>
        </w:rPr>
      </w:pPr>
      <w:r>
        <w:t>6.2.4</w:t>
      </w:r>
      <w:r>
        <w:rPr>
          <w:rFonts w:hint="eastAsia"/>
        </w:rPr>
        <w:t xml:space="preserve"> 绿色矿山的具体要求</w:t>
      </w:r>
      <w:r>
        <w:tab/>
      </w:r>
      <w:r>
        <w:fldChar w:fldCharType="begin"/>
      </w:r>
      <w:r>
        <w:instrText xml:space="preserve"> PAGEREF _Toc482798207 \h </w:instrText>
      </w:r>
      <w:r>
        <w:fldChar w:fldCharType="separate"/>
      </w:r>
      <w:r>
        <w:t>54</w:t>
      </w:r>
      <w:r>
        <w:fldChar w:fldCharType="end"/>
      </w:r>
    </w:p>
    <w:p w14:paraId="1648D7A2">
      <w:pPr>
        <w:pStyle w:val="12"/>
        <w:rPr>
          <w:rFonts w:asciiTheme="minorHAnsi" w:hAnsiTheme="minorHAnsi" w:eastAsiaTheme="minorEastAsia"/>
          <w:kern w:val="2"/>
          <w:sz w:val="21"/>
          <w:szCs w:val="22"/>
        </w:rPr>
      </w:pPr>
      <w:r>
        <w:t>6.2.5</w:t>
      </w:r>
      <w:r>
        <w:rPr>
          <w:rFonts w:hint="eastAsia"/>
        </w:rPr>
        <w:t xml:space="preserve"> 营造良好的政策环境</w:t>
      </w:r>
      <w:r>
        <w:tab/>
      </w:r>
      <w:r>
        <w:fldChar w:fldCharType="begin"/>
      </w:r>
      <w:r>
        <w:instrText xml:space="preserve"> PAGEREF _Toc482798208 \h </w:instrText>
      </w:r>
      <w:r>
        <w:fldChar w:fldCharType="separate"/>
      </w:r>
      <w:r>
        <w:t>54</w:t>
      </w:r>
      <w:r>
        <w:fldChar w:fldCharType="end"/>
      </w:r>
    </w:p>
    <w:p w14:paraId="37CEE6FC">
      <w:pPr>
        <w:pStyle w:val="15"/>
        <w:rPr>
          <w:rFonts w:asciiTheme="minorHAnsi" w:hAnsiTheme="minorHAnsi" w:eastAsiaTheme="minorEastAsia"/>
          <w:kern w:val="2"/>
          <w:sz w:val="21"/>
          <w:szCs w:val="22"/>
        </w:rPr>
      </w:pPr>
      <w:r>
        <w:t>7</w:t>
      </w:r>
      <w:r>
        <w:rPr>
          <w:rFonts w:hint="eastAsia"/>
        </w:rPr>
        <w:t xml:space="preserve"> 矿业权设置区划及监督管理</w:t>
      </w:r>
      <w:r>
        <w:tab/>
      </w:r>
      <w:r>
        <w:fldChar w:fldCharType="begin"/>
      </w:r>
      <w:r>
        <w:instrText xml:space="preserve"> PAGEREF _Toc482798209 \h </w:instrText>
      </w:r>
      <w:r>
        <w:fldChar w:fldCharType="separate"/>
      </w:r>
      <w:r>
        <w:t>56</w:t>
      </w:r>
      <w:r>
        <w:fldChar w:fldCharType="end"/>
      </w:r>
    </w:p>
    <w:p w14:paraId="7F9FE39A">
      <w:pPr>
        <w:pStyle w:val="16"/>
        <w:rPr>
          <w:rFonts w:asciiTheme="minorHAnsi" w:hAnsiTheme="minorHAnsi" w:eastAsiaTheme="minorEastAsia"/>
          <w:kern w:val="2"/>
          <w:sz w:val="21"/>
          <w:szCs w:val="22"/>
        </w:rPr>
      </w:pPr>
      <w:r>
        <w:t>7.1</w:t>
      </w:r>
      <w:r>
        <w:rPr>
          <w:rFonts w:hint="eastAsia"/>
        </w:rPr>
        <w:t xml:space="preserve"> 探矿权设置区划</w:t>
      </w:r>
      <w:r>
        <w:tab/>
      </w:r>
      <w:r>
        <w:fldChar w:fldCharType="begin"/>
      </w:r>
      <w:r>
        <w:instrText xml:space="preserve"> PAGEREF _Toc482798210 \h </w:instrText>
      </w:r>
      <w:r>
        <w:fldChar w:fldCharType="separate"/>
      </w:r>
      <w:r>
        <w:t>56</w:t>
      </w:r>
      <w:r>
        <w:fldChar w:fldCharType="end"/>
      </w:r>
    </w:p>
    <w:p w14:paraId="4AB34E6B">
      <w:pPr>
        <w:pStyle w:val="12"/>
        <w:rPr>
          <w:rFonts w:asciiTheme="minorHAnsi" w:hAnsiTheme="minorHAnsi" w:eastAsiaTheme="minorEastAsia"/>
          <w:kern w:val="2"/>
          <w:sz w:val="21"/>
          <w:szCs w:val="22"/>
        </w:rPr>
      </w:pPr>
      <w:r>
        <w:t>7.1.1</w:t>
      </w:r>
      <w:r>
        <w:rPr>
          <w:rFonts w:hint="eastAsia"/>
        </w:rPr>
        <w:t xml:space="preserve"> 探矿权准入条件</w:t>
      </w:r>
      <w:r>
        <w:tab/>
      </w:r>
      <w:r>
        <w:fldChar w:fldCharType="begin"/>
      </w:r>
      <w:r>
        <w:instrText xml:space="preserve"> PAGEREF _Toc482798211 \h </w:instrText>
      </w:r>
      <w:r>
        <w:fldChar w:fldCharType="separate"/>
      </w:r>
      <w:r>
        <w:t>57</w:t>
      </w:r>
      <w:r>
        <w:fldChar w:fldCharType="end"/>
      </w:r>
    </w:p>
    <w:p w14:paraId="4ED7D787">
      <w:pPr>
        <w:pStyle w:val="12"/>
        <w:rPr>
          <w:rFonts w:asciiTheme="minorHAnsi" w:hAnsiTheme="minorHAnsi" w:eastAsiaTheme="minorEastAsia"/>
          <w:kern w:val="2"/>
          <w:sz w:val="21"/>
          <w:szCs w:val="22"/>
        </w:rPr>
      </w:pPr>
      <w:r>
        <w:t>7.1.2</w:t>
      </w:r>
      <w:r>
        <w:rPr>
          <w:rFonts w:hint="eastAsia"/>
        </w:rPr>
        <w:t xml:space="preserve"> 探矿权设置区块管理</w:t>
      </w:r>
      <w:r>
        <w:tab/>
      </w:r>
      <w:r>
        <w:fldChar w:fldCharType="begin"/>
      </w:r>
      <w:r>
        <w:instrText xml:space="preserve"> PAGEREF _Toc482798212 \h </w:instrText>
      </w:r>
      <w:r>
        <w:fldChar w:fldCharType="separate"/>
      </w:r>
      <w:r>
        <w:t>57</w:t>
      </w:r>
      <w:r>
        <w:fldChar w:fldCharType="end"/>
      </w:r>
    </w:p>
    <w:p w14:paraId="53036109">
      <w:pPr>
        <w:pStyle w:val="12"/>
        <w:rPr>
          <w:rFonts w:asciiTheme="minorHAnsi" w:hAnsiTheme="minorHAnsi" w:eastAsiaTheme="minorEastAsia"/>
          <w:kern w:val="2"/>
          <w:sz w:val="21"/>
          <w:szCs w:val="22"/>
        </w:rPr>
      </w:pPr>
      <w:r>
        <w:t>7.1.3</w:t>
      </w:r>
      <w:r>
        <w:rPr>
          <w:rFonts w:hint="eastAsia"/>
        </w:rPr>
        <w:t xml:space="preserve"> 矿产资源勘查管理</w:t>
      </w:r>
      <w:r>
        <w:tab/>
      </w:r>
      <w:r>
        <w:fldChar w:fldCharType="begin"/>
      </w:r>
      <w:r>
        <w:instrText xml:space="preserve"> PAGEREF _Toc482798213 \h </w:instrText>
      </w:r>
      <w:r>
        <w:fldChar w:fldCharType="separate"/>
      </w:r>
      <w:r>
        <w:t>58</w:t>
      </w:r>
      <w:r>
        <w:fldChar w:fldCharType="end"/>
      </w:r>
    </w:p>
    <w:p w14:paraId="6558BBD5">
      <w:pPr>
        <w:pStyle w:val="16"/>
        <w:rPr>
          <w:rFonts w:asciiTheme="minorHAnsi" w:hAnsiTheme="minorHAnsi" w:eastAsiaTheme="minorEastAsia"/>
          <w:kern w:val="2"/>
          <w:sz w:val="21"/>
          <w:szCs w:val="22"/>
        </w:rPr>
      </w:pPr>
      <w:r>
        <w:t>7.2</w:t>
      </w:r>
      <w:r>
        <w:rPr>
          <w:rFonts w:hint="eastAsia"/>
        </w:rPr>
        <w:t xml:space="preserve"> 采矿权设置区划</w:t>
      </w:r>
      <w:r>
        <w:tab/>
      </w:r>
      <w:r>
        <w:fldChar w:fldCharType="begin"/>
      </w:r>
      <w:r>
        <w:instrText xml:space="preserve"> PAGEREF _Toc482798214 \h </w:instrText>
      </w:r>
      <w:r>
        <w:fldChar w:fldCharType="separate"/>
      </w:r>
      <w:r>
        <w:t>59</w:t>
      </w:r>
      <w:r>
        <w:fldChar w:fldCharType="end"/>
      </w:r>
    </w:p>
    <w:p w14:paraId="23489075">
      <w:pPr>
        <w:pStyle w:val="16"/>
        <w:rPr>
          <w:rFonts w:asciiTheme="minorHAnsi" w:hAnsiTheme="minorHAnsi" w:eastAsiaTheme="minorEastAsia"/>
          <w:kern w:val="2"/>
          <w:sz w:val="21"/>
          <w:szCs w:val="22"/>
        </w:rPr>
      </w:pPr>
      <w:r>
        <w:t>7.3</w:t>
      </w:r>
      <w:r>
        <w:rPr>
          <w:rFonts w:hint="eastAsia"/>
        </w:rPr>
        <w:t xml:space="preserve"> 严格勘查开发监督管理</w:t>
      </w:r>
      <w:r>
        <w:tab/>
      </w:r>
      <w:r>
        <w:fldChar w:fldCharType="begin"/>
      </w:r>
      <w:r>
        <w:instrText xml:space="preserve"> PAGEREF _Toc482798215 \h </w:instrText>
      </w:r>
      <w:r>
        <w:fldChar w:fldCharType="separate"/>
      </w:r>
      <w:r>
        <w:t>60</w:t>
      </w:r>
      <w:r>
        <w:fldChar w:fldCharType="end"/>
      </w:r>
    </w:p>
    <w:p w14:paraId="5417A05B">
      <w:pPr>
        <w:pStyle w:val="12"/>
        <w:rPr>
          <w:rFonts w:asciiTheme="minorHAnsi" w:hAnsiTheme="minorHAnsi" w:eastAsiaTheme="minorEastAsia"/>
          <w:kern w:val="2"/>
          <w:sz w:val="21"/>
          <w:szCs w:val="22"/>
        </w:rPr>
      </w:pPr>
      <w:r>
        <w:t>7.3.1</w:t>
      </w:r>
      <w:r>
        <w:rPr>
          <w:rFonts w:hint="eastAsia"/>
        </w:rPr>
        <w:t xml:space="preserve"> 推进矿产资源勘查开发市场体系建设</w:t>
      </w:r>
      <w:r>
        <w:tab/>
      </w:r>
      <w:r>
        <w:fldChar w:fldCharType="begin"/>
      </w:r>
      <w:r>
        <w:instrText xml:space="preserve"> PAGEREF _Toc482798216 \h </w:instrText>
      </w:r>
      <w:r>
        <w:fldChar w:fldCharType="separate"/>
      </w:r>
      <w:r>
        <w:t>60</w:t>
      </w:r>
      <w:r>
        <w:fldChar w:fldCharType="end"/>
      </w:r>
    </w:p>
    <w:p w14:paraId="7E82B2A9">
      <w:pPr>
        <w:pStyle w:val="12"/>
        <w:rPr>
          <w:rFonts w:asciiTheme="minorHAnsi" w:hAnsiTheme="minorHAnsi" w:eastAsiaTheme="minorEastAsia"/>
          <w:kern w:val="2"/>
          <w:sz w:val="21"/>
          <w:szCs w:val="22"/>
        </w:rPr>
      </w:pPr>
      <w:r>
        <w:t>7.3.2</w:t>
      </w:r>
      <w:r>
        <w:rPr>
          <w:rFonts w:hint="eastAsia"/>
        </w:rPr>
        <w:t xml:space="preserve"> 理顺资源开发收益分配关系</w:t>
      </w:r>
      <w:r>
        <w:tab/>
      </w:r>
      <w:r>
        <w:fldChar w:fldCharType="begin"/>
      </w:r>
      <w:r>
        <w:instrText xml:space="preserve"> PAGEREF _Toc482798217 \h </w:instrText>
      </w:r>
      <w:r>
        <w:fldChar w:fldCharType="separate"/>
      </w:r>
      <w:r>
        <w:t>60</w:t>
      </w:r>
      <w:r>
        <w:fldChar w:fldCharType="end"/>
      </w:r>
    </w:p>
    <w:p w14:paraId="454A626C">
      <w:pPr>
        <w:pStyle w:val="12"/>
        <w:rPr>
          <w:rFonts w:asciiTheme="minorHAnsi" w:hAnsiTheme="minorHAnsi" w:eastAsiaTheme="minorEastAsia"/>
          <w:kern w:val="2"/>
          <w:sz w:val="21"/>
          <w:szCs w:val="22"/>
        </w:rPr>
      </w:pPr>
      <w:r>
        <w:t>7.3.3</w:t>
      </w:r>
      <w:r>
        <w:rPr>
          <w:rFonts w:hint="eastAsia"/>
        </w:rPr>
        <w:t xml:space="preserve"> 强化矿产资源宏观管理与公共服务</w:t>
      </w:r>
      <w:r>
        <w:tab/>
      </w:r>
      <w:r>
        <w:fldChar w:fldCharType="begin"/>
      </w:r>
      <w:r>
        <w:instrText xml:space="preserve"> PAGEREF _Toc482798218 \h </w:instrText>
      </w:r>
      <w:r>
        <w:fldChar w:fldCharType="separate"/>
      </w:r>
      <w:r>
        <w:t>61</w:t>
      </w:r>
      <w:r>
        <w:fldChar w:fldCharType="end"/>
      </w:r>
    </w:p>
    <w:p w14:paraId="3A53CA77">
      <w:pPr>
        <w:pStyle w:val="12"/>
        <w:rPr>
          <w:rFonts w:asciiTheme="minorHAnsi" w:hAnsiTheme="minorHAnsi" w:eastAsiaTheme="minorEastAsia"/>
          <w:kern w:val="2"/>
          <w:sz w:val="21"/>
          <w:szCs w:val="22"/>
        </w:rPr>
      </w:pPr>
      <w:r>
        <w:t>7.3.4</w:t>
      </w:r>
      <w:r>
        <w:rPr>
          <w:rFonts w:hint="eastAsia"/>
        </w:rPr>
        <w:t xml:space="preserve"> 健全完善开发利用监督管理体系</w:t>
      </w:r>
      <w:r>
        <w:tab/>
      </w:r>
      <w:r>
        <w:fldChar w:fldCharType="begin"/>
      </w:r>
      <w:r>
        <w:instrText xml:space="preserve"> PAGEREF _Toc482798219 \h </w:instrText>
      </w:r>
      <w:r>
        <w:fldChar w:fldCharType="separate"/>
      </w:r>
      <w:r>
        <w:t>61</w:t>
      </w:r>
      <w:r>
        <w:fldChar w:fldCharType="end"/>
      </w:r>
    </w:p>
    <w:p w14:paraId="5B0738FD">
      <w:pPr>
        <w:pStyle w:val="12"/>
        <w:rPr>
          <w:rFonts w:asciiTheme="minorHAnsi" w:hAnsiTheme="minorHAnsi" w:eastAsiaTheme="minorEastAsia"/>
          <w:kern w:val="2"/>
          <w:sz w:val="21"/>
          <w:szCs w:val="22"/>
        </w:rPr>
      </w:pPr>
      <w:r>
        <w:t>7.3.5</w:t>
      </w:r>
      <w:r>
        <w:rPr>
          <w:rFonts w:hint="eastAsia"/>
        </w:rPr>
        <w:t xml:space="preserve"> 严格勘查开发监督管理</w:t>
      </w:r>
      <w:r>
        <w:tab/>
      </w:r>
      <w:r>
        <w:fldChar w:fldCharType="begin"/>
      </w:r>
      <w:r>
        <w:instrText xml:space="preserve"> PAGEREF _Toc482798220 \h </w:instrText>
      </w:r>
      <w:r>
        <w:fldChar w:fldCharType="separate"/>
      </w:r>
      <w:r>
        <w:t>62</w:t>
      </w:r>
      <w:r>
        <w:fldChar w:fldCharType="end"/>
      </w:r>
    </w:p>
    <w:p w14:paraId="12ECF838">
      <w:pPr>
        <w:pStyle w:val="12"/>
        <w:rPr>
          <w:rFonts w:asciiTheme="minorHAnsi" w:hAnsiTheme="minorHAnsi" w:eastAsiaTheme="minorEastAsia"/>
          <w:kern w:val="2"/>
          <w:sz w:val="21"/>
          <w:szCs w:val="22"/>
        </w:rPr>
      </w:pPr>
      <w:r>
        <w:t>7.3.6</w:t>
      </w:r>
      <w:r>
        <w:rPr>
          <w:rFonts w:hint="eastAsia"/>
        </w:rPr>
        <w:t xml:space="preserve"> 探索矿业扶贫新机制</w:t>
      </w:r>
      <w:r>
        <w:tab/>
      </w:r>
      <w:r>
        <w:fldChar w:fldCharType="begin"/>
      </w:r>
      <w:r>
        <w:instrText xml:space="preserve"> PAGEREF _Toc482798221 \h </w:instrText>
      </w:r>
      <w:r>
        <w:fldChar w:fldCharType="separate"/>
      </w:r>
      <w:r>
        <w:t>62</w:t>
      </w:r>
      <w:r>
        <w:fldChar w:fldCharType="end"/>
      </w:r>
    </w:p>
    <w:p w14:paraId="7090A2DA">
      <w:pPr>
        <w:pStyle w:val="15"/>
        <w:rPr>
          <w:rFonts w:asciiTheme="minorHAnsi" w:hAnsiTheme="minorHAnsi" w:eastAsiaTheme="minorEastAsia"/>
          <w:kern w:val="2"/>
          <w:sz w:val="21"/>
          <w:szCs w:val="22"/>
        </w:rPr>
      </w:pPr>
      <w:r>
        <w:t>8</w:t>
      </w:r>
      <w:r>
        <w:rPr>
          <w:rFonts w:hint="eastAsia"/>
        </w:rPr>
        <w:t xml:space="preserve"> 环境保护与生态保护</w:t>
      </w:r>
      <w:r>
        <w:tab/>
      </w:r>
      <w:r>
        <w:fldChar w:fldCharType="begin"/>
      </w:r>
      <w:r>
        <w:instrText xml:space="preserve"> PAGEREF _Toc482798222 \h </w:instrText>
      </w:r>
      <w:r>
        <w:fldChar w:fldCharType="separate"/>
      </w:r>
      <w:r>
        <w:t>63</w:t>
      </w:r>
      <w:r>
        <w:fldChar w:fldCharType="end"/>
      </w:r>
    </w:p>
    <w:p w14:paraId="0071B276">
      <w:pPr>
        <w:pStyle w:val="16"/>
        <w:rPr>
          <w:rFonts w:asciiTheme="minorHAnsi" w:hAnsiTheme="minorHAnsi" w:eastAsiaTheme="minorEastAsia"/>
          <w:kern w:val="2"/>
          <w:sz w:val="21"/>
          <w:szCs w:val="22"/>
        </w:rPr>
      </w:pPr>
      <w:r>
        <w:t>8.1</w:t>
      </w:r>
      <w:r>
        <w:rPr>
          <w:rFonts w:hint="eastAsia"/>
        </w:rPr>
        <w:t xml:space="preserve"> 矿产资源总体规划分析</w:t>
      </w:r>
      <w:r>
        <w:tab/>
      </w:r>
      <w:r>
        <w:fldChar w:fldCharType="begin"/>
      </w:r>
      <w:r>
        <w:instrText xml:space="preserve"> PAGEREF _Toc482798223 \h </w:instrText>
      </w:r>
      <w:r>
        <w:fldChar w:fldCharType="separate"/>
      </w:r>
      <w:r>
        <w:t>64</w:t>
      </w:r>
      <w:r>
        <w:fldChar w:fldCharType="end"/>
      </w:r>
    </w:p>
    <w:p w14:paraId="0C20D945">
      <w:pPr>
        <w:pStyle w:val="12"/>
        <w:rPr>
          <w:rFonts w:asciiTheme="minorHAnsi" w:hAnsiTheme="minorHAnsi" w:eastAsiaTheme="minorEastAsia"/>
          <w:kern w:val="2"/>
          <w:sz w:val="21"/>
          <w:szCs w:val="22"/>
        </w:rPr>
      </w:pPr>
      <w:r>
        <w:t>8.1.1</w:t>
      </w:r>
      <w:r>
        <w:rPr>
          <w:rFonts w:hint="eastAsia"/>
        </w:rPr>
        <w:t xml:space="preserve"> 规划目标分析</w:t>
      </w:r>
      <w:r>
        <w:tab/>
      </w:r>
      <w:r>
        <w:fldChar w:fldCharType="begin"/>
      </w:r>
      <w:r>
        <w:instrText xml:space="preserve"> PAGEREF _Toc482798224 \h </w:instrText>
      </w:r>
      <w:r>
        <w:fldChar w:fldCharType="separate"/>
      </w:r>
      <w:r>
        <w:t>65</w:t>
      </w:r>
      <w:r>
        <w:fldChar w:fldCharType="end"/>
      </w:r>
    </w:p>
    <w:p w14:paraId="1C453090">
      <w:pPr>
        <w:pStyle w:val="12"/>
        <w:rPr>
          <w:rFonts w:asciiTheme="minorHAnsi" w:hAnsiTheme="minorHAnsi" w:eastAsiaTheme="minorEastAsia"/>
          <w:kern w:val="2"/>
          <w:sz w:val="21"/>
          <w:szCs w:val="22"/>
        </w:rPr>
      </w:pPr>
      <w:r>
        <w:t>8.1.2</w:t>
      </w:r>
      <w:r>
        <w:rPr>
          <w:rFonts w:hint="eastAsia"/>
        </w:rPr>
        <w:t xml:space="preserve"> 规划布局和矿业权设置区划分析</w:t>
      </w:r>
      <w:r>
        <w:tab/>
      </w:r>
      <w:r>
        <w:fldChar w:fldCharType="begin"/>
      </w:r>
      <w:r>
        <w:instrText xml:space="preserve"> PAGEREF _Toc482798225 \h </w:instrText>
      </w:r>
      <w:r>
        <w:fldChar w:fldCharType="separate"/>
      </w:r>
      <w:r>
        <w:t>65</w:t>
      </w:r>
      <w:r>
        <w:fldChar w:fldCharType="end"/>
      </w:r>
    </w:p>
    <w:p w14:paraId="3682B98B">
      <w:pPr>
        <w:pStyle w:val="12"/>
        <w:rPr>
          <w:rFonts w:asciiTheme="minorHAnsi" w:hAnsiTheme="minorHAnsi" w:eastAsiaTheme="minorEastAsia"/>
          <w:kern w:val="2"/>
          <w:sz w:val="21"/>
          <w:szCs w:val="22"/>
        </w:rPr>
      </w:pPr>
      <w:r>
        <w:t>8.1.3</w:t>
      </w:r>
      <w:r>
        <w:rPr>
          <w:rFonts w:hint="eastAsia"/>
        </w:rPr>
        <w:t xml:space="preserve"> 矿山地质环境保护与恢复治理分析</w:t>
      </w:r>
      <w:r>
        <w:tab/>
      </w:r>
      <w:r>
        <w:fldChar w:fldCharType="begin"/>
      </w:r>
      <w:r>
        <w:instrText xml:space="preserve"> PAGEREF _Toc482798226 \h </w:instrText>
      </w:r>
      <w:r>
        <w:fldChar w:fldCharType="separate"/>
      </w:r>
      <w:r>
        <w:t>69</w:t>
      </w:r>
      <w:r>
        <w:fldChar w:fldCharType="end"/>
      </w:r>
    </w:p>
    <w:p w14:paraId="138E1CF0">
      <w:pPr>
        <w:pStyle w:val="16"/>
        <w:rPr>
          <w:rFonts w:asciiTheme="minorHAnsi" w:hAnsiTheme="minorHAnsi" w:eastAsiaTheme="minorEastAsia"/>
          <w:kern w:val="2"/>
          <w:sz w:val="21"/>
          <w:szCs w:val="22"/>
        </w:rPr>
      </w:pPr>
      <w:r>
        <w:t>8.2</w:t>
      </w:r>
      <w:r>
        <w:rPr>
          <w:rFonts w:hint="eastAsia"/>
        </w:rPr>
        <w:t xml:space="preserve"> 预测与评价</w:t>
      </w:r>
      <w:r>
        <w:tab/>
      </w:r>
      <w:r>
        <w:fldChar w:fldCharType="begin"/>
      </w:r>
      <w:r>
        <w:instrText xml:space="preserve"> PAGEREF _Toc482798227 \h </w:instrText>
      </w:r>
      <w:r>
        <w:fldChar w:fldCharType="separate"/>
      </w:r>
      <w:r>
        <w:t>70</w:t>
      </w:r>
      <w:r>
        <w:fldChar w:fldCharType="end"/>
      </w:r>
    </w:p>
    <w:p w14:paraId="672A6C0E">
      <w:pPr>
        <w:pStyle w:val="12"/>
        <w:rPr>
          <w:rFonts w:asciiTheme="minorHAnsi" w:hAnsiTheme="minorHAnsi" w:eastAsiaTheme="minorEastAsia"/>
          <w:kern w:val="2"/>
          <w:sz w:val="21"/>
          <w:szCs w:val="22"/>
        </w:rPr>
      </w:pPr>
      <w:r>
        <w:t>8.2.1</w:t>
      </w:r>
      <w:r>
        <w:rPr>
          <w:rFonts w:hint="eastAsia"/>
        </w:rPr>
        <w:t xml:space="preserve"> 规划分区环境影响预测与评价</w:t>
      </w:r>
      <w:r>
        <w:tab/>
      </w:r>
      <w:r>
        <w:fldChar w:fldCharType="begin"/>
      </w:r>
      <w:r>
        <w:instrText xml:space="preserve"> PAGEREF _Toc482798228 \h </w:instrText>
      </w:r>
      <w:r>
        <w:fldChar w:fldCharType="separate"/>
      </w:r>
      <w:r>
        <w:t>70</w:t>
      </w:r>
      <w:r>
        <w:fldChar w:fldCharType="end"/>
      </w:r>
    </w:p>
    <w:p w14:paraId="74DF5A24">
      <w:pPr>
        <w:pStyle w:val="12"/>
        <w:rPr>
          <w:rFonts w:asciiTheme="minorHAnsi" w:hAnsiTheme="minorHAnsi" w:eastAsiaTheme="minorEastAsia"/>
          <w:kern w:val="2"/>
          <w:sz w:val="21"/>
          <w:szCs w:val="22"/>
        </w:rPr>
      </w:pPr>
      <w:r>
        <w:t>8.2.2</w:t>
      </w:r>
      <w:r>
        <w:rPr>
          <w:rFonts w:hint="eastAsia"/>
        </w:rPr>
        <w:t xml:space="preserve"> 矿业权设置区划环境影响预测与评价</w:t>
      </w:r>
      <w:r>
        <w:tab/>
      </w:r>
      <w:r>
        <w:fldChar w:fldCharType="begin"/>
      </w:r>
      <w:r>
        <w:instrText xml:space="preserve"> PAGEREF _Toc482798229 \h </w:instrText>
      </w:r>
      <w:r>
        <w:fldChar w:fldCharType="separate"/>
      </w:r>
      <w:r>
        <w:t>70</w:t>
      </w:r>
      <w:r>
        <w:fldChar w:fldCharType="end"/>
      </w:r>
    </w:p>
    <w:p w14:paraId="664C0E71">
      <w:pPr>
        <w:pStyle w:val="12"/>
        <w:rPr>
          <w:rFonts w:asciiTheme="minorHAnsi" w:hAnsiTheme="minorHAnsi" w:eastAsiaTheme="minorEastAsia"/>
          <w:kern w:val="2"/>
          <w:sz w:val="21"/>
          <w:szCs w:val="22"/>
        </w:rPr>
      </w:pPr>
      <w:r>
        <w:t>8.2.3</w:t>
      </w:r>
      <w:r>
        <w:rPr>
          <w:rFonts w:hint="eastAsia"/>
        </w:rPr>
        <w:t xml:space="preserve"> 勘查规划区设置环境影响预测与评价</w:t>
      </w:r>
      <w:r>
        <w:tab/>
      </w:r>
      <w:r>
        <w:fldChar w:fldCharType="begin"/>
      </w:r>
      <w:r>
        <w:instrText xml:space="preserve"> PAGEREF _Toc482798230 \h </w:instrText>
      </w:r>
      <w:r>
        <w:fldChar w:fldCharType="separate"/>
      </w:r>
      <w:r>
        <w:t>70</w:t>
      </w:r>
      <w:r>
        <w:fldChar w:fldCharType="end"/>
      </w:r>
    </w:p>
    <w:p w14:paraId="33E3E522">
      <w:pPr>
        <w:pStyle w:val="12"/>
        <w:rPr>
          <w:rFonts w:asciiTheme="minorHAnsi" w:hAnsiTheme="minorHAnsi" w:eastAsiaTheme="minorEastAsia"/>
          <w:kern w:val="2"/>
          <w:sz w:val="21"/>
          <w:szCs w:val="22"/>
        </w:rPr>
      </w:pPr>
      <w:r>
        <w:t>8.2.4</w:t>
      </w:r>
      <w:r>
        <w:rPr>
          <w:rFonts w:hint="eastAsia"/>
        </w:rPr>
        <w:t xml:space="preserve"> 开采规划区块设置环境影响预测与评价</w:t>
      </w:r>
      <w:r>
        <w:tab/>
      </w:r>
      <w:r>
        <w:fldChar w:fldCharType="begin"/>
      </w:r>
      <w:r>
        <w:instrText xml:space="preserve"> PAGEREF _Toc482798231 \h </w:instrText>
      </w:r>
      <w:r>
        <w:fldChar w:fldCharType="separate"/>
      </w:r>
      <w:r>
        <w:t>71</w:t>
      </w:r>
      <w:r>
        <w:fldChar w:fldCharType="end"/>
      </w:r>
    </w:p>
    <w:p w14:paraId="70EECB90">
      <w:pPr>
        <w:pStyle w:val="12"/>
        <w:rPr>
          <w:rFonts w:asciiTheme="minorHAnsi" w:hAnsiTheme="minorHAnsi" w:eastAsiaTheme="minorEastAsia"/>
          <w:kern w:val="2"/>
          <w:sz w:val="21"/>
          <w:szCs w:val="22"/>
        </w:rPr>
      </w:pPr>
      <w:r>
        <w:t>8.2.5</w:t>
      </w:r>
      <w:r>
        <w:rPr>
          <w:rFonts w:hint="eastAsia"/>
        </w:rPr>
        <w:t xml:space="preserve"> 矿山环境治理分区与治理项目预测与评价</w:t>
      </w:r>
      <w:r>
        <w:tab/>
      </w:r>
      <w:r>
        <w:fldChar w:fldCharType="begin"/>
      </w:r>
      <w:r>
        <w:instrText xml:space="preserve"> PAGEREF _Toc482798232 \h </w:instrText>
      </w:r>
      <w:r>
        <w:fldChar w:fldCharType="separate"/>
      </w:r>
      <w:r>
        <w:t>73</w:t>
      </w:r>
      <w:r>
        <w:fldChar w:fldCharType="end"/>
      </w:r>
    </w:p>
    <w:p w14:paraId="70A2FD76">
      <w:pPr>
        <w:pStyle w:val="16"/>
        <w:rPr>
          <w:rFonts w:asciiTheme="minorHAnsi" w:hAnsiTheme="minorHAnsi" w:eastAsiaTheme="minorEastAsia"/>
          <w:kern w:val="2"/>
          <w:sz w:val="21"/>
          <w:szCs w:val="22"/>
        </w:rPr>
      </w:pPr>
      <w:r>
        <w:t>8.3</w:t>
      </w:r>
      <w:r>
        <w:rPr>
          <w:rFonts w:hint="eastAsia"/>
        </w:rPr>
        <w:t xml:space="preserve"> 规划方案综合论证</w:t>
      </w:r>
      <w:r>
        <w:tab/>
      </w:r>
      <w:r>
        <w:fldChar w:fldCharType="begin"/>
      </w:r>
      <w:r>
        <w:instrText xml:space="preserve"> PAGEREF _Toc482798233 \h </w:instrText>
      </w:r>
      <w:r>
        <w:fldChar w:fldCharType="separate"/>
      </w:r>
      <w:r>
        <w:t>74</w:t>
      </w:r>
      <w:r>
        <w:fldChar w:fldCharType="end"/>
      </w:r>
    </w:p>
    <w:p w14:paraId="0CA1E3CF">
      <w:pPr>
        <w:pStyle w:val="16"/>
        <w:rPr>
          <w:rFonts w:asciiTheme="minorHAnsi" w:hAnsiTheme="minorHAnsi" w:eastAsiaTheme="minorEastAsia"/>
          <w:kern w:val="2"/>
          <w:sz w:val="21"/>
          <w:szCs w:val="22"/>
        </w:rPr>
      </w:pPr>
      <w:r>
        <w:t>8.4</w:t>
      </w:r>
      <w:r>
        <w:rPr>
          <w:rFonts w:hint="eastAsia"/>
        </w:rPr>
        <w:t xml:space="preserve"> 预防或减轻不良环境影响的对策措施</w:t>
      </w:r>
      <w:r>
        <w:tab/>
      </w:r>
      <w:r>
        <w:fldChar w:fldCharType="begin"/>
      </w:r>
      <w:r>
        <w:instrText xml:space="preserve"> PAGEREF _Toc482798234 \h </w:instrText>
      </w:r>
      <w:r>
        <w:fldChar w:fldCharType="separate"/>
      </w:r>
      <w:r>
        <w:t>75</w:t>
      </w:r>
      <w:r>
        <w:fldChar w:fldCharType="end"/>
      </w:r>
    </w:p>
    <w:p w14:paraId="12C0607C">
      <w:pPr>
        <w:pStyle w:val="12"/>
        <w:rPr>
          <w:rFonts w:asciiTheme="minorHAnsi" w:hAnsiTheme="minorHAnsi" w:eastAsiaTheme="minorEastAsia"/>
          <w:kern w:val="2"/>
          <w:sz w:val="21"/>
          <w:szCs w:val="22"/>
        </w:rPr>
      </w:pPr>
      <w:r>
        <w:t>8.4.1</w:t>
      </w:r>
      <w:r>
        <w:rPr>
          <w:rFonts w:hint="eastAsia"/>
        </w:rPr>
        <w:t xml:space="preserve"> 针对植被破坏和土地占压环境问题的对策措施</w:t>
      </w:r>
      <w:r>
        <w:tab/>
      </w:r>
      <w:r>
        <w:fldChar w:fldCharType="begin"/>
      </w:r>
      <w:r>
        <w:instrText xml:space="preserve"> PAGEREF _Toc482798235 \h </w:instrText>
      </w:r>
      <w:r>
        <w:fldChar w:fldCharType="separate"/>
      </w:r>
      <w:r>
        <w:t>76</w:t>
      </w:r>
      <w:r>
        <w:fldChar w:fldCharType="end"/>
      </w:r>
    </w:p>
    <w:p w14:paraId="313C599B">
      <w:pPr>
        <w:pStyle w:val="12"/>
        <w:rPr>
          <w:rFonts w:asciiTheme="minorHAnsi" w:hAnsiTheme="minorHAnsi" w:eastAsiaTheme="minorEastAsia"/>
          <w:kern w:val="2"/>
          <w:sz w:val="21"/>
          <w:szCs w:val="22"/>
        </w:rPr>
      </w:pPr>
      <w:r>
        <w:t>8.4.2</w:t>
      </w:r>
      <w:r>
        <w:rPr>
          <w:rFonts w:hint="eastAsia"/>
        </w:rPr>
        <w:t xml:space="preserve"> 针对空气和水土污染环境问题的对策措施</w:t>
      </w:r>
      <w:r>
        <w:tab/>
      </w:r>
      <w:r>
        <w:fldChar w:fldCharType="begin"/>
      </w:r>
      <w:r>
        <w:instrText xml:space="preserve"> PAGEREF _Toc482798236 \h </w:instrText>
      </w:r>
      <w:r>
        <w:fldChar w:fldCharType="separate"/>
      </w:r>
      <w:r>
        <w:t>76</w:t>
      </w:r>
      <w:r>
        <w:fldChar w:fldCharType="end"/>
      </w:r>
    </w:p>
    <w:p w14:paraId="60EDF6C1">
      <w:pPr>
        <w:pStyle w:val="12"/>
        <w:rPr>
          <w:rFonts w:asciiTheme="minorHAnsi" w:hAnsiTheme="minorHAnsi" w:eastAsiaTheme="minorEastAsia"/>
          <w:kern w:val="2"/>
          <w:sz w:val="21"/>
          <w:szCs w:val="22"/>
        </w:rPr>
      </w:pPr>
      <w:r>
        <w:t>8.4.3</w:t>
      </w:r>
      <w:r>
        <w:rPr>
          <w:rFonts w:hint="eastAsia"/>
        </w:rPr>
        <w:t xml:space="preserve"> 针对地面沉降问题的对策措施</w:t>
      </w:r>
      <w:r>
        <w:tab/>
      </w:r>
      <w:r>
        <w:fldChar w:fldCharType="begin"/>
      </w:r>
      <w:r>
        <w:instrText xml:space="preserve"> PAGEREF _Toc482798237 \h </w:instrText>
      </w:r>
      <w:r>
        <w:fldChar w:fldCharType="separate"/>
      </w:r>
      <w:r>
        <w:t>76</w:t>
      </w:r>
      <w:r>
        <w:fldChar w:fldCharType="end"/>
      </w:r>
    </w:p>
    <w:p w14:paraId="06093E5C">
      <w:pPr>
        <w:pStyle w:val="12"/>
        <w:rPr>
          <w:rFonts w:asciiTheme="minorHAnsi" w:hAnsiTheme="minorHAnsi" w:eastAsiaTheme="minorEastAsia"/>
          <w:kern w:val="2"/>
          <w:sz w:val="21"/>
          <w:szCs w:val="22"/>
        </w:rPr>
      </w:pPr>
      <w:r>
        <w:t>8.4.4</w:t>
      </w:r>
      <w:r>
        <w:rPr>
          <w:rFonts w:hint="eastAsia"/>
        </w:rPr>
        <w:t xml:space="preserve"> 生产和改扩建矿山地质环境防治对策措施</w:t>
      </w:r>
      <w:r>
        <w:tab/>
      </w:r>
      <w:r>
        <w:fldChar w:fldCharType="begin"/>
      </w:r>
      <w:r>
        <w:instrText xml:space="preserve"> PAGEREF _Toc482798238 \h </w:instrText>
      </w:r>
      <w:r>
        <w:fldChar w:fldCharType="separate"/>
      </w:r>
      <w:r>
        <w:t>77</w:t>
      </w:r>
      <w:r>
        <w:fldChar w:fldCharType="end"/>
      </w:r>
    </w:p>
    <w:p w14:paraId="295A95DE">
      <w:pPr>
        <w:pStyle w:val="12"/>
        <w:rPr>
          <w:rFonts w:asciiTheme="minorHAnsi" w:hAnsiTheme="minorHAnsi" w:eastAsiaTheme="minorEastAsia"/>
          <w:kern w:val="2"/>
          <w:sz w:val="21"/>
          <w:szCs w:val="22"/>
        </w:rPr>
      </w:pPr>
      <w:r>
        <w:t>8.4.5</w:t>
      </w:r>
      <w:r>
        <w:rPr>
          <w:rFonts w:hint="eastAsia"/>
        </w:rPr>
        <w:t xml:space="preserve"> 停采闭坑矿山地质环境防治对策措施</w:t>
      </w:r>
      <w:r>
        <w:tab/>
      </w:r>
      <w:r>
        <w:fldChar w:fldCharType="begin"/>
      </w:r>
      <w:r>
        <w:instrText xml:space="preserve"> PAGEREF _Toc482798239 \h </w:instrText>
      </w:r>
      <w:r>
        <w:fldChar w:fldCharType="separate"/>
      </w:r>
      <w:r>
        <w:t>77</w:t>
      </w:r>
      <w:r>
        <w:fldChar w:fldCharType="end"/>
      </w:r>
    </w:p>
    <w:p w14:paraId="2525385C">
      <w:pPr>
        <w:pStyle w:val="12"/>
        <w:rPr>
          <w:rFonts w:asciiTheme="minorHAnsi" w:hAnsiTheme="minorHAnsi" w:eastAsiaTheme="minorEastAsia"/>
          <w:kern w:val="2"/>
          <w:sz w:val="21"/>
          <w:szCs w:val="22"/>
        </w:rPr>
      </w:pPr>
      <w:r>
        <w:t>8.4.6</w:t>
      </w:r>
      <w:r>
        <w:rPr>
          <w:rFonts w:hint="eastAsia"/>
        </w:rPr>
        <w:t xml:space="preserve"> 提高资源利用水平，减少“三废”排放</w:t>
      </w:r>
      <w:r>
        <w:tab/>
      </w:r>
      <w:r>
        <w:fldChar w:fldCharType="begin"/>
      </w:r>
      <w:r>
        <w:instrText xml:space="preserve"> PAGEREF _Toc482798240 \h </w:instrText>
      </w:r>
      <w:r>
        <w:fldChar w:fldCharType="separate"/>
      </w:r>
      <w:r>
        <w:t>77</w:t>
      </w:r>
      <w:r>
        <w:fldChar w:fldCharType="end"/>
      </w:r>
    </w:p>
    <w:p w14:paraId="7139A77B">
      <w:pPr>
        <w:pStyle w:val="12"/>
        <w:rPr>
          <w:rFonts w:asciiTheme="minorHAnsi" w:hAnsiTheme="minorHAnsi" w:eastAsiaTheme="minorEastAsia"/>
          <w:kern w:val="2"/>
          <w:sz w:val="21"/>
          <w:szCs w:val="22"/>
        </w:rPr>
      </w:pPr>
      <w:r>
        <w:rPr>
          <w:spacing w:val="-2"/>
        </w:rPr>
        <w:t>8.4.7</w:t>
      </w:r>
      <w:r>
        <w:rPr>
          <w:rFonts w:hint="eastAsia"/>
        </w:rPr>
        <w:t xml:space="preserve"> 进一步完善环境监测体系，加强监管</w:t>
      </w:r>
      <w:r>
        <w:tab/>
      </w:r>
      <w:r>
        <w:fldChar w:fldCharType="begin"/>
      </w:r>
      <w:r>
        <w:instrText xml:space="preserve"> PAGEREF _Toc482798241 \h </w:instrText>
      </w:r>
      <w:r>
        <w:fldChar w:fldCharType="separate"/>
      </w:r>
      <w:r>
        <w:t>77</w:t>
      </w:r>
      <w:r>
        <w:fldChar w:fldCharType="end"/>
      </w:r>
    </w:p>
    <w:p w14:paraId="1E514757">
      <w:pPr>
        <w:pStyle w:val="16"/>
        <w:rPr>
          <w:rFonts w:asciiTheme="minorHAnsi" w:hAnsiTheme="minorHAnsi" w:eastAsiaTheme="minorEastAsia"/>
          <w:kern w:val="2"/>
          <w:sz w:val="21"/>
          <w:szCs w:val="22"/>
        </w:rPr>
      </w:pPr>
      <w:r>
        <w:t>8.5</w:t>
      </w:r>
      <w:r>
        <w:rPr>
          <w:rFonts w:hint="eastAsia"/>
        </w:rPr>
        <w:t xml:space="preserve"> 规划环境影响跟踪评价</w:t>
      </w:r>
      <w:r>
        <w:tab/>
      </w:r>
      <w:r>
        <w:fldChar w:fldCharType="begin"/>
      </w:r>
      <w:r>
        <w:instrText xml:space="preserve"> PAGEREF _Toc482798242 \h </w:instrText>
      </w:r>
      <w:r>
        <w:fldChar w:fldCharType="separate"/>
      </w:r>
      <w:r>
        <w:t>78</w:t>
      </w:r>
      <w:r>
        <w:fldChar w:fldCharType="end"/>
      </w:r>
    </w:p>
    <w:p w14:paraId="46E60AE4">
      <w:pPr>
        <w:pStyle w:val="12"/>
        <w:rPr>
          <w:rFonts w:asciiTheme="minorHAnsi" w:hAnsiTheme="minorHAnsi" w:eastAsiaTheme="minorEastAsia"/>
          <w:kern w:val="2"/>
          <w:sz w:val="21"/>
          <w:szCs w:val="22"/>
        </w:rPr>
      </w:pPr>
      <w:r>
        <w:t>8.5.1</w:t>
      </w:r>
      <w:r>
        <w:rPr>
          <w:rFonts w:hint="eastAsia"/>
        </w:rPr>
        <w:t xml:space="preserve"> 建立联动机制进行环境影响跟踪评价</w:t>
      </w:r>
      <w:r>
        <w:tab/>
      </w:r>
      <w:r>
        <w:fldChar w:fldCharType="begin"/>
      </w:r>
      <w:r>
        <w:instrText xml:space="preserve"> PAGEREF _Toc482798243 \h </w:instrText>
      </w:r>
      <w:r>
        <w:fldChar w:fldCharType="separate"/>
      </w:r>
      <w:r>
        <w:t>79</w:t>
      </w:r>
      <w:r>
        <w:fldChar w:fldCharType="end"/>
      </w:r>
    </w:p>
    <w:p w14:paraId="6DD89B24">
      <w:pPr>
        <w:pStyle w:val="12"/>
        <w:rPr>
          <w:rFonts w:asciiTheme="minorHAnsi" w:hAnsiTheme="minorHAnsi" w:eastAsiaTheme="minorEastAsia"/>
          <w:kern w:val="2"/>
          <w:sz w:val="21"/>
          <w:szCs w:val="22"/>
        </w:rPr>
      </w:pPr>
      <w:r>
        <w:t>8.5.2</w:t>
      </w:r>
      <w:r>
        <w:rPr>
          <w:rFonts w:hint="eastAsia"/>
        </w:rPr>
        <w:t xml:space="preserve"> 建立规划实施环境影响定期评估制度</w:t>
      </w:r>
      <w:r>
        <w:tab/>
      </w:r>
      <w:r>
        <w:fldChar w:fldCharType="begin"/>
      </w:r>
      <w:r>
        <w:instrText xml:space="preserve"> PAGEREF _Toc482798244 \h </w:instrText>
      </w:r>
      <w:r>
        <w:fldChar w:fldCharType="separate"/>
      </w:r>
      <w:r>
        <w:t>79</w:t>
      </w:r>
      <w:r>
        <w:fldChar w:fldCharType="end"/>
      </w:r>
    </w:p>
    <w:p w14:paraId="2ADA9592">
      <w:pPr>
        <w:pStyle w:val="12"/>
        <w:rPr>
          <w:rFonts w:asciiTheme="minorHAnsi" w:hAnsiTheme="minorHAnsi" w:eastAsiaTheme="minorEastAsia"/>
          <w:kern w:val="2"/>
          <w:sz w:val="21"/>
          <w:szCs w:val="22"/>
        </w:rPr>
      </w:pPr>
      <w:r>
        <w:t>8.5.3</w:t>
      </w:r>
      <w:r>
        <w:rPr>
          <w:rFonts w:hint="eastAsia"/>
        </w:rPr>
        <w:t xml:space="preserve"> 建立规划实施环境影响监控责任考核制度</w:t>
      </w:r>
      <w:r>
        <w:tab/>
      </w:r>
      <w:r>
        <w:fldChar w:fldCharType="begin"/>
      </w:r>
      <w:r>
        <w:instrText xml:space="preserve"> PAGEREF _Toc482798245 \h </w:instrText>
      </w:r>
      <w:r>
        <w:fldChar w:fldCharType="separate"/>
      </w:r>
      <w:r>
        <w:t>79</w:t>
      </w:r>
      <w:r>
        <w:fldChar w:fldCharType="end"/>
      </w:r>
    </w:p>
    <w:p w14:paraId="75B74235">
      <w:pPr>
        <w:pStyle w:val="16"/>
        <w:rPr>
          <w:rFonts w:asciiTheme="minorHAnsi" w:hAnsiTheme="minorHAnsi" w:eastAsiaTheme="minorEastAsia"/>
          <w:kern w:val="2"/>
          <w:sz w:val="21"/>
          <w:szCs w:val="22"/>
        </w:rPr>
      </w:pPr>
      <w:r>
        <w:t>8.6</w:t>
      </w:r>
      <w:r>
        <w:rPr>
          <w:rFonts w:hint="eastAsia"/>
        </w:rPr>
        <w:t xml:space="preserve"> 公众参与</w:t>
      </w:r>
      <w:r>
        <w:tab/>
      </w:r>
      <w:r>
        <w:fldChar w:fldCharType="begin"/>
      </w:r>
      <w:r>
        <w:instrText xml:space="preserve"> PAGEREF _Toc482798246 \h </w:instrText>
      </w:r>
      <w:r>
        <w:fldChar w:fldCharType="separate"/>
      </w:r>
      <w:r>
        <w:t>80</w:t>
      </w:r>
      <w:r>
        <w:fldChar w:fldCharType="end"/>
      </w:r>
    </w:p>
    <w:p w14:paraId="0B1BE1D9">
      <w:pPr>
        <w:pStyle w:val="16"/>
        <w:rPr>
          <w:rFonts w:asciiTheme="minorHAnsi" w:hAnsiTheme="minorHAnsi" w:eastAsiaTheme="minorEastAsia"/>
          <w:kern w:val="2"/>
          <w:sz w:val="21"/>
          <w:szCs w:val="22"/>
        </w:rPr>
      </w:pPr>
      <w:r>
        <w:t>8.7</w:t>
      </w:r>
      <w:r>
        <w:rPr>
          <w:rFonts w:hint="eastAsia"/>
        </w:rPr>
        <w:t xml:space="preserve"> 结论</w:t>
      </w:r>
      <w:r>
        <w:tab/>
      </w:r>
      <w:r>
        <w:fldChar w:fldCharType="begin"/>
      </w:r>
      <w:r>
        <w:instrText xml:space="preserve"> PAGEREF _Toc482798247 \h </w:instrText>
      </w:r>
      <w:r>
        <w:fldChar w:fldCharType="separate"/>
      </w:r>
      <w:r>
        <w:t>80</w:t>
      </w:r>
      <w:r>
        <w:fldChar w:fldCharType="end"/>
      </w:r>
    </w:p>
    <w:p w14:paraId="73FA41A8">
      <w:pPr>
        <w:pStyle w:val="12"/>
        <w:rPr>
          <w:rFonts w:asciiTheme="minorHAnsi" w:hAnsiTheme="minorHAnsi" w:eastAsiaTheme="minorEastAsia"/>
          <w:kern w:val="2"/>
          <w:sz w:val="21"/>
          <w:szCs w:val="22"/>
        </w:rPr>
      </w:pPr>
      <w:r>
        <w:t>8.7.1</w:t>
      </w:r>
      <w:r>
        <w:rPr>
          <w:rFonts w:hint="eastAsia"/>
        </w:rPr>
        <w:t xml:space="preserve"> 《规划》实施环境可行</w:t>
      </w:r>
      <w:r>
        <w:tab/>
      </w:r>
      <w:r>
        <w:fldChar w:fldCharType="begin"/>
      </w:r>
      <w:r>
        <w:instrText xml:space="preserve"> PAGEREF _Toc482798248 \h </w:instrText>
      </w:r>
      <w:r>
        <w:fldChar w:fldCharType="separate"/>
      </w:r>
      <w:r>
        <w:t>80</w:t>
      </w:r>
      <w:r>
        <w:fldChar w:fldCharType="end"/>
      </w:r>
    </w:p>
    <w:p w14:paraId="7074637D">
      <w:pPr>
        <w:pStyle w:val="12"/>
        <w:rPr>
          <w:rFonts w:asciiTheme="minorHAnsi" w:hAnsiTheme="minorHAnsi" w:eastAsiaTheme="minorEastAsia"/>
          <w:kern w:val="2"/>
          <w:sz w:val="21"/>
          <w:szCs w:val="22"/>
        </w:rPr>
      </w:pPr>
      <w:r>
        <w:t>8.7.2</w:t>
      </w:r>
      <w:r>
        <w:rPr>
          <w:rFonts w:hint="eastAsia"/>
        </w:rPr>
        <w:t xml:space="preserve"> 《规划》实施经济可行</w:t>
      </w:r>
      <w:r>
        <w:tab/>
      </w:r>
      <w:r>
        <w:fldChar w:fldCharType="begin"/>
      </w:r>
      <w:r>
        <w:instrText xml:space="preserve"> PAGEREF _Toc482798249 \h </w:instrText>
      </w:r>
      <w:r>
        <w:fldChar w:fldCharType="separate"/>
      </w:r>
      <w:r>
        <w:t>81</w:t>
      </w:r>
      <w:r>
        <w:fldChar w:fldCharType="end"/>
      </w:r>
    </w:p>
    <w:p w14:paraId="77C6D36A">
      <w:pPr>
        <w:pStyle w:val="12"/>
        <w:rPr>
          <w:rFonts w:asciiTheme="minorHAnsi" w:hAnsiTheme="minorHAnsi" w:eastAsiaTheme="minorEastAsia"/>
          <w:kern w:val="2"/>
          <w:sz w:val="21"/>
          <w:szCs w:val="22"/>
        </w:rPr>
      </w:pPr>
      <w:r>
        <w:t>8.7.3</w:t>
      </w:r>
      <w:r>
        <w:rPr>
          <w:rFonts w:hint="eastAsia"/>
        </w:rPr>
        <w:t xml:space="preserve"> 《规划》实施社会可行</w:t>
      </w:r>
      <w:r>
        <w:tab/>
      </w:r>
      <w:r>
        <w:fldChar w:fldCharType="begin"/>
      </w:r>
      <w:r>
        <w:instrText xml:space="preserve"> PAGEREF _Toc482798250 \h </w:instrText>
      </w:r>
      <w:r>
        <w:fldChar w:fldCharType="separate"/>
      </w:r>
      <w:r>
        <w:t>81</w:t>
      </w:r>
      <w:r>
        <w:fldChar w:fldCharType="end"/>
      </w:r>
    </w:p>
    <w:p w14:paraId="228C5D95">
      <w:pPr>
        <w:pStyle w:val="12"/>
        <w:rPr>
          <w:rFonts w:asciiTheme="minorHAnsi" w:hAnsiTheme="minorHAnsi" w:eastAsiaTheme="minorEastAsia"/>
          <w:kern w:val="2"/>
          <w:sz w:val="21"/>
          <w:szCs w:val="22"/>
        </w:rPr>
      </w:pPr>
      <w:r>
        <w:t>8.7.4</w:t>
      </w:r>
      <w:r>
        <w:rPr>
          <w:rFonts w:hint="eastAsia"/>
        </w:rPr>
        <w:t xml:space="preserve"> 矿山环境终将会越来越好</w:t>
      </w:r>
      <w:r>
        <w:tab/>
      </w:r>
      <w:r>
        <w:fldChar w:fldCharType="begin"/>
      </w:r>
      <w:r>
        <w:instrText xml:space="preserve"> PAGEREF _Toc482798251 \h </w:instrText>
      </w:r>
      <w:r>
        <w:fldChar w:fldCharType="separate"/>
      </w:r>
      <w:r>
        <w:t>81</w:t>
      </w:r>
      <w:r>
        <w:fldChar w:fldCharType="end"/>
      </w:r>
    </w:p>
    <w:p w14:paraId="689B6A29">
      <w:pPr>
        <w:pStyle w:val="15"/>
        <w:rPr>
          <w:rFonts w:asciiTheme="minorHAnsi" w:hAnsiTheme="minorHAnsi" w:eastAsiaTheme="minorEastAsia"/>
          <w:kern w:val="2"/>
          <w:sz w:val="21"/>
          <w:szCs w:val="22"/>
        </w:rPr>
      </w:pPr>
      <w:r>
        <w:t>9</w:t>
      </w:r>
      <w:r>
        <w:rPr>
          <w:rFonts w:hint="eastAsia"/>
        </w:rPr>
        <w:t xml:space="preserve"> 规划实施管理</w:t>
      </w:r>
      <w:r>
        <w:tab/>
      </w:r>
      <w:r>
        <w:fldChar w:fldCharType="begin"/>
      </w:r>
      <w:r>
        <w:instrText xml:space="preserve"> PAGEREF _Toc482798252 \h </w:instrText>
      </w:r>
      <w:r>
        <w:fldChar w:fldCharType="separate"/>
      </w:r>
      <w:r>
        <w:t>83</w:t>
      </w:r>
      <w:r>
        <w:fldChar w:fldCharType="end"/>
      </w:r>
    </w:p>
    <w:p w14:paraId="2922C320">
      <w:pPr>
        <w:pStyle w:val="16"/>
        <w:rPr>
          <w:rFonts w:asciiTheme="minorHAnsi" w:hAnsiTheme="minorHAnsi" w:eastAsiaTheme="minorEastAsia"/>
          <w:kern w:val="2"/>
          <w:sz w:val="21"/>
          <w:szCs w:val="22"/>
        </w:rPr>
      </w:pPr>
      <w:r>
        <w:t>9.1</w:t>
      </w:r>
      <w:r>
        <w:rPr>
          <w:rFonts w:hint="eastAsia"/>
        </w:rPr>
        <w:t xml:space="preserve"> 明确责任分工，实行目标考核</w:t>
      </w:r>
      <w:r>
        <w:tab/>
      </w:r>
      <w:r>
        <w:fldChar w:fldCharType="begin"/>
      </w:r>
      <w:r>
        <w:instrText xml:space="preserve"> PAGEREF _Toc482798253 \h </w:instrText>
      </w:r>
      <w:r>
        <w:fldChar w:fldCharType="separate"/>
      </w:r>
      <w:r>
        <w:t>83</w:t>
      </w:r>
      <w:r>
        <w:fldChar w:fldCharType="end"/>
      </w:r>
    </w:p>
    <w:p w14:paraId="11FFCD99">
      <w:pPr>
        <w:pStyle w:val="16"/>
        <w:rPr>
          <w:rFonts w:asciiTheme="minorHAnsi" w:hAnsiTheme="minorHAnsi" w:eastAsiaTheme="minorEastAsia"/>
          <w:kern w:val="2"/>
          <w:sz w:val="21"/>
          <w:szCs w:val="22"/>
        </w:rPr>
      </w:pPr>
      <w:r>
        <w:t>9.2</w:t>
      </w:r>
      <w:r>
        <w:rPr>
          <w:rFonts w:hint="eastAsia"/>
        </w:rPr>
        <w:t xml:space="preserve"> 严格规划审查，发挥管控作用</w:t>
      </w:r>
      <w:r>
        <w:tab/>
      </w:r>
      <w:r>
        <w:fldChar w:fldCharType="begin"/>
      </w:r>
      <w:r>
        <w:instrText xml:space="preserve"> PAGEREF _Toc482798254 \h </w:instrText>
      </w:r>
      <w:r>
        <w:fldChar w:fldCharType="separate"/>
      </w:r>
      <w:r>
        <w:t>84</w:t>
      </w:r>
      <w:r>
        <w:fldChar w:fldCharType="end"/>
      </w:r>
    </w:p>
    <w:p w14:paraId="48E0DBEF">
      <w:pPr>
        <w:pStyle w:val="16"/>
        <w:rPr>
          <w:rFonts w:asciiTheme="minorHAnsi" w:hAnsiTheme="minorHAnsi" w:eastAsiaTheme="minorEastAsia"/>
          <w:kern w:val="2"/>
          <w:sz w:val="21"/>
          <w:szCs w:val="22"/>
        </w:rPr>
      </w:pPr>
      <w:r>
        <w:t>9.3</w:t>
      </w:r>
      <w:r>
        <w:rPr>
          <w:rFonts w:hint="eastAsia"/>
        </w:rPr>
        <w:t xml:space="preserve"> 开展实施评估，完善调整机制</w:t>
      </w:r>
      <w:r>
        <w:tab/>
      </w:r>
      <w:r>
        <w:fldChar w:fldCharType="begin"/>
      </w:r>
      <w:r>
        <w:instrText xml:space="preserve"> PAGEREF _Toc482798255 \h </w:instrText>
      </w:r>
      <w:r>
        <w:fldChar w:fldCharType="separate"/>
      </w:r>
      <w:r>
        <w:t>85</w:t>
      </w:r>
      <w:r>
        <w:fldChar w:fldCharType="end"/>
      </w:r>
    </w:p>
    <w:p w14:paraId="4D3DA2E7">
      <w:pPr>
        <w:pStyle w:val="16"/>
        <w:rPr>
          <w:rFonts w:asciiTheme="minorHAnsi" w:hAnsiTheme="minorHAnsi" w:eastAsiaTheme="minorEastAsia"/>
          <w:kern w:val="2"/>
          <w:sz w:val="21"/>
          <w:szCs w:val="22"/>
        </w:rPr>
      </w:pPr>
      <w:r>
        <w:t>9.4</w:t>
      </w:r>
      <w:r>
        <w:rPr>
          <w:rFonts w:hint="eastAsia"/>
        </w:rPr>
        <w:t xml:space="preserve"> 建立监管制度，强化监督检查</w:t>
      </w:r>
      <w:r>
        <w:tab/>
      </w:r>
      <w:r>
        <w:fldChar w:fldCharType="begin"/>
      </w:r>
      <w:r>
        <w:instrText xml:space="preserve"> PAGEREF _Toc482798256 \h </w:instrText>
      </w:r>
      <w:r>
        <w:fldChar w:fldCharType="separate"/>
      </w:r>
      <w:r>
        <w:t>86</w:t>
      </w:r>
      <w:r>
        <w:fldChar w:fldCharType="end"/>
      </w:r>
    </w:p>
    <w:p w14:paraId="3C32AD34">
      <w:pPr>
        <w:pStyle w:val="16"/>
        <w:rPr>
          <w:rFonts w:asciiTheme="minorHAnsi" w:hAnsiTheme="minorHAnsi" w:eastAsiaTheme="minorEastAsia"/>
          <w:kern w:val="2"/>
          <w:sz w:val="21"/>
          <w:szCs w:val="22"/>
        </w:rPr>
      </w:pPr>
      <w:r>
        <w:t>9.5</w:t>
      </w:r>
      <w:r>
        <w:rPr>
          <w:rFonts w:hint="eastAsia"/>
        </w:rPr>
        <w:t xml:space="preserve"> 搭建数据平台，提升管理水平</w:t>
      </w:r>
      <w:r>
        <w:tab/>
      </w:r>
      <w:r>
        <w:fldChar w:fldCharType="begin"/>
      </w:r>
      <w:r>
        <w:instrText xml:space="preserve"> PAGEREF _Toc482798257 \h </w:instrText>
      </w:r>
      <w:r>
        <w:fldChar w:fldCharType="separate"/>
      </w:r>
      <w:r>
        <w:t>86</w:t>
      </w:r>
      <w:r>
        <w:fldChar w:fldCharType="end"/>
      </w:r>
    </w:p>
    <w:p w14:paraId="10624FFE">
      <w:pPr>
        <w:ind w:firstLine="640"/>
      </w:pPr>
      <w:r>
        <w:fldChar w:fldCharType="end"/>
      </w:r>
    </w:p>
    <w:p w14:paraId="0E959FF8">
      <w:pPr>
        <w:ind w:firstLine="0" w:firstLineChars="0"/>
        <w:jc w:val="center"/>
        <w:rPr>
          <w:b/>
          <w:sz w:val="36"/>
          <w:szCs w:val="36"/>
        </w:rPr>
      </w:pPr>
      <w:r>
        <w:rPr>
          <w:rFonts w:hint="eastAsia"/>
          <w:b/>
          <w:sz w:val="36"/>
          <w:szCs w:val="36"/>
        </w:rPr>
        <w:t xml:space="preserve">附  </w:t>
      </w:r>
      <w:r>
        <w:rPr>
          <w:b/>
          <w:sz w:val="36"/>
          <w:szCs w:val="36"/>
        </w:rPr>
        <w:t>表</w:t>
      </w:r>
    </w:p>
    <w:p w14:paraId="21F70B29">
      <w:pPr>
        <w:ind w:firstLine="640"/>
      </w:pPr>
      <w:r>
        <w:rPr>
          <w:rFonts w:hint="eastAsia"/>
        </w:rPr>
        <w:t>1、规划基</w:t>
      </w:r>
      <w:r>
        <w:t>期</w:t>
      </w:r>
      <w:r>
        <w:rPr>
          <w:rFonts w:hint="eastAsia"/>
        </w:rPr>
        <w:t>乐</w:t>
      </w:r>
      <w:r>
        <w:t>山</w:t>
      </w:r>
      <w:r>
        <w:rPr>
          <w:rFonts w:hint="eastAsia"/>
        </w:rPr>
        <w:t>市主要矿产资源储量表</w:t>
      </w:r>
    </w:p>
    <w:p w14:paraId="29535463">
      <w:pPr>
        <w:ind w:firstLine="640"/>
      </w:pPr>
      <w:r>
        <w:rPr>
          <w:rFonts w:hint="eastAsia"/>
        </w:rPr>
        <w:t>2、规划</w:t>
      </w:r>
      <w:r>
        <w:t>基</w:t>
      </w:r>
      <w:r>
        <w:rPr>
          <w:rFonts w:hint="eastAsia"/>
        </w:rPr>
        <w:t>期乐</w:t>
      </w:r>
      <w:r>
        <w:t>山</w:t>
      </w:r>
      <w:r>
        <w:rPr>
          <w:rFonts w:hint="eastAsia"/>
        </w:rPr>
        <w:t>市主要矿产开发利用现状表</w:t>
      </w:r>
    </w:p>
    <w:p w14:paraId="49A2B81F">
      <w:pPr>
        <w:ind w:firstLine="640"/>
      </w:pPr>
      <w:r>
        <w:rPr>
          <w:rFonts w:hint="eastAsia"/>
        </w:rPr>
        <w:t>3、乐</w:t>
      </w:r>
      <w:r>
        <w:t>山</w:t>
      </w:r>
      <w:r>
        <w:rPr>
          <w:rFonts w:hint="eastAsia"/>
        </w:rPr>
        <w:t>市矿产资源重点调查评价区规划表</w:t>
      </w:r>
    </w:p>
    <w:p w14:paraId="3370DBA2">
      <w:pPr>
        <w:ind w:firstLine="640"/>
      </w:pPr>
      <w:r>
        <w:rPr>
          <w:rFonts w:hint="eastAsia"/>
        </w:rPr>
        <w:t>4、乐</w:t>
      </w:r>
      <w:r>
        <w:t>山</w:t>
      </w:r>
      <w:r>
        <w:rPr>
          <w:rFonts w:hint="eastAsia"/>
        </w:rPr>
        <w:t>市矿产资源勘查分区表</w:t>
      </w:r>
    </w:p>
    <w:p w14:paraId="02F01CAB">
      <w:pPr>
        <w:ind w:firstLine="640"/>
      </w:pPr>
      <w:r>
        <w:rPr>
          <w:rFonts w:hint="eastAsia"/>
        </w:rPr>
        <w:t>5、乐</w:t>
      </w:r>
      <w:r>
        <w:t>山</w:t>
      </w:r>
      <w:r>
        <w:rPr>
          <w:rFonts w:hint="eastAsia"/>
        </w:rPr>
        <w:t>市主要矿产资源探矿权设置区划表</w:t>
      </w:r>
    </w:p>
    <w:p w14:paraId="309FA7D1">
      <w:pPr>
        <w:ind w:firstLine="640"/>
      </w:pPr>
      <w:r>
        <w:rPr>
          <w:rFonts w:hint="eastAsia"/>
        </w:rPr>
        <w:t>6、乐</w:t>
      </w:r>
      <w:r>
        <w:t>山</w:t>
      </w:r>
      <w:r>
        <w:rPr>
          <w:rFonts w:hint="eastAsia"/>
        </w:rPr>
        <w:t>市矿产资源开采分区表</w:t>
      </w:r>
    </w:p>
    <w:p w14:paraId="2F88B3F8">
      <w:pPr>
        <w:ind w:firstLine="640"/>
      </w:pPr>
      <w:r>
        <w:rPr>
          <w:rFonts w:hint="eastAsia"/>
        </w:rPr>
        <w:t>7、乐</w:t>
      </w:r>
      <w:r>
        <w:t>山</w:t>
      </w:r>
      <w:r>
        <w:rPr>
          <w:rFonts w:hint="eastAsia"/>
        </w:rPr>
        <w:t>市主要矿产资源采矿权设置区划表</w:t>
      </w:r>
    </w:p>
    <w:p w14:paraId="29E31911">
      <w:pPr>
        <w:ind w:firstLine="640"/>
      </w:pPr>
      <w:r>
        <w:rPr>
          <w:rFonts w:hint="eastAsia"/>
        </w:rPr>
        <w:t>8、乐</w:t>
      </w:r>
      <w:r>
        <w:t>山</w:t>
      </w:r>
      <w:r>
        <w:rPr>
          <w:rFonts w:hint="eastAsia"/>
        </w:rPr>
        <w:t>市矿产资源开发重大项目规划表</w:t>
      </w:r>
    </w:p>
    <w:p w14:paraId="32ED93E8">
      <w:pPr>
        <w:ind w:firstLine="640"/>
      </w:pPr>
      <w:r>
        <w:rPr>
          <w:rFonts w:hint="eastAsia"/>
        </w:rPr>
        <w:t>9、乐</w:t>
      </w:r>
      <w:r>
        <w:t>山</w:t>
      </w:r>
      <w:r>
        <w:rPr>
          <w:rFonts w:hint="eastAsia"/>
        </w:rPr>
        <w:t>市主要矿产矿山最低开采规模规划表</w:t>
      </w:r>
    </w:p>
    <w:p w14:paraId="4A013000">
      <w:pPr>
        <w:ind w:firstLine="640"/>
      </w:pPr>
      <w:r>
        <w:rPr>
          <w:rFonts w:hint="eastAsia"/>
        </w:rPr>
        <w:t>10、乐</w:t>
      </w:r>
      <w:r>
        <w:t>山</w:t>
      </w:r>
      <w:r>
        <w:rPr>
          <w:rFonts w:hint="eastAsia"/>
        </w:rPr>
        <w:t>市主要矿区最低开采规模规划表</w:t>
      </w:r>
    </w:p>
    <w:p w14:paraId="153F64C1">
      <w:pPr>
        <w:ind w:firstLine="640"/>
      </w:pPr>
      <w:r>
        <w:t>11</w:t>
      </w:r>
      <w:r>
        <w:rPr>
          <w:rFonts w:hint="eastAsia"/>
        </w:rPr>
        <w:t>、乐</w:t>
      </w:r>
      <w:r>
        <w:t>山</w:t>
      </w:r>
      <w:r>
        <w:rPr>
          <w:rFonts w:hint="eastAsia"/>
        </w:rPr>
        <w:t>市矿山地质环境及</w:t>
      </w:r>
      <w:r>
        <w:t>矿区损毁土地</w:t>
      </w:r>
      <w:r>
        <w:rPr>
          <w:rFonts w:hint="eastAsia"/>
        </w:rPr>
        <w:t>重点治理区规划表</w:t>
      </w:r>
    </w:p>
    <w:p w14:paraId="14EABC57">
      <w:pPr>
        <w:ind w:firstLine="640"/>
      </w:pPr>
      <w:r>
        <w:rPr>
          <w:rFonts w:hint="eastAsia"/>
        </w:rPr>
        <w:t>1</w:t>
      </w:r>
      <w:r>
        <w:t>2、</w:t>
      </w:r>
      <w:r>
        <w:rPr>
          <w:rFonts w:hint="eastAsia"/>
        </w:rPr>
        <w:t>四川省乐山市矿山地质环境恢复治理、矿山复绿行动重大项目规划表</w:t>
      </w:r>
    </w:p>
    <w:p w14:paraId="2A67450E">
      <w:pPr>
        <w:ind w:firstLine="640"/>
      </w:pPr>
    </w:p>
    <w:p w14:paraId="1EAEFDC3">
      <w:pPr>
        <w:ind w:firstLine="0" w:firstLineChars="0"/>
        <w:jc w:val="center"/>
        <w:rPr>
          <w:b/>
          <w:sz w:val="36"/>
          <w:szCs w:val="36"/>
        </w:rPr>
      </w:pPr>
      <w:r>
        <w:rPr>
          <w:rFonts w:hint="eastAsia"/>
          <w:b/>
          <w:sz w:val="36"/>
          <w:szCs w:val="36"/>
        </w:rPr>
        <w:t>附  图</w:t>
      </w: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57" w:type="dxa"/>
          <w:bottom w:w="0" w:type="dxa"/>
          <w:right w:w="57" w:type="dxa"/>
        </w:tblCellMar>
      </w:tblPr>
      <w:tblGrid>
        <w:gridCol w:w="999"/>
        <w:gridCol w:w="6552"/>
        <w:gridCol w:w="1305"/>
      </w:tblGrid>
      <w:tr w14:paraId="34FF1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36B4152B">
            <w:pPr>
              <w:ind w:firstLine="0" w:firstLineChars="0"/>
            </w:pPr>
            <w:r>
              <w:rPr>
                <w:rFonts w:hint="eastAsia"/>
              </w:rPr>
              <w:t>附图l</w:t>
            </w:r>
          </w:p>
        </w:tc>
        <w:tc>
          <w:tcPr>
            <w:tcW w:w="3699" w:type="pct"/>
          </w:tcPr>
          <w:p w14:paraId="06D5B433">
            <w:pPr>
              <w:ind w:firstLine="0" w:firstLineChars="0"/>
            </w:pPr>
            <w:r>
              <w:rPr>
                <w:rFonts w:hint="eastAsia"/>
              </w:rPr>
              <w:t>四川省乐山市矿产资源分布图</w:t>
            </w:r>
          </w:p>
        </w:tc>
        <w:tc>
          <w:tcPr>
            <w:tcW w:w="737" w:type="pct"/>
          </w:tcPr>
          <w:p w14:paraId="2304EAF8">
            <w:pPr>
              <w:ind w:firstLine="0" w:firstLineChars="0"/>
            </w:pPr>
            <w:r>
              <w:rPr>
                <w:rFonts w:hint="eastAsia"/>
              </w:rPr>
              <w:t>(</w:t>
            </w:r>
            <w:r>
              <w:t>1:20万</w:t>
            </w:r>
            <w:r>
              <w:rPr>
                <w:rFonts w:hint="eastAsia"/>
              </w:rPr>
              <w:t>)</w:t>
            </w:r>
          </w:p>
        </w:tc>
      </w:tr>
      <w:tr w14:paraId="332D0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2F60576B">
            <w:pPr>
              <w:ind w:firstLine="0" w:firstLineChars="0"/>
            </w:pPr>
            <w:r>
              <w:rPr>
                <w:rFonts w:hint="eastAsia"/>
              </w:rPr>
              <w:t>附图2</w:t>
            </w:r>
          </w:p>
        </w:tc>
        <w:tc>
          <w:tcPr>
            <w:tcW w:w="3699" w:type="pct"/>
          </w:tcPr>
          <w:p w14:paraId="68333456">
            <w:pPr>
              <w:ind w:firstLine="0" w:firstLineChars="0"/>
            </w:pPr>
            <w:r>
              <w:rPr>
                <w:rFonts w:hint="eastAsia"/>
              </w:rPr>
              <w:t>四川省乐山市矿产资源开发利用现状图</w:t>
            </w:r>
          </w:p>
        </w:tc>
        <w:tc>
          <w:tcPr>
            <w:tcW w:w="737" w:type="pct"/>
          </w:tcPr>
          <w:p w14:paraId="6F85468D">
            <w:pPr>
              <w:ind w:firstLine="0" w:firstLineChars="0"/>
            </w:pPr>
            <w:r>
              <w:rPr>
                <w:rFonts w:hint="eastAsia"/>
              </w:rPr>
              <w:t>(</w:t>
            </w:r>
            <w:r>
              <w:t>1:20万</w:t>
            </w:r>
            <w:r>
              <w:rPr>
                <w:rFonts w:hint="eastAsia"/>
              </w:rPr>
              <w:t>)</w:t>
            </w:r>
          </w:p>
        </w:tc>
      </w:tr>
      <w:tr w14:paraId="4DCB8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31A1A72A">
            <w:pPr>
              <w:ind w:firstLine="0" w:firstLineChars="0"/>
            </w:pPr>
            <w:r>
              <w:rPr>
                <w:rFonts w:hint="eastAsia"/>
              </w:rPr>
              <w:t>附图</w:t>
            </w:r>
            <w:r>
              <w:t>3</w:t>
            </w:r>
          </w:p>
        </w:tc>
        <w:tc>
          <w:tcPr>
            <w:tcW w:w="3699" w:type="pct"/>
          </w:tcPr>
          <w:p w14:paraId="29E8C9FC">
            <w:pPr>
              <w:ind w:firstLine="0" w:firstLineChars="0"/>
            </w:pPr>
            <w:r>
              <w:rPr>
                <w:rFonts w:hint="eastAsia"/>
              </w:rPr>
              <w:t>四川省乐山市矿产资源开发总体布局图</w:t>
            </w:r>
          </w:p>
        </w:tc>
        <w:tc>
          <w:tcPr>
            <w:tcW w:w="737" w:type="pct"/>
          </w:tcPr>
          <w:p w14:paraId="7E349E81">
            <w:pPr>
              <w:ind w:firstLine="0" w:firstLineChars="0"/>
            </w:pPr>
            <w:r>
              <w:rPr>
                <w:rFonts w:hint="eastAsia"/>
              </w:rPr>
              <w:t>(</w:t>
            </w:r>
            <w:r>
              <w:t>1:20万</w:t>
            </w:r>
            <w:r>
              <w:rPr>
                <w:rFonts w:hint="eastAsia"/>
              </w:rPr>
              <w:t>)</w:t>
            </w:r>
          </w:p>
        </w:tc>
      </w:tr>
      <w:tr w14:paraId="1D09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02884CAB">
            <w:pPr>
              <w:ind w:firstLine="0" w:firstLineChars="0"/>
            </w:pPr>
            <w:r>
              <w:rPr>
                <w:rFonts w:hint="eastAsia"/>
              </w:rPr>
              <w:t>附图</w:t>
            </w:r>
            <w:r>
              <w:t>4</w:t>
            </w:r>
          </w:p>
        </w:tc>
        <w:tc>
          <w:tcPr>
            <w:tcW w:w="3699" w:type="pct"/>
          </w:tcPr>
          <w:p w14:paraId="311A627B">
            <w:pPr>
              <w:ind w:firstLine="0" w:firstLineChars="0"/>
            </w:pPr>
            <w:r>
              <w:rPr>
                <w:rFonts w:hint="eastAsia"/>
              </w:rPr>
              <w:t>四川省乐山市矿产资源调查评价与勘查规划图</w:t>
            </w:r>
          </w:p>
        </w:tc>
        <w:tc>
          <w:tcPr>
            <w:tcW w:w="737" w:type="pct"/>
          </w:tcPr>
          <w:p w14:paraId="69CC7122">
            <w:pPr>
              <w:ind w:firstLine="0" w:firstLineChars="0"/>
            </w:pPr>
            <w:r>
              <w:rPr>
                <w:rFonts w:hint="eastAsia"/>
              </w:rPr>
              <w:t>(</w:t>
            </w:r>
            <w:r>
              <w:t>1:20万</w:t>
            </w:r>
            <w:r>
              <w:rPr>
                <w:rFonts w:hint="eastAsia"/>
              </w:rPr>
              <w:t>)</w:t>
            </w:r>
          </w:p>
        </w:tc>
      </w:tr>
      <w:tr w14:paraId="329DF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3C68EFE1">
            <w:pPr>
              <w:ind w:firstLine="0" w:firstLineChars="0"/>
            </w:pPr>
            <w:r>
              <w:rPr>
                <w:rFonts w:hint="eastAsia"/>
              </w:rPr>
              <w:t>附图</w:t>
            </w:r>
            <w:r>
              <w:t>5</w:t>
            </w:r>
          </w:p>
        </w:tc>
        <w:tc>
          <w:tcPr>
            <w:tcW w:w="3699" w:type="pct"/>
          </w:tcPr>
          <w:p w14:paraId="3E3A81EF">
            <w:pPr>
              <w:ind w:firstLine="0" w:firstLineChars="0"/>
            </w:pPr>
            <w:r>
              <w:t>四川省乐山市矿产资源发开利用与保护规划图</w:t>
            </w:r>
          </w:p>
        </w:tc>
        <w:tc>
          <w:tcPr>
            <w:tcW w:w="737" w:type="pct"/>
          </w:tcPr>
          <w:p w14:paraId="5B0BCD63">
            <w:pPr>
              <w:ind w:firstLine="0" w:firstLineChars="0"/>
            </w:pPr>
            <w:r>
              <w:rPr>
                <w:rFonts w:hint="eastAsia"/>
              </w:rPr>
              <w:t>(</w:t>
            </w:r>
            <w:r>
              <w:t>1:20万</w:t>
            </w:r>
            <w:r>
              <w:rPr>
                <w:rFonts w:hint="eastAsia"/>
              </w:rPr>
              <w:t>)</w:t>
            </w:r>
          </w:p>
        </w:tc>
      </w:tr>
      <w:tr w14:paraId="1571C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57" w:type="dxa"/>
            <w:bottom w:w="0" w:type="dxa"/>
            <w:right w:w="57" w:type="dxa"/>
          </w:tblCellMar>
        </w:tblPrEx>
        <w:tc>
          <w:tcPr>
            <w:tcW w:w="564" w:type="pct"/>
          </w:tcPr>
          <w:p w14:paraId="6724EF69">
            <w:pPr>
              <w:ind w:firstLine="0" w:firstLineChars="0"/>
            </w:pPr>
            <w:r>
              <w:rPr>
                <w:rFonts w:hint="eastAsia"/>
              </w:rPr>
              <w:t>附图</w:t>
            </w:r>
            <w:r>
              <w:t>6</w:t>
            </w:r>
          </w:p>
        </w:tc>
        <w:tc>
          <w:tcPr>
            <w:tcW w:w="3699" w:type="pct"/>
          </w:tcPr>
          <w:p w14:paraId="1B7A15C9">
            <w:pPr>
              <w:ind w:firstLine="0" w:firstLineChars="0"/>
            </w:pPr>
            <w:r>
              <w:rPr>
                <w:rFonts w:hint="eastAsia"/>
              </w:rPr>
              <w:t>四川省乐山市矿山地质环境保护与治理恢复规</w:t>
            </w:r>
          </w:p>
          <w:p w14:paraId="624C0E04">
            <w:pPr>
              <w:ind w:firstLine="0" w:firstLineChars="0"/>
            </w:pPr>
            <w:r>
              <w:rPr>
                <w:rFonts w:hint="eastAsia"/>
              </w:rPr>
              <w:t>划图</w:t>
            </w:r>
          </w:p>
        </w:tc>
        <w:tc>
          <w:tcPr>
            <w:tcW w:w="737" w:type="pct"/>
          </w:tcPr>
          <w:p w14:paraId="0190DB58">
            <w:pPr>
              <w:ind w:firstLine="0" w:firstLineChars="0"/>
            </w:pPr>
            <w:r>
              <w:rPr>
                <w:rFonts w:hint="eastAsia"/>
              </w:rPr>
              <w:t>(</w:t>
            </w:r>
            <w:r>
              <w:t>1:20万</w:t>
            </w:r>
            <w:r>
              <w:rPr>
                <w:rFonts w:hint="eastAsia"/>
              </w:rPr>
              <w:t>)</w:t>
            </w:r>
          </w:p>
        </w:tc>
      </w:tr>
    </w:tbl>
    <w:p w14:paraId="3A67E7CF">
      <w:pPr>
        <w:ind w:firstLine="640"/>
      </w:pPr>
    </w:p>
    <w:p w14:paraId="4F74F988">
      <w:pPr>
        <w:ind w:firstLine="0" w:firstLineChars="0"/>
        <w:jc w:val="center"/>
        <w:rPr>
          <w:b/>
          <w:sz w:val="36"/>
          <w:szCs w:val="36"/>
        </w:rPr>
      </w:pPr>
      <w:r>
        <w:rPr>
          <w:rFonts w:hint="eastAsia"/>
          <w:b/>
          <w:sz w:val="36"/>
          <w:szCs w:val="36"/>
        </w:rPr>
        <w:t>附  件</w:t>
      </w:r>
    </w:p>
    <w:p w14:paraId="2C7C7D73">
      <w:pPr>
        <w:ind w:firstLine="640"/>
      </w:pPr>
      <w:r>
        <w:rPr>
          <w:rFonts w:hint="eastAsia"/>
        </w:rPr>
        <w:t>关于《乐山市矿产资源总体规划》编制说明</w:t>
      </w:r>
    </w:p>
    <w:p w14:paraId="748062F9">
      <w:pPr>
        <w:ind w:firstLine="640"/>
        <w:sectPr>
          <w:footerReference r:id="rId11" w:type="default"/>
          <w:footerReference r:id="rId12" w:type="even"/>
          <w:pgSz w:w="11906" w:h="16838"/>
          <w:pgMar w:top="1440" w:right="1440" w:bottom="1440" w:left="1440" w:header="851" w:footer="992" w:gutter="284"/>
          <w:pgNumType w:fmt="numberInDash" w:start="1"/>
          <w:cols w:space="425" w:num="1"/>
          <w:docGrid w:linePitch="435" w:charSpace="0"/>
        </w:sectPr>
      </w:pPr>
    </w:p>
    <w:p w14:paraId="71F0B640">
      <w:pPr>
        <w:pStyle w:val="2"/>
        <w:numPr>
          <w:ilvl w:val="0"/>
          <w:numId w:val="0"/>
        </w:numPr>
      </w:pPr>
      <w:bookmarkStart w:id="0" w:name="_Toc482798144"/>
      <w:r>
        <w:rPr>
          <w:rFonts w:hint="eastAsia"/>
        </w:rPr>
        <w:t>总则</w:t>
      </w:r>
      <w:bookmarkEnd w:id="0"/>
    </w:p>
    <w:p w14:paraId="6BC09B28">
      <w:pPr>
        <w:ind w:firstLine="640"/>
        <w:rPr>
          <w:rFonts w:cs="仿宋_GB2312"/>
        </w:rPr>
      </w:pPr>
      <w:r>
        <w:rPr>
          <w:rFonts w:hint="eastAsia" w:cs="仿宋_GB2312"/>
        </w:rPr>
        <w:t>为贯彻落实《全国矿产资源规划(2016-2020年)》，提高四川省矿产资源的保障能力，推进资源利用方式转变，加快矿业转型升级，促进矿业绿色发展，深化矿产资源管理改革，落实四川省第三轮矿产资源规划和乐山市国民经济和社会发展“十三五”规划纲要，依据《中华人民共和国矿产资源法》及其实施细则以及《矿产资源规划编制实施办法》(国土资源部令第55号)、《国土资源部关于开展第三轮矿产资源规划编制工作的通知(国土资发[2014]第35号)》、国土资源部办公厅关于印发《省级矿产资源总体规划编制技术规程》和《市县级矿产资源总体规划编制指导意见》的通知(国土资厅发[2015]9号)、《四川省生态保护红线实施意见》、环境保护部、国土资源部《关于做好矿产资源规划环境影响评价工作的通知》(环发[2015]158号)等规定，按照四川省国土资源厅的部署，结合《乐山市国民经济和社会发展“十三五”规划纲要》，编制《乐山市矿产资源总体规划(2016-2020年)》(以下简称规划)。</w:t>
      </w:r>
    </w:p>
    <w:p w14:paraId="00B3026A">
      <w:pPr>
        <w:ind w:firstLine="640"/>
        <w:rPr>
          <w:rFonts w:cs="仿宋_GB2312"/>
        </w:rPr>
      </w:pPr>
      <w:r>
        <w:rPr>
          <w:rFonts w:hint="eastAsia" w:cs="仿宋_GB2312"/>
        </w:rPr>
        <w:t>本规划是规划期调控全市矿产资源勘查、开发利用与保护的纲领性文件，是依法审批和监督管理全市矿产资源勘查和开发利用活动的重要依据。涉及矿产资源开发利用的相关行业规划，应与本规划做好衔接。</w:t>
      </w:r>
    </w:p>
    <w:p w14:paraId="68D3334B">
      <w:pPr>
        <w:ind w:firstLine="640"/>
        <w:rPr>
          <w:rFonts w:cs="仿宋_GB2312"/>
        </w:rPr>
      </w:pPr>
      <w:r>
        <w:rPr>
          <w:rFonts w:hint="eastAsia" w:cs="仿宋_GB2312"/>
        </w:rPr>
        <w:t>本规划是在分解细化和具体落实省级矿产资源总体规划目标任务基础上，对本级审批矿产的调查评价与勘查、开发利用与保护、矿山地质环境保护与恢复治理、绿色矿山建设等作出的具体安排。是我市矿产资源调查评价与勘查、开发利用与保护、矿山环境保护与恢复治理、矿业权设置与管理的指导性文件，是“十三五”期间，市国土资源主管部门依法审批和监督管理矿产资源勘查开发和矿山环境治理恢复、绿色矿山建设等活动的重要依据。</w:t>
      </w:r>
    </w:p>
    <w:p w14:paraId="18170A9F">
      <w:pPr>
        <w:ind w:firstLine="643"/>
        <w:rPr>
          <w:rFonts w:cs="仿宋_GB2312"/>
          <w:b/>
        </w:rPr>
      </w:pPr>
      <w:r>
        <w:rPr>
          <w:rFonts w:hint="eastAsia" w:cs="仿宋_GB2312"/>
          <w:b/>
        </w:rPr>
        <w:t>划定并严守生态保护红线，是建立国土空间开发保护制度的重要手段，是科学构建生态安全格局的重要基础，是从根本上解决生态环境问题的重要途径。</w:t>
      </w:r>
    </w:p>
    <w:p w14:paraId="239C898B">
      <w:pPr>
        <w:ind w:firstLine="640"/>
        <w:rPr>
          <w:rFonts w:cs="仿宋_GB2312"/>
        </w:rPr>
      </w:pPr>
      <w:r>
        <w:rPr>
          <w:rFonts w:hint="eastAsia" w:cs="仿宋_GB2312"/>
        </w:rPr>
        <w:t>本规划是部、省、市矿产资源规划体系中的第三级规划，是规划体系的重要组成部分，也是本市继第一轮(2006年-2010年)和第二轮(2011-2015年)之后的第三轮规划，是我市矿业活动的总体规划，本规划必须服从省规划，县区级规划和相关专项规划必须服从本规划。</w:t>
      </w:r>
    </w:p>
    <w:p w14:paraId="1F73A64D">
      <w:pPr>
        <w:ind w:firstLine="640"/>
        <w:rPr>
          <w:rFonts w:cs="仿宋_GB2312"/>
        </w:rPr>
      </w:pPr>
      <w:r>
        <w:rPr>
          <w:rFonts w:hint="eastAsia" w:cs="仿宋_GB2312"/>
        </w:rPr>
        <w:t>本规划基期为2015年，规划至2020年，展望到2025年。规划适用于本市行政区划范围内具审批和管理权限的所有矿产资源。</w:t>
      </w:r>
    </w:p>
    <w:p w14:paraId="401EA08A">
      <w:pPr>
        <w:widowControl/>
        <w:adjustRightInd/>
        <w:snapToGrid/>
        <w:spacing w:line="240" w:lineRule="auto"/>
        <w:ind w:firstLine="0" w:firstLineChars="0"/>
        <w:jc w:val="left"/>
        <w:rPr>
          <w:rFonts w:cs="仿宋_GB2312"/>
        </w:rPr>
      </w:pPr>
      <w:r>
        <w:rPr>
          <w:rFonts w:cs="仿宋_GB2312"/>
        </w:rPr>
        <w:br w:type="page"/>
      </w:r>
    </w:p>
    <w:p w14:paraId="36047E44">
      <w:pPr>
        <w:ind w:firstLine="640"/>
        <w:rPr>
          <w:rFonts w:cs="仿宋_GB2312"/>
        </w:rPr>
      </w:pPr>
    </w:p>
    <w:p w14:paraId="5CA1E5D6">
      <w:pPr>
        <w:pStyle w:val="2"/>
        <w:rPr>
          <w:kern w:val="0"/>
        </w:rPr>
      </w:pPr>
      <w:bookmarkStart w:id="1" w:name="_Toc482798145"/>
      <w:r>
        <w:rPr>
          <w:rFonts w:hint="eastAsia"/>
          <w:kern w:val="0"/>
        </w:rPr>
        <w:t>现状与形势</w:t>
      </w:r>
      <w:bookmarkEnd w:id="1"/>
    </w:p>
    <w:p w14:paraId="4C402C87">
      <w:pPr>
        <w:pStyle w:val="3"/>
        <w:ind w:firstLine="723"/>
      </w:pPr>
      <w:bookmarkStart w:id="2" w:name="_Toc482798146"/>
      <w:bookmarkStart w:id="3" w:name="_Toc479584483"/>
      <w:r>
        <w:rPr>
          <w:rFonts w:hint="eastAsia"/>
        </w:rPr>
        <w:t>乐山市地</w:t>
      </w:r>
      <w:r>
        <w:t>理概况</w:t>
      </w:r>
      <w:bookmarkEnd w:id="2"/>
      <w:bookmarkEnd w:id="3"/>
    </w:p>
    <w:p w14:paraId="121BC3E4">
      <w:pPr>
        <w:ind w:firstLine="640"/>
      </w:pPr>
      <w:r>
        <w:rPr>
          <w:rFonts w:hint="eastAsia"/>
        </w:rPr>
        <w:t>乐</w:t>
      </w:r>
      <w:r>
        <w:t>山市位于</w:t>
      </w:r>
      <w:r>
        <w:rPr>
          <w:rFonts w:hint="eastAsia"/>
        </w:rPr>
        <w:t>四川</w:t>
      </w:r>
      <w:r>
        <w:t>省</w:t>
      </w:r>
      <w:r>
        <w:rPr>
          <w:rFonts w:hint="eastAsia"/>
        </w:rPr>
        <w:t>中</w:t>
      </w:r>
      <w:r>
        <w:t>南部，地处岷江、青衣江、大渡河中下游</w:t>
      </w:r>
      <w:r>
        <w:rPr>
          <w:rFonts w:hint="eastAsia"/>
        </w:rPr>
        <w:t>，四</w:t>
      </w:r>
      <w:r>
        <w:t>周</w:t>
      </w:r>
      <w:r>
        <w:rPr>
          <w:rFonts w:hint="eastAsia"/>
        </w:rPr>
        <w:t>与眉</w:t>
      </w:r>
      <w:r>
        <w:t>山市、</w:t>
      </w:r>
      <w:r>
        <w:rPr>
          <w:rFonts w:hint="eastAsia"/>
        </w:rPr>
        <w:t>宜宾</w:t>
      </w:r>
      <w:r>
        <w:t>市、自贡市、雅安市、</w:t>
      </w:r>
      <w:r>
        <w:rPr>
          <w:rFonts w:hint="eastAsia"/>
        </w:rPr>
        <w:t>凉山</w:t>
      </w:r>
      <w:r>
        <w:t>州</w:t>
      </w:r>
      <w:r>
        <w:rPr>
          <w:rFonts w:hint="eastAsia"/>
        </w:rPr>
        <w:t>接壤</w:t>
      </w:r>
      <w:r>
        <w:t>。地</w:t>
      </w:r>
      <w:r>
        <w:rPr>
          <w:rFonts w:hint="eastAsia"/>
        </w:rPr>
        <w:t>理</w:t>
      </w:r>
      <w:r>
        <w:t>坐标东经102°55′</w:t>
      </w:r>
      <w:r>
        <w:rPr>
          <w:rFonts w:hint="eastAsia"/>
        </w:rPr>
        <w:t>－104</w:t>
      </w:r>
      <w:r>
        <w:t>°00′</w:t>
      </w:r>
      <w:r>
        <w:rPr>
          <w:rFonts w:hint="eastAsia"/>
        </w:rPr>
        <w:t>，北</w:t>
      </w:r>
      <w:r>
        <w:t>纬</w:t>
      </w:r>
      <w:r>
        <w:rPr>
          <w:rFonts w:hint="eastAsia"/>
        </w:rPr>
        <w:t>28</w:t>
      </w:r>
      <w:r>
        <w:t>°25′</w:t>
      </w:r>
      <w:r>
        <w:rPr>
          <w:rFonts w:hint="eastAsia"/>
        </w:rPr>
        <w:t>－29</w:t>
      </w:r>
      <w:r>
        <w:t>°′55″</w:t>
      </w:r>
      <w:r>
        <w:rPr>
          <w:rFonts w:hint="eastAsia"/>
        </w:rPr>
        <w:t>，面积</w:t>
      </w:r>
      <w:r>
        <w:t>12827</w:t>
      </w:r>
      <w:r>
        <w:rPr>
          <w:rFonts w:hint="eastAsia"/>
        </w:rPr>
        <w:t>.4</w:t>
      </w:r>
      <w:r>
        <w:t>9Km</w:t>
      </w:r>
      <w:r>
        <w:rPr>
          <w:vertAlign w:val="superscript"/>
        </w:rPr>
        <w:t>2</w:t>
      </w:r>
      <w:r>
        <w:t>。</w:t>
      </w:r>
      <w:r>
        <w:rPr>
          <w:rFonts w:hint="eastAsia"/>
        </w:rPr>
        <w:t>乐</w:t>
      </w:r>
      <w:r>
        <w:t>山市</w:t>
      </w:r>
      <w:r>
        <w:rPr>
          <w:rFonts w:hint="eastAsia"/>
        </w:rPr>
        <w:t>处</w:t>
      </w:r>
      <w:r>
        <w:t>于成都平原</w:t>
      </w:r>
      <w:r>
        <w:rPr>
          <w:rFonts w:hint="eastAsia"/>
        </w:rPr>
        <w:t>与</w:t>
      </w:r>
      <w:r>
        <w:t>川西高原的过</w:t>
      </w:r>
      <w:r>
        <w:rPr>
          <w:rFonts w:hint="eastAsia"/>
        </w:rPr>
        <w:t>渡</w:t>
      </w:r>
      <w:r>
        <w:t>带，地形</w:t>
      </w:r>
      <w:r>
        <w:rPr>
          <w:rFonts w:hint="eastAsia"/>
        </w:rPr>
        <w:t>南西</w:t>
      </w:r>
      <w:r>
        <w:t>高，北东</w:t>
      </w:r>
      <w:r>
        <w:rPr>
          <w:rFonts w:hint="eastAsia"/>
        </w:rPr>
        <w:t>低，最</w:t>
      </w:r>
      <w:r>
        <w:t>高海拔4288米</w:t>
      </w:r>
      <w:r>
        <w:rPr>
          <w:rFonts w:hint="eastAsia"/>
        </w:rPr>
        <w:t>(峨</w:t>
      </w:r>
      <w:r>
        <w:t>边县马鞍山主峰</w:t>
      </w:r>
      <w:r>
        <w:rPr>
          <w:rFonts w:hint="eastAsia"/>
        </w:rPr>
        <w:t>)</w:t>
      </w:r>
      <w:r>
        <w:t>，最低</w:t>
      </w:r>
      <w:r>
        <w:rPr>
          <w:rFonts w:hint="eastAsia"/>
        </w:rPr>
        <w:t>海拔307米</w:t>
      </w:r>
      <w:r>
        <w:t>(</w:t>
      </w:r>
      <w:r>
        <w:rPr>
          <w:rFonts w:hint="eastAsia"/>
        </w:rPr>
        <w:t>犍</w:t>
      </w:r>
      <w:r>
        <w:t>为</w:t>
      </w:r>
      <w:r>
        <w:rPr>
          <w:rFonts w:hint="eastAsia"/>
        </w:rPr>
        <w:t>县</w:t>
      </w:r>
      <w:r>
        <w:t>新民镇马厂</w:t>
      </w:r>
      <w:r>
        <w:rPr>
          <w:rFonts w:hint="eastAsia"/>
        </w:rPr>
        <w:t>坝</w:t>
      </w:r>
      <w:r>
        <w:t>岷江出</w:t>
      </w:r>
      <w:r>
        <w:rPr>
          <w:rFonts w:hint="eastAsia"/>
        </w:rPr>
        <w:t>口处)，</w:t>
      </w:r>
      <w:r>
        <w:t>相对高</w:t>
      </w:r>
      <w:r>
        <w:rPr>
          <w:rFonts w:hint="eastAsia"/>
        </w:rPr>
        <w:t>差</w:t>
      </w:r>
      <w:r>
        <w:t>达</w:t>
      </w:r>
      <w:r>
        <w:rPr>
          <w:rFonts w:hint="eastAsia"/>
        </w:rPr>
        <w:t>3981米</w:t>
      </w:r>
      <w:r>
        <w:t>。</w:t>
      </w:r>
      <w:r>
        <w:rPr>
          <w:rFonts w:hint="eastAsia"/>
        </w:rPr>
        <w:t>地貌</w:t>
      </w:r>
      <w:r>
        <w:t>以</w:t>
      </w:r>
      <w:r>
        <w:rPr>
          <w:rFonts w:hint="eastAsia"/>
        </w:rPr>
        <w:t>山</w:t>
      </w:r>
      <w:r>
        <w:t>地为主，占全市面</w:t>
      </w:r>
      <w:r>
        <w:rPr>
          <w:rFonts w:hint="eastAsia"/>
        </w:rPr>
        <w:t>积</w:t>
      </w:r>
      <w:r>
        <w:t>64.2%，其次为丘陵，占</w:t>
      </w:r>
      <w:r>
        <w:rPr>
          <w:rFonts w:hint="eastAsia"/>
        </w:rPr>
        <w:t>30.2，</w:t>
      </w:r>
      <w:r>
        <w:t>平原仅占5</w:t>
      </w:r>
      <w:r>
        <w:rPr>
          <w:rFonts w:hint="eastAsia"/>
        </w:rPr>
        <w:t>.6</w:t>
      </w:r>
      <w:r>
        <w:t>%。</w:t>
      </w:r>
      <w:r>
        <w:rPr>
          <w:rFonts w:hint="eastAsia"/>
        </w:rPr>
        <w:t>全</w:t>
      </w:r>
      <w:r>
        <w:t>市</w:t>
      </w:r>
      <w:r>
        <w:rPr>
          <w:rFonts w:hint="eastAsia"/>
        </w:rPr>
        <w:t>常</w:t>
      </w:r>
      <w:r>
        <w:t>住总人口约355万</w:t>
      </w:r>
      <w:r>
        <w:rPr>
          <w:rFonts w:hint="eastAsia"/>
        </w:rPr>
        <w:t>，其</w:t>
      </w:r>
      <w:r>
        <w:t>中城</w:t>
      </w:r>
      <w:r>
        <w:rPr>
          <w:rFonts w:hint="eastAsia"/>
        </w:rPr>
        <w:t>镇</w:t>
      </w:r>
      <w:r>
        <w:t>民民</w:t>
      </w:r>
      <w:r>
        <w:rPr>
          <w:rFonts w:hint="eastAsia"/>
        </w:rPr>
        <w:t>占4</w:t>
      </w:r>
      <w:r>
        <w:t>7.3%</w:t>
      </w:r>
      <w:r>
        <w:rPr>
          <w:rFonts w:hint="eastAsia"/>
        </w:rPr>
        <w:t>。</w:t>
      </w:r>
      <w:r>
        <w:t>全</w:t>
      </w:r>
      <w:r>
        <w:rPr>
          <w:rFonts w:hint="eastAsia"/>
        </w:rPr>
        <w:t>市共</w:t>
      </w:r>
      <w:r>
        <w:t>11个区市县，</w:t>
      </w:r>
      <w:r>
        <w:rPr>
          <w:rFonts w:hint="eastAsia"/>
        </w:rPr>
        <w:t>有2</w:t>
      </w:r>
      <w:r>
        <w:t>16个乡镇</w:t>
      </w:r>
      <w:r>
        <w:rPr>
          <w:rFonts w:hint="eastAsia"/>
        </w:rPr>
        <w:t>(含4</w:t>
      </w:r>
      <w:r>
        <w:t>个街道)，其中城</w:t>
      </w:r>
      <w:r>
        <w:rPr>
          <w:rFonts w:hint="eastAsia"/>
        </w:rPr>
        <w:t>镇为</w:t>
      </w:r>
      <w:r>
        <w:t>97个</w:t>
      </w:r>
      <w:r>
        <w:rPr>
          <w:rFonts w:hint="eastAsia"/>
        </w:rPr>
        <w:t>，</w:t>
      </w:r>
      <w:r>
        <w:t>城镇化率为</w:t>
      </w:r>
      <w:r>
        <w:rPr>
          <w:rFonts w:hint="eastAsia"/>
        </w:rPr>
        <w:t>4</w:t>
      </w:r>
      <w:r>
        <w:t>5.8%。</w:t>
      </w:r>
    </w:p>
    <w:p w14:paraId="20ED376A">
      <w:pPr>
        <w:pStyle w:val="3"/>
        <w:ind w:firstLine="723"/>
      </w:pPr>
      <w:bookmarkStart w:id="4" w:name="_Toc482798147"/>
      <w:r>
        <w:rPr>
          <w:rFonts w:hint="eastAsia"/>
          <w:szCs w:val="21"/>
        </w:rPr>
        <w:t>矿产资源概况及开发利用现状</w:t>
      </w:r>
      <w:bookmarkEnd w:id="4"/>
    </w:p>
    <w:p w14:paraId="304D5D8B">
      <w:pPr>
        <w:pStyle w:val="4"/>
        <w:ind w:firstLine="643"/>
      </w:pPr>
      <w:bookmarkStart w:id="5" w:name="_Toc482798148"/>
      <w:r>
        <w:rPr>
          <w:rFonts w:hint="eastAsia"/>
        </w:rPr>
        <w:t>矿产资源概况</w:t>
      </w:r>
      <w:bookmarkEnd w:id="5"/>
    </w:p>
    <w:p w14:paraId="7FA0E562">
      <w:pPr>
        <w:ind w:firstLine="640"/>
      </w:pPr>
      <w:r>
        <w:rPr>
          <w:rFonts w:hint="eastAsia"/>
        </w:rPr>
        <w:t>乐山市位于四川盆地中西部低山丘陵向高山区过渡地带，岷江中下游区域，出露地层以沉积岩为主，其矿产资源特点是：</w:t>
      </w:r>
    </w:p>
    <w:p w14:paraId="431F5FE2">
      <w:pPr>
        <w:ind w:firstLine="640"/>
      </w:pPr>
      <w:r>
        <w:rPr>
          <w:rFonts w:hint="eastAsia"/>
        </w:rPr>
        <w:t>(1)矿产资源以沉积型非金属矿产为主，重要金属矿产较少。</w:t>
      </w:r>
    </w:p>
    <w:p w14:paraId="0EDC78C9">
      <w:pPr>
        <w:ind w:firstLine="640"/>
      </w:pPr>
      <w:r>
        <w:rPr>
          <w:rFonts w:hint="eastAsia"/>
        </w:rPr>
        <w:t>(2)以磷、石灰岩、石膏、岩盐、煤、建陶原料为主的非金属矿产资源丰富。</w:t>
      </w:r>
    </w:p>
    <w:p w14:paraId="417CF6B5">
      <w:pPr>
        <w:ind w:firstLine="640"/>
      </w:pPr>
      <w:r>
        <w:rPr>
          <w:rFonts w:hint="eastAsia"/>
        </w:rPr>
        <w:t>(3)砖瓦页岩十分丰富，遍布全市，但现有矿山规模较小，且较为分散。</w:t>
      </w:r>
    </w:p>
    <w:p w14:paraId="7607674A">
      <w:pPr>
        <w:ind w:firstLine="640"/>
      </w:pPr>
      <w:r>
        <w:rPr>
          <w:rFonts w:hint="eastAsia"/>
        </w:rPr>
        <w:t>(4)矿产开发多以原矿销售为主，深加工少。</w:t>
      </w:r>
    </w:p>
    <w:p w14:paraId="57A7961D">
      <w:pPr>
        <w:ind w:firstLine="640"/>
      </w:pPr>
      <w:r>
        <w:rPr>
          <w:rFonts w:hint="eastAsia"/>
        </w:rPr>
        <w:t>截于2015年12月31日，全市共有已设各类采矿权483个，其中大中型53个，占11%；各类已设探矿权83个。</w:t>
      </w:r>
    </w:p>
    <w:p w14:paraId="7413968D">
      <w:pPr>
        <w:pStyle w:val="4"/>
        <w:ind w:firstLine="643"/>
      </w:pPr>
      <w:bookmarkStart w:id="6" w:name="_Toc482798149"/>
      <w:r>
        <w:rPr>
          <w:rFonts w:hint="eastAsia"/>
        </w:rPr>
        <w:t>开发利用现状</w:t>
      </w:r>
      <w:bookmarkEnd w:id="6"/>
    </w:p>
    <w:p w14:paraId="5E78AC25">
      <w:pPr>
        <w:ind w:firstLine="640"/>
      </w:pPr>
      <w:r>
        <w:rPr>
          <w:rFonts w:hint="eastAsia"/>
        </w:rPr>
        <w:t>2011年以来，我市矿产资源勘查开发取得明显成就，找矿取得重大突破，资源供应能力明显增强，</w:t>
      </w:r>
      <w:r>
        <w:t>矿产资源开发秩序全面好转</w:t>
      </w:r>
      <w:r>
        <w:rPr>
          <w:rFonts w:hint="eastAsia"/>
        </w:rPr>
        <w:t>，</w:t>
      </w:r>
      <w:r>
        <w:t>矿产资源改革逐步深化</w:t>
      </w:r>
      <w:r>
        <w:rPr>
          <w:rFonts w:hint="eastAsia"/>
        </w:rPr>
        <w:t>，</w:t>
      </w:r>
      <w:r>
        <w:t>矿产资源管理水平大幅提升</w:t>
      </w:r>
      <w:r>
        <w:rPr>
          <w:rFonts w:hint="eastAsia"/>
        </w:rPr>
        <w:t>，</w:t>
      </w:r>
      <w:r>
        <w:t>有力保障了社会经济可持续发展</w:t>
      </w:r>
      <w:r>
        <w:rPr>
          <w:rFonts w:hint="eastAsia"/>
        </w:rPr>
        <w:t>。</w:t>
      </w:r>
    </w:p>
    <w:p w14:paraId="0E4C4487">
      <w:pPr>
        <w:ind w:firstLine="643"/>
      </w:pPr>
      <w:r>
        <w:rPr>
          <w:rFonts w:hint="eastAsia"/>
          <w:b/>
        </w:rPr>
        <w:t>矿产资源保障程度稳步上升。</w:t>
      </w:r>
      <w:r>
        <w:rPr>
          <w:rFonts w:hint="eastAsia"/>
        </w:rPr>
        <w:t>加大地方财政支持力度，全面实施找矿突破战略行动，地质矿产调查稳步推进，基础地质工作程度明显提高。加强重要矿产资源勘查，“十二五”期间实施矿产资源勘查项目</w:t>
      </w:r>
      <w:r>
        <w:t>1</w:t>
      </w:r>
      <w:r>
        <w:rPr>
          <w:rFonts w:hint="eastAsia"/>
        </w:rPr>
        <w:t>项，新发现大中型矿产地(煤</w:t>
      </w:r>
      <w:r>
        <w:t>)2</w:t>
      </w:r>
      <w:r>
        <w:rPr>
          <w:rFonts w:hint="eastAsia"/>
        </w:rPr>
        <w:t>处，新增了一批重要矿产的资源储量，保证了煤、铜、磷、水泥灰岩等重要矿产的储量增长大于储量消耗。严格规范矿产资源勘查空间秩序，强化探矿权设置的布局引导，勘查布局逐年优化。</w:t>
      </w:r>
    </w:p>
    <w:p w14:paraId="5C326402">
      <w:pPr>
        <w:ind w:firstLine="643"/>
      </w:pPr>
      <w:r>
        <w:rPr>
          <w:rFonts w:hint="eastAsia"/>
          <w:b/>
        </w:rPr>
        <w:t>矿业经济快速发展。</w:t>
      </w:r>
      <w:r>
        <w:rPr>
          <w:rFonts w:hint="eastAsia"/>
        </w:rPr>
        <w:t>矿产资源开发利用已形成了包括能源、有色金属、磷</w:t>
      </w:r>
      <w:r>
        <w:t>盐</w:t>
      </w:r>
      <w:r>
        <w:rPr>
          <w:rFonts w:hint="eastAsia"/>
        </w:rPr>
        <w:t>化工、建材矿产开发利用和加工的生产体系，</w:t>
      </w:r>
      <w:r>
        <w:t>原煤</w:t>
      </w:r>
      <w:r>
        <w:rPr>
          <w:rFonts w:hint="eastAsia"/>
        </w:rPr>
        <w:t>、</w:t>
      </w:r>
      <w:r>
        <w:t>磷矿</w:t>
      </w:r>
      <w:r>
        <w:rPr>
          <w:rFonts w:hint="eastAsia"/>
        </w:rPr>
        <w:t>、</w:t>
      </w:r>
      <w:r>
        <w:t>岩盐</w:t>
      </w:r>
      <w:r>
        <w:rPr>
          <w:rFonts w:hint="eastAsia"/>
        </w:rPr>
        <w:t>、</w:t>
      </w:r>
      <w:r>
        <w:t>水泥灰岩</w:t>
      </w:r>
      <w:r>
        <w:rPr>
          <w:rFonts w:hint="eastAsia"/>
        </w:rPr>
        <w:t>、</w:t>
      </w:r>
      <w:r>
        <w:t>建</w:t>
      </w:r>
      <w:r>
        <w:rPr>
          <w:rFonts w:hint="eastAsia"/>
        </w:rPr>
        <w:t>陶</w:t>
      </w:r>
      <w:r>
        <w:t>用原料等矿产的开发在</w:t>
      </w:r>
      <w:r>
        <w:rPr>
          <w:rFonts w:hint="eastAsia"/>
        </w:rPr>
        <w:t>我市</w:t>
      </w:r>
      <w:r>
        <w:t>工业生产中占有重要地位。</w:t>
      </w:r>
      <w:r>
        <w:rPr>
          <w:rFonts w:hint="eastAsia"/>
        </w:rPr>
        <w:t>在稳定和提高资源可供性的基础上，平稳增加重要矿产资源供应能力，促进矿产资源开采总量与经济社会发展水平相适应，基本保障了能源和矿物原料的可持续供应。截</w:t>
      </w:r>
      <w:r>
        <w:t>于2015</w:t>
      </w:r>
      <w:r>
        <w:rPr>
          <w:rFonts w:hint="eastAsia"/>
        </w:rPr>
        <w:t>年</w:t>
      </w:r>
      <w:r>
        <w:t>12月31日，</w:t>
      </w:r>
      <w:r>
        <w:rPr>
          <w:rFonts w:hint="eastAsia"/>
        </w:rPr>
        <w:t>全市共有已设</w:t>
      </w:r>
      <w:r>
        <w:t>各</w:t>
      </w:r>
      <w:r>
        <w:rPr>
          <w:rFonts w:hint="eastAsia"/>
        </w:rPr>
        <w:t>类采矿</w:t>
      </w:r>
      <w:r>
        <w:t>权483个</w:t>
      </w:r>
      <w:r>
        <w:rPr>
          <w:rFonts w:hint="eastAsia"/>
        </w:rPr>
        <w:t>，其</w:t>
      </w:r>
      <w:r>
        <w:t>中大</w:t>
      </w:r>
      <w:r>
        <w:rPr>
          <w:rFonts w:hint="eastAsia"/>
        </w:rPr>
        <w:t>型1</w:t>
      </w:r>
      <w:r>
        <w:t>2个，中型41个，</w:t>
      </w:r>
      <w:r>
        <w:rPr>
          <w:rFonts w:hint="eastAsia"/>
        </w:rPr>
        <w:t>大</w:t>
      </w:r>
      <w:r>
        <w:t>中型</w:t>
      </w:r>
      <w:r>
        <w:rPr>
          <w:rFonts w:hint="eastAsia"/>
        </w:rPr>
        <w:t>占</w:t>
      </w:r>
      <w:r>
        <w:t>11%；各类</w:t>
      </w:r>
      <w:r>
        <w:rPr>
          <w:rFonts w:hint="eastAsia"/>
        </w:rPr>
        <w:t>已设</w:t>
      </w:r>
      <w:r>
        <w:t>探矿</w:t>
      </w:r>
      <w:r>
        <w:rPr>
          <w:rFonts w:hint="eastAsia"/>
        </w:rPr>
        <w:t>权83个</w:t>
      </w:r>
      <w:r>
        <w:t>。</w:t>
      </w:r>
    </w:p>
    <w:p w14:paraId="20619F95">
      <w:pPr>
        <w:ind w:firstLine="643"/>
        <w:rPr>
          <w:rFonts w:cs="仿宋_GB2312"/>
          <w:b/>
        </w:rPr>
      </w:pPr>
      <w:r>
        <w:rPr>
          <w:rFonts w:hint="eastAsia" w:cs="仿宋_GB2312"/>
          <w:b/>
        </w:rPr>
        <w:t>截于2015年12月31日，全市主要矿产资源储量：煤331369.96千吨；岩盐315917.74千吨；水泥用灰岩424206.62千吨；伊利石粘土22441.97千吨。</w:t>
      </w:r>
    </w:p>
    <w:p w14:paraId="69B481C0">
      <w:pPr>
        <w:ind w:firstLine="640"/>
        <w:rPr>
          <w:rFonts w:cs="仿宋_GB2312"/>
        </w:rPr>
      </w:pPr>
      <w:r>
        <w:rPr>
          <w:rFonts w:hint="eastAsia" w:cs="仿宋_GB2312"/>
        </w:rPr>
        <w:t>全市各类矿产资源情况详见附表1《规划基期四川省乐山市主要矿产资源储量表》。</w:t>
      </w:r>
    </w:p>
    <w:p w14:paraId="4571F804">
      <w:pPr>
        <w:ind w:firstLine="643"/>
        <w:rPr>
          <w:rFonts w:cs="仿宋_GB2312"/>
        </w:rPr>
      </w:pPr>
      <w:r>
        <w:rPr>
          <w:rFonts w:hint="eastAsia" w:cs="仿宋_GB2312"/>
          <w:b/>
        </w:rPr>
        <w:t>矿产资源开发布局明显优化。</w:t>
      </w:r>
      <w:r>
        <w:rPr>
          <w:rFonts w:hint="eastAsia" w:cs="仿宋_GB2312"/>
        </w:rPr>
        <w:t>大力转变矿业增长方式，推动矿产资源开发利用与区域协调发展，矿产资源开发利用布局和结构不断优化，矿业集中度有序提升，大中型矿山比例有所上升。加强马边－峨边以磷为主、犍为－井研盐化工矿业经济重点发展区域建设，发挥资源开发利用的集聚优势，促进资源优势转化为经济优势。执行差别化管理政策，合理引导采矿活动在鼓励区和重点区规模化集约化聚集，在限制区和禁止区有序退出以保护资源和生态。</w:t>
      </w:r>
    </w:p>
    <w:p w14:paraId="057A3ECE">
      <w:pPr>
        <w:ind w:firstLine="643"/>
        <w:rPr>
          <w:rFonts w:cs="仿宋_GB2312"/>
        </w:rPr>
      </w:pPr>
      <w:r>
        <w:rPr>
          <w:rFonts w:hint="eastAsia" w:cs="仿宋_GB2312"/>
          <w:b/>
        </w:rPr>
        <w:t>矿产资源综合利用成效显著。</w:t>
      </w:r>
      <w:r>
        <w:rPr>
          <w:rFonts w:hint="eastAsia" w:cs="仿宋_GB2312"/>
        </w:rPr>
        <w:t>积极推进矿产资源节约与综合利用专项工作，以大宗矿产和重要矿产为重点，鼓励和支持矿山企业提高矿产资源采选水平，煤炭采区回采率和矿井回采率均高于全国平均水平，金属矿和非金属矿开采水平逐年提高，地下和露天平均开采回采率分别达到75%和95%。总结成功经验，激励科技进步，扩大示范带动效应，探索矿业转型升级新途径，节约资源、保护资源、高效利用资源的资源利用模式正在形成。</w:t>
      </w:r>
    </w:p>
    <w:p w14:paraId="2D8B2040">
      <w:pPr>
        <w:ind w:firstLine="643"/>
        <w:rPr>
          <w:rFonts w:cs="仿宋_GB2312"/>
        </w:rPr>
      </w:pPr>
      <w:r>
        <w:rPr>
          <w:rFonts w:hint="eastAsia" w:cs="仿宋_GB2312"/>
          <w:b/>
        </w:rPr>
        <w:t>矿山地质环境明显改善。</w:t>
      </w:r>
      <w:r>
        <w:rPr>
          <w:rFonts w:hint="eastAsia" w:cs="仿宋_GB2312"/>
        </w:rPr>
        <w:t>认真落实《矿山地质环境保护规定》，制定实施《四川省矿山地质环境恢复治理保证金管理暂行办法》，为矿山地质环境保护和治理恢复提供了制度保障。加大矿山环境保护的监管力度，实行了矿山地质环境监测、预报、预警报告制度，建立了全市矿山地质环境监测体系和矿山地质环境管理系统。按照矿山环境保护与治理专项规划在治理恢复重点区域实施重点项目，建立废弃矿山集中连片整治模式，探索废弃矿区土地综合整治新举措，促进了新老矿山及资源枯竭型城市的生态恢复。对处于重要自然保护区、景观区、居民集中生活区和重要交通干线、河流湖泊直观可视范围的矿山地质环境问题进行了集中治理。</w:t>
      </w:r>
    </w:p>
    <w:p w14:paraId="744CB53A">
      <w:pPr>
        <w:ind w:firstLine="643"/>
        <w:rPr>
          <w:rFonts w:cs="仿宋_GB2312"/>
        </w:rPr>
      </w:pPr>
      <w:r>
        <w:rPr>
          <w:rFonts w:hint="eastAsia" w:cs="仿宋_GB2312"/>
          <w:b/>
        </w:rPr>
        <w:t>矿产资源管理水平进一步提高。</w:t>
      </w:r>
      <w:r>
        <w:rPr>
          <w:rFonts w:hint="eastAsia" w:cs="仿宋_GB2312"/>
        </w:rPr>
        <w:t>坚持依法行政，注重管理创新，深化矿产资源管理改革，完善矿产资源管理制度。形成了服务于宏观调控的矿产资源规划体系，通过矿业权设置方案实现了矿产资源管理从产业布局和总量控制到开发布局、计划投放、结构优化等具体管理的全线调控。矿业权市场体系逐渐完善，矿业权有形市场监管切实加强。建立了重要矿产资源开发新模式，创新民族地区矿产资源开发利益共享机制，促进了民族地区矿产资源科学开发、共赢开发、和谐开发。严格执行矿产资源储量管理制度，加强资源储量的评审、备案、登记和统计工作，强化矿山储量动态管理，实现了全市矿山储量动态监督全覆盖。</w:t>
      </w:r>
    </w:p>
    <w:p w14:paraId="1FD7733C">
      <w:pPr>
        <w:pStyle w:val="3"/>
        <w:ind w:firstLine="723"/>
      </w:pPr>
      <w:bookmarkStart w:id="7" w:name="_Toc482798150"/>
      <w:r>
        <w:rPr>
          <w:rFonts w:hint="eastAsia"/>
        </w:rPr>
        <w:t>形势与要求</w:t>
      </w:r>
      <w:bookmarkEnd w:id="7"/>
    </w:p>
    <w:p w14:paraId="7859B72A">
      <w:pPr>
        <w:ind w:firstLine="640"/>
      </w:pPr>
      <w:r>
        <w:rPr>
          <w:rFonts w:hint="eastAsia"/>
        </w:rPr>
        <w:t>“十三五”期间是我市推进科学发展、加快发展，与全国同步全面建成小康社会的决胜阶段，经济发展面临重要机遇和前所未有的挑战。我市位</w:t>
      </w:r>
      <w:r>
        <w:t>于</w:t>
      </w:r>
      <w:r>
        <w:rPr>
          <w:rFonts w:hint="eastAsia"/>
        </w:rPr>
        <w:t>岷</w:t>
      </w:r>
      <w:r>
        <w:t>江、</w:t>
      </w:r>
      <w:r>
        <w:rPr>
          <w:rFonts w:hint="eastAsia"/>
        </w:rPr>
        <w:t>大渡河</w:t>
      </w:r>
      <w:r>
        <w:t>、青衣江三江汇合处，</w:t>
      </w:r>
      <w:r>
        <w:rPr>
          <w:rFonts w:hint="eastAsia"/>
        </w:rPr>
        <w:t>周边有“天府</w:t>
      </w:r>
      <w:r>
        <w:t>新区</w:t>
      </w:r>
      <w:r>
        <w:rPr>
          <w:rFonts w:hint="eastAsia"/>
        </w:rPr>
        <w:t>经济带”、 “长江经济带”、“甘</w:t>
      </w:r>
      <w:r>
        <w:t>阿</w:t>
      </w:r>
      <w:r>
        <w:rPr>
          <w:rFonts w:hint="eastAsia"/>
        </w:rPr>
        <w:t>凉</w:t>
      </w:r>
      <w:r>
        <w:t>民族</w:t>
      </w:r>
      <w:r>
        <w:rPr>
          <w:rFonts w:hint="eastAsia"/>
        </w:rPr>
        <w:t>经济</w:t>
      </w:r>
      <w:r>
        <w:t>区</w:t>
      </w:r>
      <w:r>
        <w:rPr>
          <w:rFonts w:hint="eastAsia"/>
        </w:rPr>
        <w:t>”，具有先天区位优势，随着“两带”经济的发展和“西部大开发战略”的深入实施，我市有条件成为我省未来经济重要的一个增长板块。</w:t>
      </w:r>
    </w:p>
    <w:p w14:paraId="46695CBE">
      <w:pPr>
        <w:ind w:firstLine="640"/>
      </w:pPr>
      <w:r>
        <w:rPr>
          <w:rFonts w:hint="eastAsia"/>
        </w:rPr>
        <w:t>四川“欠发达、不平衡”的省情还未根本改变，我</w:t>
      </w:r>
      <w:r>
        <w:t>市当然也不例外</w:t>
      </w:r>
      <w:r>
        <w:rPr>
          <w:rFonts w:hint="eastAsia"/>
        </w:rPr>
        <w:t>。“十二五”后期经济发展遭遇巨大困难，部分经济指标增速的回落幅度较大，投资增长难度加大，经济结构调整任务艰巨，妨碍发展的体制机制障碍亟待破除，一些地区基础设施和公共服务体系建设等领域的差距仍然较大，城乡群众在生产生活中不少突出问题有待解决。</w:t>
      </w:r>
    </w:p>
    <w:p w14:paraId="0A2EA352">
      <w:pPr>
        <w:ind w:firstLine="640"/>
      </w:pPr>
      <w:r>
        <w:rPr>
          <w:rFonts w:hint="eastAsia"/>
        </w:rPr>
        <w:t>第二轮矿产资源规划实施期间，我</w:t>
      </w:r>
      <w:r>
        <w:t>市</w:t>
      </w:r>
      <w:r>
        <w:rPr>
          <w:rFonts w:hint="eastAsia"/>
        </w:rPr>
        <w:t>矿产勘查开发不但有力保障了经济社会较快发展，支撑了盐化</w:t>
      </w:r>
      <w:r>
        <w:t>工</w:t>
      </w:r>
      <w:r>
        <w:rPr>
          <w:rFonts w:hint="eastAsia"/>
        </w:rPr>
        <w:t>、磷</w:t>
      </w:r>
      <w:r>
        <w:t>化工、</w:t>
      </w:r>
      <w:r>
        <w:rPr>
          <w:rFonts w:hint="eastAsia"/>
        </w:rPr>
        <w:t>水泥、建材等一大批与矿</w:t>
      </w:r>
      <w:r>
        <w:t>产资源密切相关的</w:t>
      </w:r>
      <w:r>
        <w:rPr>
          <w:rFonts w:hint="eastAsia"/>
        </w:rPr>
        <w:t>项目建设，矿业对我市经济社会发展的支撑和拉动作用十分显著。</w:t>
      </w:r>
    </w:p>
    <w:p w14:paraId="0B2D9A12">
      <w:pPr>
        <w:ind w:firstLine="640"/>
      </w:pPr>
      <w:r>
        <w:rPr>
          <w:rFonts w:hint="eastAsia"/>
        </w:rPr>
        <w:t>未来20年是工业化和城镇化快速发展的重要时期，推进工业化和城镇化的过程中，需要能源矿产和矿物原材料作为支撑，对矿产资源的刚性需求会继续上升。但随着经济发展进入新常态，经济增速换档回落，经济增长从高速增长时代进入中速稳步增长时代，对矿产资源需求总量的增速将放缓，我市矿业经济正进入一个增速趋缓、产业结构深度调整、矿业企业竞争加剧、优胜劣汰突出的新常态、新周期。我市虽然部份矿产资源具有较大优势，但产业发展层次低，大都</w:t>
      </w:r>
      <w:r>
        <w:t>为</w:t>
      </w:r>
      <w:r>
        <w:rPr>
          <w:rFonts w:hint="eastAsia"/>
        </w:rPr>
        <w:t>小规模</w:t>
      </w:r>
      <w:r>
        <w:t>粗</w:t>
      </w:r>
      <w:r>
        <w:rPr>
          <w:rFonts w:hint="eastAsia"/>
        </w:rPr>
        <w:t>放</w:t>
      </w:r>
      <w:r>
        <w:t>型原</w:t>
      </w:r>
      <w:r>
        <w:rPr>
          <w:rFonts w:hint="eastAsia"/>
        </w:rPr>
        <w:t>矿</w:t>
      </w:r>
      <w:r>
        <w:t>开采</w:t>
      </w:r>
      <w:r>
        <w:rPr>
          <w:rFonts w:hint="eastAsia"/>
        </w:rPr>
        <w:t>销售</w:t>
      </w:r>
      <w:r>
        <w:t>，</w:t>
      </w:r>
      <w:r>
        <w:rPr>
          <w:rFonts w:hint="eastAsia"/>
        </w:rPr>
        <w:t>亟需实现规模开发和产业升级。必须把握利用矿业下行周期的有利条件和历史契机，主动适应新常态，积极调整和优化资源勘查开发的方向和布局，进一步加大上游资源开发与下游产业发展的统筹协调，在保障资源有效供应的同时，形成倒逼机制和退出机制，更好</w:t>
      </w:r>
      <w:r>
        <w:t>发挥矿产资源对稳增长、调结构、惠民生和补齐发展短板的支撑保障作用。</w:t>
      </w:r>
    </w:p>
    <w:p w14:paraId="3A356960">
      <w:pPr>
        <w:ind w:firstLine="640"/>
      </w:pPr>
      <w:r>
        <w:rPr>
          <w:rFonts w:hint="eastAsia"/>
        </w:rPr>
        <w:t>“十三五”期间，我市矿产资源开发环境资源约束加大。我</w:t>
      </w:r>
      <w:r>
        <w:t>市</w:t>
      </w:r>
      <w:r>
        <w:rPr>
          <w:rFonts w:hint="eastAsia"/>
        </w:rPr>
        <w:t>境</w:t>
      </w:r>
      <w:r>
        <w:t>内</w:t>
      </w:r>
      <w:r>
        <w:rPr>
          <w:rFonts w:hint="eastAsia"/>
        </w:rPr>
        <w:t>三分之二国土空间属于禁止或限制开发区域，土地资源日趋紧张。生态环境较为脆弱，自然灾害多发频发。水污染、土壤污染问题逐步显现，农村面源污染形势严峻。</w:t>
      </w:r>
    </w:p>
    <w:p w14:paraId="492FF542">
      <w:pPr>
        <w:ind w:firstLine="640"/>
      </w:pPr>
      <w:r>
        <w:rPr>
          <w:rFonts w:hint="eastAsia"/>
        </w:rPr>
        <w:t>资源开发与生态保护之间的矛盾凸显，矿业企业亟待转型升级、资源保障面临巨大压力。党的十八大将生态文明建设纳入“五位一体”总体布局，要求在矿产资源管理和矿业发展中必须将生态环境保护放在更加突出的位置。因此必须大力推进绿色矿山建设和绿色矿业发展，加快转变资源开发利用方式，切实完成资源安全和生态安全的双重保障任务。</w:t>
      </w:r>
    </w:p>
    <w:p w14:paraId="60816E79">
      <w:pPr>
        <w:ind w:firstLine="640"/>
      </w:pPr>
      <w:r>
        <w:rPr>
          <w:rFonts w:hint="eastAsia"/>
        </w:rPr>
        <w:t>目前由</w:t>
      </w:r>
      <w:r>
        <w:t>于</w:t>
      </w:r>
      <w:r>
        <w:rPr>
          <w:rFonts w:hint="eastAsia"/>
        </w:rPr>
        <w:t>各</w:t>
      </w:r>
      <w:r>
        <w:t>种因素的影响，我</w:t>
      </w:r>
      <w:r>
        <w:rPr>
          <w:rFonts w:hint="eastAsia"/>
        </w:rPr>
        <w:t>市矿产资源管理政策缺乏系统性、矿政管理条块分割、政府对资源配置干预较多、基层矿政管理力量薄弱、</w:t>
      </w:r>
      <w:r>
        <w:t>矿产资源</w:t>
      </w:r>
      <w:r>
        <w:rPr>
          <w:rFonts w:hint="eastAsia"/>
        </w:rPr>
        <w:t>规划</w:t>
      </w:r>
      <w:r>
        <w:t>与土地、林业、水</w:t>
      </w:r>
      <w:r>
        <w:rPr>
          <w:rFonts w:hint="eastAsia"/>
        </w:rPr>
        <w:t>利相</w:t>
      </w:r>
      <w:r>
        <w:t>关规划不</w:t>
      </w:r>
      <w:r>
        <w:rPr>
          <w:rFonts w:hint="eastAsia"/>
        </w:rPr>
        <w:t>协调等问题仍然存在，资源管理中一些深层问题和矛盾尚未得到有效解决。按照推进国家治理体系和治理能力现代化，使市场在资源配置中起决定作用和更好发挥政府作用，要</w:t>
      </w:r>
      <w:r>
        <w:t>做到</w:t>
      </w:r>
      <w:r>
        <w:rPr>
          <w:rFonts w:hint="eastAsia"/>
        </w:rPr>
        <w:t>依法</w:t>
      </w:r>
      <w:r>
        <w:t>管矿</w:t>
      </w:r>
      <w:r>
        <w:rPr>
          <w:rFonts w:hint="eastAsia"/>
        </w:rPr>
        <w:t>和</w:t>
      </w:r>
      <w:r>
        <w:t>依法</w:t>
      </w:r>
      <w:r>
        <w:rPr>
          <w:rFonts w:hint="eastAsia"/>
        </w:rPr>
        <w:t>治理，必须深化矿产资源管理改革，加快管理职能、管理方式转变，坚持依法行政，进一步提升依法依规管矿用矿的能力和水平，统筹推进矿产资源管理制度的组合配套和改革创新，加强以战略统筹、规划调节为核心的宏观管理制度建设。</w:t>
      </w:r>
    </w:p>
    <w:p w14:paraId="5191FED9">
      <w:pPr>
        <w:ind w:firstLine="640"/>
      </w:pPr>
      <w:r>
        <w:rPr>
          <w:rFonts w:hint="eastAsia"/>
        </w:rPr>
        <w:t>规划期间，必须珍惜来之不易的大好局面和难得的发展机遇，围绕服务发展这个大局、围绕节约集约这条主线、围绕维护群众权益这个民生找准定位，全面加强矿产资源的勘查、开发、保护与合理利用，提高资源保障能力，为全面建成小康社会夯实资源基础。</w:t>
      </w:r>
    </w:p>
    <w:p w14:paraId="76C1A88C">
      <w:pPr>
        <w:widowControl/>
        <w:adjustRightInd/>
        <w:snapToGrid/>
        <w:spacing w:line="240" w:lineRule="auto"/>
        <w:ind w:firstLine="0" w:firstLineChars="0"/>
        <w:jc w:val="left"/>
      </w:pPr>
      <w:r>
        <w:br w:type="page"/>
      </w:r>
    </w:p>
    <w:p w14:paraId="30EDFDF4">
      <w:pPr>
        <w:ind w:firstLine="640"/>
        <w:rPr>
          <w:rFonts w:cs="仿宋_GB2312"/>
        </w:rPr>
      </w:pPr>
    </w:p>
    <w:p w14:paraId="4A519532">
      <w:pPr>
        <w:pStyle w:val="2"/>
        <w:rPr>
          <w:kern w:val="0"/>
        </w:rPr>
      </w:pPr>
      <w:bookmarkStart w:id="8" w:name="_Toc482798151"/>
      <w:r>
        <w:rPr>
          <w:rFonts w:hint="eastAsia"/>
          <w:kern w:val="0"/>
        </w:rPr>
        <w:t>指导原则与目标</w:t>
      </w:r>
      <w:bookmarkEnd w:id="8"/>
    </w:p>
    <w:p w14:paraId="213AE2C0">
      <w:pPr>
        <w:pStyle w:val="3"/>
        <w:ind w:firstLine="723"/>
      </w:pPr>
      <w:bookmarkStart w:id="9" w:name="_Toc482798152"/>
      <w:r>
        <w:rPr>
          <w:rFonts w:hint="eastAsia"/>
        </w:rPr>
        <w:t>指导原则</w:t>
      </w:r>
      <w:bookmarkEnd w:id="9"/>
    </w:p>
    <w:p w14:paraId="1314B43E">
      <w:pPr>
        <w:pStyle w:val="4"/>
        <w:ind w:firstLine="643"/>
      </w:pPr>
      <w:bookmarkStart w:id="10" w:name="_Toc482798153"/>
      <w:r>
        <w:rPr>
          <w:rFonts w:hint="eastAsia"/>
        </w:rPr>
        <w:t>指导思想</w:t>
      </w:r>
      <w:bookmarkEnd w:id="10"/>
    </w:p>
    <w:p w14:paraId="5D0194C6">
      <w:pPr>
        <w:ind w:firstLine="640"/>
        <w:rPr>
          <w:rFonts w:cs="仿宋_GB2312"/>
        </w:rPr>
      </w:pPr>
      <w:r>
        <w:rPr>
          <w:rFonts w:hint="eastAsia"/>
        </w:rPr>
        <w:t>全面贯彻党的十八大和习近平总书记系列重要讲话精神，落实“创新、协调、绿色、开放、共享”的发展理念，遵循四川省矿产资源规划导向，紧密结合我市对矿产资源勘查开发的需求，以资源安全保障为目标，以提升矿业治理和效益为中心，强化市场配置资源，推动改革试点和制度创新，加快矿业转型升级，推进资源开发与环境保护协调发展，促进资源开发收益共享，为我市以</w:t>
      </w:r>
      <w:r>
        <w:t>磷</w:t>
      </w:r>
      <w:r>
        <w:rPr>
          <w:rFonts w:hint="eastAsia"/>
        </w:rPr>
        <w:t>化工、盐化</w:t>
      </w:r>
      <w:r>
        <w:t>工、</w:t>
      </w:r>
      <w:r>
        <w:rPr>
          <w:rFonts w:hint="eastAsia"/>
        </w:rPr>
        <w:t>水泥、瓷</w:t>
      </w:r>
      <w:r>
        <w:t>砖</w:t>
      </w:r>
      <w:r>
        <w:rPr>
          <w:rFonts w:hint="eastAsia"/>
        </w:rPr>
        <w:t>、煤</w:t>
      </w:r>
      <w:r>
        <w:t>、钢铁</w:t>
      </w:r>
      <w:r>
        <w:rPr>
          <w:rFonts w:hint="eastAsia"/>
        </w:rPr>
        <w:t>等</w:t>
      </w:r>
      <w:r>
        <w:t>为主体的</w:t>
      </w:r>
      <w:r>
        <w:rPr>
          <w:rFonts w:hint="eastAsia"/>
        </w:rPr>
        <w:t>矿</w:t>
      </w:r>
      <w:r>
        <w:t>业经济</w:t>
      </w:r>
      <w:r>
        <w:rPr>
          <w:rFonts w:hint="eastAsia"/>
        </w:rPr>
        <w:t>发展提供有力的资源保障。</w:t>
      </w:r>
    </w:p>
    <w:p w14:paraId="6405DA0C">
      <w:pPr>
        <w:pStyle w:val="4"/>
        <w:ind w:firstLine="643"/>
      </w:pPr>
      <w:bookmarkStart w:id="11" w:name="_Toc482798154"/>
      <w:r>
        <w:rPr>
          <w:rFonts w:hint="eastAsia"/>
        </w:rPr>
        <w:t>基本原则</w:t>
      </w:r>
      <w:bookmarkEnd w:id="11"/>
    </w:p>
    <w:p w14:paraId="15A989B0">
      <w:pPr>
        <w:pStyle w:val="5"/>
        <w:ind w:firstLine="643"/>
      </w:pPr>
      <w:r>
        <w:rPr>
          <w:rFonts w:hint="eastAsia"/>
        </w:rPr>
        <w:t>服务大局，提高保障</w:t>
      </w:r>
    </w:p>
    <w:p w14:paraId="1EB64213">
      <w:pPr>
        <w:ind w:firstLine="640"/>
      </w:pPr>
      <w:r>
        <w:rPr>
          <w:rFonts w:hint="eastAsia"/>
        </w:rPr>
        <w:t>根据经济社会发展需要，服务于打造四川经济升级版的大局，深入推进找矿突破战略行动，系统谋划工作布局，激发全社会内在的找矿活力，促进找矿重大突破，建设矿产资源勘查开发基地，加强重要矿产资源储备，提高资源持续供应能力。</w:t>
      </w:r>
    </w:p>
    <w:p w14:paraId="416B073F">
      <w:pPr>
        <w:pStyle w:val="5"/>
        <w:ind w:firstLine="643"/>
      </w:pPr>
      <w:r>
        <w:rPr>
          <w:rFonts w:hint="eastAsia"/>
        </w:rPr>
        <w:t>节约优先，提高效率</w:t>
      </w:r>
    </w:p>
    <w:p w14:paraId="3F902E44">
      <w:pPr>
        <w:ind w:firstLine="640"/>
      </w:pPr>
      <w:r>
        <w:rPr>
          <w:rFonts w:hint="eastAsia"/>
        </w:rPr>
        <w:t>坚持矿产资源开发节约优先、保护优先，实施重要优势矿产资源的开发总量控制,加强矿产资源节约与综合利用，提高矿产资源开发利用效率，降低资源耗竭速度，确保矿产资源可持续利用，将矿产资源开发利用向广度和深度发展。</w:t>
      </w:r>
    </w:p>
    <w:p w14:paraId="0D1FD31E">
      <w:pPr>
        <w:pStyle w:val="5"/>
        <w:ind w:firstLine="643"/>
      </w:pPr>
      <w:r>
        <w:rPr>
          <w:rFonts w:hint="eastAsia"/>
        </w:rPr>
        <w:t>资源惠民，改善民生</w:t>
      </w:r>
    </w:p>
    <w:p w14:paraId="22B918AA">
      <w:pPr>
        <w:ind w:firstLine="640"/>
      </w:pPr>
      <w:r>
        <w:rPr>
          <w:rFonts w:hint="eastAsia"/>
        </w:rPr>
        <w:t>立足资源服务社会和改善民生，支持贫困地区矿产资源开发利用，完善资源开发利益分配机制，推动矿产资源科学开发、共赢开发、和谐开发，实现中央、地方、企业、矿区群众共享资源开发收益和发展成果。</w:t>
      </w:r>
    </w:p>
    <w:p w14:paraId="62B4D90B">
      <w:pPr>
        <w:pStyle w:val="5"/>
        <w:ind w:firstLine="643"/>
      </w:pPr>
      <w:r>
        <w:rPr>
          <w:rFonts w:hint="eastAsia"/>
        </w:rPr>
        <w:t>生</w:t>
      </w:r>
      <w:r>
        <w:t>态保护优先，</w:t>
      </w:r>
      <w:r>
        <w:rPr>
          <w:rFonts w:hint="eastAsia"/>
        </w:rPr>
        <w:t>环境</w:t>
      </w:r>
      <w:r>
        <w:t>保护优先</w:t>
      </w:r>
    </w:p>
    <w:p w14:paraId="3EB593BF">
      <w:pPr>
        <w:ind w:firstLine="643"/>
        <w:rPr>
          <w:b/>
        </w:rPr>
      </w:pPr>
      <w:r>
        <w:rPr>
          <w:b/>
        </w:rPr>
        <w:t>严守</w:t>
      </w:r>
      <w:r>
        <w:rPr>
          <w:rFonts w:hint="eastAsia"/>
          <w:b/>
        </w:rPr>
        <w:t>四川省</w:t>
      </w:r>
      <w:r>
        <w:rPr>
          <w:b/>
        </w:rPr>
        <w:t>划定的生态保护红线，</w:t>
      </w:r>
      <w:r>
        <w:rPr>
          <w:rFonts w:hint="eastAsia"/>
          <w:b/>
        </w:rPr>
        <w:t>体现生</w:t>
      </w:r>
      <w:r>
        <w:rPr>
          <w:b/>
        </w:rPr>
        <w:t>态保护优先，</w:t>
      </w:r>
      <w:r>
        <w:rPr>
          <w:rFonts w:hint="eastAsia"/>
          <w:b/>
        </w:rPr>
        <w:t>环境</w:t>
      </w:r>
      <w:r>
        <w:rPr>
          <w:b/>
        </w:rPr>
        <w:t>保护优先的原则，在</w:t>
      </w:r>
      <w:r>
        <w:rPr>
          <w:rFonts w:hint="eastAsia"/>
          <w:b/>
        </w:rPr>
        <w:t>本</w:t>
      </w:r>
      <w:r>
        <w:rPr>
          <w:b/>
        </w:rPr>
        <w:t>市境</w:t>
      </w:r>
      <w:r>
        <w:rPr>
          <w:rFonts w:hint="eastAsia"/>
          <w:b/>
        </w:rPr>
        <w:t>内</w:t>
      </w:r>
      <w:r>
        <w:rPr>
          <w:b/>
        </w:rPr>
        <w:t>进行的任何矿业勘查开</w:t>
      </w:r>
      <w:r>
        <w:rPr>
          <w:rFonts w:hint="eastAsia"/>
          <w:b/>
        </w:rPr>
        <w:t>发</w:t>
      </w:r>
      <w:r>
        <w:rPr>
          <w:b/>
        </w:rPr>
        <w:t>活动必须</w:t>
      </w:r>
      <w:r>
        <w:rPr>
          <w:rFonts w:hint="eastAsia"/>
          <w:b/>
        </w:rPr>
        <w:t>经</w:t>
      </w:r>
      <w:r>
        <w:rPr>
          <w:b/>
        </w:rPr>
        <w:t>过环境</w:t>
      </w:r>
      <w:r>
        <w:rPr>
          <w:rFonts w:hint="eastAsia"/>
          <w:b/>
        </w:rPr>
        <w:t>影响</w:t>
      </w:r>
      <w:r>
        <w:rPr>
          <w:b/>
        </w:rPr>
        <w:t>评价并</w:t>
      </w:r>
      <w:r>
        <w:rPr>
          <w:rFonts w:hint="eastAsia"/>
          <w:b/>
        </w:rPr>
        <w:t>取</w:t>
      </w:r>
      <w:r>
        <w:rPr>
          <w:b/>
        </w:rPr>
        <w:t>得环境保</w:t>
      </w:r>
      <w:r>
        <w:rPr>
          <w:rFonts w:hint="eastAsia"/>
          <w:b/>
        </w:rPr>
        <w:t>护</w:t>
      </w:r>
      <w:r>
        <w:rPr>
          <w:b/>
        </w:rPr>
        <w:t>部门的同</w:t>
      </w:r>
      <w:r>
        <w:rPr>
          <w:rFonts w:hint="eastAsia"/>
          <w:b/>
        </w:rPr>
        <w:t>意</w:t>
      </w:r>
      <w:r>
        <w:rPr>
          <w:b/>
        </w:rPr>
        <w:t>。</w:t>
      </w:r>
    </w:p>
    <w:p w14:paraId="334EDCB1">
      <w:pPr>
        <w:pStyle w:val="5"/>
        <w:ind w:firstLine="643"/>
      </w:pPr>
      <w:r>
        <w:rPr>
          <w:rFonts w:hint="eastAsia"/>
        </w:rPr>
        <w:t>转变方式，绿色开发</w:t>
      </w:r>
    </w:p>
    <w:p w14:paraId="0655BF4C">
      <w:pPr>
        <w:ind w:firstLine="640"/>
      </w:pPr>
      <w:r>
        <w:rPr>
          <w:rFonts w:hint="eastAsia"/>
        </w:rPr>
        <w:t>树立矿业绿色发展理念，按照推进生态文明建设的总体要求，统筹资源开发的经济效益和环境效益，强化矿区生态环境保护，推动资源利用方式根本转变，着力推进绿色发展、循环发展、低碳发展。</w:t>
      </w:r>
    </w:p>
    <w:p w14:paraId="71287E1A">
      <w:pPr>
        <w:pStyle w:val="5"/>
        <w:ind w:firstLine="643"/>
      </w:pPr>
      <w:r>
        <w:rPr>
          <w:rFonts w:hint="eastAsia"/>
        </w:rPr>
        <w:t>改革创新，增强活力</w:t>
      </w:r>
    </w:p>
    <w:p w14:paraId="59DC3CB2">
      <w:pPr>
        <w:ind w:firstLine="640"/>
      </w:pPr>
      <w:r>
        <w:rPr>
          <w:rFonts w:hint="eastAsia"/>
        </w:rPr>
        <w:t>实施创新发展驱动战略，积极推动改革试点和制度创新，努力破解制约当前矿产资源管理改革发展的突出问题，充分发挥市场在资源配置中的决定性作用和更好发挥政府作用，提高资源配置的效率和公平性，增强矿业发展的活力和竞争力。</w:t>
      </w:r>
    </w:p>
    <w:p w14:paraId="1D63AC35">
      <w:pPr>
        <w:ind w:firstLine="640"/>
      </w:pPr>
      <w:r>
        <w:rPr>
          <w:rFonts w:hint="eastAsia"/>
        </w:rPr>
        <w:t>因</w:t>
      </w:r>
      <w:r>
        <w:t>此，本规划着重于以下几个方面进行落实：</w:t>
      </w:r>
    </w:p>
    <w:p w14:paraId="6CB00A8B">
      <w:pPr>
        <w:ind w:firstLine="640"/>
      </w:pPr>
      <w:r>
        <w:rPr>
          <w:rFonts w:hint="eastAsia"/>
        </w:rPr>
        <w:t>(1)合理继承与创新发展相结合，以经济社会发展需求为导向。</w:t>
      </w:r>
    </w:p>
    <w:p w14:paraId="506DAC36">
      <w:pPr>
        <w:ind w:firstLine="640"/>
      </w:pPr>
      <w:r>
        <w:rPr>
          <w:rFonts w:hint="eastAsia"/>
        </w:rPr>
        <w:t>(</w:t>
      </w:r>
      <w:r>
        <w:t>2</w:t>
      </w:r>
      <w:r>
        <w:rPr>
          <w:rFonts w:hint="eastAsia"/>
        </w:rPr>
        <w:t>)面</w:t>
      </w:r>
      <w:r>
        <w:t>上</w:t>
      </w:r>
      <w:r>
        <w:rPr>
          <w:rFonts w:hint="eastAsia"/>
        </w:rPr>
        <w:t>突出重点，提高深度，条</w:t>
      </w:r>
      <w:r>
        <w:t>款</w:t>
      </w:r>
      <w:r>
        <w:rPr>
          <w:rFonts w:hint="eastAsia"/>
        </w:rPr>
        <w:t>细化，做好相</w:t>
      </w:r>
      <w:r>
        <w:t>关</w:t>
      </w:r>
      <w:r>
        <w:rPr>
          <w:rFonts w:hint="eastAsia"/>
        </w:rPr>
        <w:t>衔接。</w:t>
      </w:r>
    </w:p>
    <w:p w14:paraId="4601730A">
      <w:pPr>
        <w:ind w:firstLine="643"/>
        <w:rPr>
          <w:b/>
        </w:rPr>
      </w:pPr>
      <w:r>
        <w:rPr>
          <w:rFonts w:hint="eastAsia"/>
          <w:b/>
        </w:rPr>
        <w:t>(3</w:t>
      </w:r>
      <w:r>
        <w:rPr>
          <w:b/>
        </w:rPr>
        <w:t>)</w:t>
      </w:r>
      <w:r>
        <w:rPr>
          <w:rFonts w:hint="eastAsia"/>
          <w:b/>
        </w:rPr>
        <w:t>体现环境</w:t>
      </w:r>
      <w:r>
        <w:rPr>
          <w:b/>
        </w:rPr>
        <w:t>保护</w:t>
      </w:r>
      <w:r>
        <w:rPr>
          <w:rFonts w:hint="eastAsia"/>
          <w:b/>
        </w:rPr>
        <w:t>优先和</w:t>
      </w:r>
      <w:r>
        <w:rPr>
          <w:b/>
        </w:rPr>
        <w:t>生态保护红线</w:t>
      </w:r>
      <w:r>
        <w:rPr>
          <w:rFonts w:hint="eastAsia"/>
          <w:b/>
        </w:rPr>
        <w:t>优先</w:t>
      </w:r>
      <w:r>
        <w:rPr>
          <w:b/>
        </w:rPr>
        <w:t>。</w:t>
      </w:r>
    </w:p>
    <w:p w14:paraId="65C4FC50">
      <w:pPr>
        <w:ind w:firstLine="640"/>
      </w:pPr>
      <w:r>
        <w:rPr>
          <w:rFonts w:hint="eastAsia"/>
        </w:rPr>
        <w:t>(</w:t>
      </w:r>
      <w:r>
        <w:t>4</w:t>
      </w:r>
      <w:r>
        <w:rPr>
          <w:rFonts w:hint="eastAsia"/>
        </w:rPr>
        <w:t>)听</w:t>
      </w:r>
      <w:r>
        <w:t>取各方面意见</w:t>
      </w:r>
      <w:r>
        <w:rPr>
          <w:rFonts w:hint="eastAsia"/>
        </w:rPr>
        <w:t>，开门编制规划，提高规划可操作性。</w:t>
      </w:r>
    </w:p>
    <w:p w14:paraId="2D80EA80">
      <w:pPr>
        <w:pStyle w:val="3"/>
        <w:ind w:firstLine="723"/>
      </w:pPr>
      <w:bookmarkStart w:id="12" w:name="_Toc482798155"/>
      <w:r>
        <w:rPr>
          <w:rFonts w:hint="eastAsia"/>
        </w:rPr>
        <w:t>规划目标</w:t>
      </w:r>
      <w:bookmarkEnd w:id="12"/>
    </w:p>
    <w:p w14:paraId="6A1464FA">
      <w:pPr>
        <w:ind w:firstLine="640"/>
      </w:pPr>
      <w:r>
        <w:rPr>
          <w:rFonts w:hint="eastAsia"/>
        </w:rPr>
        <w:t>规划期间,乐山</w:t>
      </w:r>
      <w:r>
        <w:t>市</w:t>
      </w:r>
      <w:r>
        <w:rPr>
          <w:rFonts w:hint="eastAsia"/>
        </w:rPr>
        <w:t>矿产资源勘查开发和保护要努力实现以下目标：</w:t>
      </w:r>
    </w:p>
    <w:p w14:paraId="5A3BB1EC">
      <w:pPr>
        <w:pStyle w:val="4"/>
        <w:ind w:firstLine="643"/>
      </w:pPr>
      <w:bookmarkStart w:id="13" w:name="_Toc482798156"/>
      <w:r>
        <w:t>加强矿产资源开发与保护，增强矿产品供给能力</w:t>
      </w:r>
      <w:bookmarkEnd w:id="13"/>
    </w:p>
    <w:p w14:paraId="45787506">
      <w:pPr>
        <w:ind w:firstLine="640"/>
      </w:pPr>
      <w:r>
        <w:t>规划期间，充分开发利用市内优势矿产资源，建立多元稳定、安全经济的矿产品供需体系，保障</w:t>
      </w:r>
      <w:r>
        <w:rPr>
          <w:rFonts w:hint="eastAsia"/>
        </w:rPr>
        <w:t>乐山</w:t>
      </w:r>
      <w:r>
        <w:t>市十三五重大工程建设和区域经济发展所需。</w:t>
      </w:r>
    </w:p>
    <w:p w14:paraId="2275E915">
      <w:pPr>
        <w:ind w:firstLine="640"/>
      </w:pPr>
      <w:r>
        <w:rPr>
          <w:rFonts w:hint="eastAsia"/>
        </w:rPr>
        <w:t>矿产资源保障程度进一步提高。到202</w:t>
      </w:r>
      <w:r>
        <w:t>0</w:t>
      </w:r>
      <w:r>
        <w:rPr>
          <w:rFonts w:hint="eastAsia"/>
        </w:rPr>
        <w:t>年，现有</w:t>
      </w:r>
      <w:r>
        <w:t>矿山</w:t>
      </w:r>
      <w:r>
        <w:rPr>
          <w:rFonts w:hint="eastAsia"/>
        </w:rPr>
        <w:t>地质工作程度进一步提高，盐、磷、水泥用灰岩、石膏</w:t>
      </w:r>
      <w:r>
        <w:t>、</w:t>
      </w:r>
      <w:r>
        <w:rPr>
          <w:rFonts w:hint="eastAsia"/>
        </w:rPr>
        <w:t>煤</w:t>
      </w:r>
      <w:r>
        <w:t>、</w:t>
      </w:r>
      <w:r>
        <w:rPr>
          <w:rFonts w:hint="eastAsia"/>
        </w:rPr>
        <w:t>陶瓷</w:t>
      </w:r>
      <w:r>
        <w:t>用原料、</w:t>
      </w:r>
      <w:r>
        <w:rPr>
          <w:rFonts w:hint="eastAsia"/>
        </w:rPr>
        <w:t>铜等重要矿产的保障程度不降低，</w:t>
      </w:r>
      <w:r>
        <w:t>并保证在2020－2025</w:t>
      </w:r>
      <w:r>
        <w:rPr>
          <w:rFonts w:hint="eastAsia"/>
        </w:rPr>
        <w:t>期间</w:t>
      </w:r>
      <w:r>
        <w:t>有</w:t>
      </w:r>
      <w:r>
        <w:rPr>
          <w:rFonts w:hint="eastAsia"/>
        </w:rPr>
        <w:t>后续</w:t>
      </w:r>
      <w:r>
        <w:t>资源可供开发利用</w:t>
      </w:r>
      <w:r>
        <w:rPr>
          <w:rFonts w:hint="eastAsia"/>
        </w:rPr>
        <w:t>。推进科技创新，拓宽服务领域，继续有针对性地开展多目标区域地球化学及生态地球化学调查、农业地质调查评价、地质灾害详细调查、矿山地质环境调查等专项调查。建设“五平台一支撑”、地质资料数据中心和实物地质资料库，加强地质资料社会化服务，提高地质矿产资源信息利用价值、利用效率和社会共享程度。</w:t>
      </w:r>
    </w:p>
    <w:p w14:paraId="7E341FF9">
      <w:pPr>
        <w:pStyle w:val="34"/>
        <w:spacing w:before="120"/>
      </w:pPr>
      <w:r>
        <w:rPr>
          <w:rFonts w:hint="eastAsia"/>
        </w:rPr>
        <w:t>专栏1  乐山</w:t>
      </w:r>
      <w:r>
        <w:t>市</w:t>
      </w:r>
      <w:r>
        <w:rPr>
          <w:rFonts w:hint="eastAsia"/>
        </w:rPr>
        <w:t>主要矿种地质勘查目标</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414"/>
        <w:gridCol w:w="1685"/>
        <w:gridCol w:w="1789"/>
        <w:gridCol w:w="1314"/>
        <w:gridCol w:w="1789"/>
        <w:gridCol w:w="1789"/>
      </w:tblGrid>
      <w:tr w14:paraId="07AE2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vMerge w:val="restart"/>
            <w:tcBorders>
              <w:top w:val="single" w:color="auto" w:sz="4" w:space="0"/>
              <w:left w:val="single" w:color="auto" w:sz="4" w:space="0"/>
              <w:bottom w:val="nil"/>
              <w:right w:val="single" w:color="auto" w:sz="4" w:space="0"/>
            </w:tcBorders>
            <w:vAlign w:val="center"/>
          </w:tcPr>
          <w:p w14:paraId="4F16BCCF">
            <w:pPr>
              <w:pStyle w:val="33"/>
              <w:rPr>
                <w:sz w:val="30"/>
                <w:szCs w:val="30"/>
              </w:rPr>
            </w:pPr>
            <w:r>
              <w:rPr>
                <w:rFonts w:hint="eastAsia"/>
                <w:sz w:val="30"/>
                <w:szCs w:val="30"/>
              </w:rPr>
              <w:t>矿</w:t>
            </w:r>
          </w:p>
          <w:p w14:paraId="7A9EF348">
            <w:pPr>
              <w:pStyle w:val="33"/>
              <w:rPr>
                <w:sz w:val="30"/>
                <w:szCs w:val="30"/>
              </w:rPr>
            </w:pPr>
            <w:r>
              <w:rPr>
                <w:sz w:val="30"/>
                <w:szCs w:val="30"/>
              </w:rPr>
              <w:t>种</w:t>
            </w:r>
          </w:p>
        </w:tc>
        <w:tc>
          <w:tcPr>
            <w:tcW w:w="0" w:type="auto"/>
            <w:gridSpan w:val="3"/>
            <w:tcBorders>
              <w:left w:val="single" w:color="auto" w:sz="4" w:space="0"/>
              <w:bottom w:val="single" w:color="auto" w:sz="4" w:space="0"/>
              <w:right w:val="single" w:color="auto" w:sz="4" w:space="0"/>
            </w:tcBorders>
            <w:vAlign w:val="center"/>
          </w:tcPr>
          <w:p w14:paraId="04F373F2">
            <w:pPr>
              <w:pStyle w:val="33"/>
              <w:rPr>
                <w:sz w:val="30"/>
                <w:szCs w:val="30"/>
              </w:rPr>
            </w:pPr>
            <w:r>
              <w:rPr>
                <w:rFonts w:hint="eastAsia"/>
                <w:sz w:val="30"/>
                <w:szCs w:val="30"/>
              </w:rPr>
              <w:t>新增资源储量</w:t>
            </w:r>
          </w:p>
        </w:tc>
        <w:tc>
          <w:tcPr>
            <w:tcW w:w="0" w:type="auto"/>
            <w:gridSpan w:val="2"/>
            <w:tcBorders>
              <w:left w:val="single" w:color="auto" w:sz="4" w:space="0"/>
              <w:bottom w:val="single" w:color="auto" w:sz="4" w:space="0"/>
              <w:right w:val="single" w:color="auto" w:sz="4" w:space="0"/>
            </w:tcBorders>
            <w:vAlign w:val="center"/>
          </w:tcPr>
          <w:p w14:paraId="211B7E66">
            <w:pPr>
              <w:pStyle w:val="33"/>
              <w:rPr>
                <w:sz w:val="30"/>
                <w:szCs w:val="30"/>
              </w:rPr>
            </w:pPr>
            <w:r>
              <w:rPr>
                <w:rFonts w:hint="eastAsia"/>
                <w:sz w:val="30"/>
                <w:szCs w:val="30"/>
              </w:rPr>
              <w:t>新发现大中型矿产地</w:t>
            </w:r>
          </w:p>
          <w:p w14:paraId="33AFD655">
            <w:pPr>
              <w:pStyle w:val="33"/>
              <w:rPr>
                <w:sz w:val="30"/>
                <w:szCs w:val="30"/>
              </w:rPr>
            </w:pPr>
            <w:r>
              <w:rPr>
                <w:rFonts w:hint="eastAsia"/>
                <w:sz w:val="30"/>
                <w:szCs w:val="30"/>
              </w:rPr>
              <w:t>(个)</w:t>
            </w:r>
          </w:p>
        </w:tc>
      </w:tr>
      <w:tr w14:paraId="42968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57D22A7B">
            <w:pPr>
              <w:pStyle w:val="33"/>
              <w:rPr>
                <w:sz w:val="30"/>
                <w:szCs w:val="30"/>
              </w:rPr>
            </w:pPr>
          </w:p>
        </w:tc>
        <w:tc>
          <w:tcPr>
            <w:tcW w:w="0" w:type="auto"/>
            <w:tcBorders>
              <w:top w:val="single" w:color="auto" w:sz="4" w:space="0"/>
              <w:left w:val="single" w:color="auto" w:sz="4" w:space="0"/>
              <w:right w:val="single" w:color="auto" w:sz="4" w:space="0"/>
            </w:tcBorders>
            <w:tcMar>
              <w:left w:w="0" w:type="dxa"/>
              <w:right w:w="0" w:type="dxa"/>
            </w:tcMar>
            <w:vAlign w:val="center"/>
          </w:tcPr>
          <w:p w14:paraId="3A30EDFF">
            <w:pPr>
              <w:pStyle w:val="33"/>
              <w:rPr>
                <w:sz w:val="30"/>
                <w:szCs w:val="30"/>
              </w:rPr>
            </w:pPr>
            <w:r>
              <w:rPr>
                <w:rFonts w:hint="eastAsia"/>
                <w:sz w:val="30"/>
                <w:szCs w:val="30"/>
              </w:rPr>
              <w:t>2016-2020年</w:t>
            </w:r>
          </w:p>
        </w:tc>
        <w:tc>
          <w:tcPr>
            <w:tcW w:w="0" w:type="auto"/>
            <w:tcBorders>
              <w:top w:val="single" w:color="auto" w:sz="4" w:space="0"/>
              <w:left w:val="single" w:color="auto" w:sz="4" w:space="0"/>
            </w:tcBorders>
            <w:vAlign w:val="center"/>
          </w:tcPr>
          <w:p w14:paraId="1B61C36C">
            <w:pPr>
              <w:pStyle w:val="33"/>
              <w:rPr>
                <w:sz w:val="30"/>
                <w:szCs w:val="30"/>
              </w:rPr>
            </w:pPr>
            <w:r>
              <w:rPr>
                <w:rFonts w:hint="eastAsia"/>
                <w:sz w:val="30"/>
                <w:szCs w:val="30"/>
              </w:rPr>
              <w:t>2021-2025年</w:t>
            </w:r>
          </w:p>
        </w:tc>
        <w:tc>
          <w:tcPr>
            <w:tcW w:w="0" w:type="auto"/>
            <w:tcBorders>
              <w:top w:val="single" w:color="auto" w:sz="4" w:space="0"/>
              <w:right w:val="single" w:color="auto" w:sz="4" w:space="0"/>
            </w:tcBorders>
            <w:vAlign w:val="center"/>
          </w:tcPr>
          <w:p w14:paraId="729010D1">
            <w:pPr>
              <w:pStyle w:val="33"/>
              <w:rPr>
                <w:sz w:val="30"/>
                <w:szCs w:val="30"/>
              </w:rPr>
            </w:pPr>
            <w:r>
              <w:rPr>
                <w:rFonts w:hint="eastAsia"/>
                <w:sz w:val="30"/>
                <w:szCs w:val="30"/>
              </w:rPr>
              <w:t>储量单位</w:t>
            </w:r>
          </w:p>
        </w:tc>
        <w:tc>
          <w:tcPr>
            <w:tcW w:w="0" w:type="auto"/>
            <w:tcBorders>
              <w:top w:val="single" w:color="auto" w:sz="4" w:space="0"/>
              <w:left w:val="single" w:color="auto" w:sz="4" w:space="0"/>
              <w:right w:val="single" w:color="auto" w:sz="4" w:space="0"/>
            </w:tcBorders>
            <w:vAlign w:val="center"/>
          </w:tcPr>
          <w:p w14:paraId="79A677CB">
            <w:pPr>
              <w:pStyle w:val="33"/>
              <w:rPr>
                <w:sz w:val="30"/>
                <w:szCs w:val="30"/>
              </w:rPr>
            </w:pPr>
            <w:r>
              <w:rPr>
                <w:rFonts w:hint="eastAsia"/>
                <w:sz w:val="30"/>
                <w:szCs w:val="30"/>
              </w:rPr>
              <w:t>2016-2020年</w:t>
            </w:r>
          </w:p>
        </w:tc>
        <w:tc>
          <w:tcPr>
            <w:tcW w:w="0" w:type="auto"/>
            <w:tcBorders>
              <w:top w:val="single" w:color="auto" w:sz="4" w:space="0"/>
              <w:left w:val="single" w:color="auto" w:sz="4" w:space="0"/>
            </w:tcBorders>
            <w:vAlign w:val="center"/>
          </w:tcPr>
          <w:p w14:paraId="6E274F3D">
            <w:pPr>
              <w:pStyle w:val="33"/>
              <w:rPr>
                <w:sz w:val="30"/>
                <w:szCs w:val="30"/>
              </w:rPr>
            </w:pPr>
            <w:r>
              <w:rPr>
                <w:rFonts w:hint="eastAsia"/>
                <w:sz w:val="30"/>
                <w:szCs w:val="30"/>
              </w:rPr>
              <w:t>2021-2025年</w:t>
            </w:r>
          </w:p>
        </w:tc>
      </w:tr>
      <w:tr w14:paraId="56611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tcBorders>
              <w:bottom w:val="single" w:color="auto" w:sz="4" w:space="0"/>
            </w:tcBorders>
            <w:vAlign w:val="center"/>
          </w:tcPr>
          <w:p w14:paraId="055BDDDE">
            <w:pPr>
              <w:pStyle w:val="33"/>
              <w:rPr>
                <w:sz w:val="30"/>
                <w:szCs w:val="30"/>
              </w:rPr>
            </w:pPr>
            <w:r>
              <w:rPr>
                <w:rFonts w:hint="eastAsia"/>
                <w:sz w:val="30"/>
                <w:szCs w:val="30"/>
              </w:rPr>
              <w:t>煤</w:t>
            </w:r>
          </w:p>
        </w:tc>
        <w:tc>
          <w:tcPr>
            <w:tcW w:w="0" w:type="auto"/>
            <w:tcBorders>
              <w:bottom w:val="single" w:color="auto" w:sz="4" w:space="0"/>
              <w:right w:val="single" w:color="auto" w:sz="4" w:space="0"/>
            </w:tcBorders>
            <w:vAlign w:val="center"/>
          </w:tcPr>
          <w:p w14:paraId="6C19F457">
            <w:pPr>
              <w:pStyle w:val="33"/>
              <w:rPr>
                <w:sz w:val="30"/>
                <w:szCs w:val="30"/>
              </w:rPr>
            </w:pPr>
          </w:p>
        </w:tc>
        <w:tc>
          <w:tcPr>
            <w:tcW w:w="0" w:type="auto"/>
            <w:tcBorders>
              <w:left w:val="single" w:color="auto" w:sz="4" w:space="0"/>
              <w:bottom w:val="single" w:color="auto" w:sz="4" w:space="0"/>
            </w:tcBorders>
            <w:vAlign w:val="center"/>
          </w:tcPr>
          <w:p w14:paraId="130ED8EE">
            <w:pPr>
              <w:pStyle w:val="33"/>
              <w:rPr>
                <w:sz w:val="30"/>
                <w:szCs w:val="30"/>
              </w:rPr>
            </w:pPr>
            <w:r>
              <w:rPr>
                <w:rFonts w:hint="eastAsia"/>
                <w:sz w:val="30"/>
                <w:szCs w:val="30"/>
              </w:rPr>
              <w:t>20000</w:t>
            </w:r>
          </w:p>
        </w:tc>
        <w:tc>
          <w:tcPr>
            <w:tcW w:w="0" w:type="auto"/>
            <w:tcBorders>
              <w:bottom w:val="single" w:color="auto" w:sz="4" w:space="0"/>
              <w:right w:val="single" w:color="auto" w:sz="4" w:space="0"/>
            </w:tcBorders>
            <w:vAlign w:val="center"/>
          </w:tcPr>
          <w:p w14:paraId="2BA14343">
            <w:pPr>
              <w:pStyle w:val="33"/>
              <w:rPr>
                <w:sz w:val="30"/>
                <w:szCs w:val="30"/>
              </w:rPr>
            </w:pPr>
            <w:r>
              <w:rPr>
                <w:rFonts w:hint="eastAsia"/>
                <w:sz w:val="30"/>
                <w:szCs w:val="30"/>
              </w:rPr>
              <w:t>万吨</w:t>
            </w:r>
          </w:p>
        </w:tc>
        <w:tc>
          <w:tcPr>
            <w:tcW w:w="0" w:type="auto"/>
            <w:tcBorders>
              <w:left w:val="single" w:color="auto" w:sz="4" w:space="0"/>
              <w:bottom w:val="single" w:color="auto" w:sz="4" w:space="0"/>
              <w:right w:val="single" w:color="auto" w:sz="4" w:space="0"/>
            </w:tcBorders>
            <w:vAlign w:val="center"/>
          </w:tcPr>
          <w:p w14:paraId="23DCC40F">
            <w:pPr>
              <w:pStyle w:val="33"/>
              <w:rPr>
                <w:sz w:val="30"/>
                <w:szCs w:val="30"/>
              </w:rPr>
            </w:pPr>
          </w:p>
        </w:tc>
        <w:tc>
          <w:tcPr>
            <w:tcW w:w="0" w:type="auto"/>
            <w:tcBorders>
              <w:left w:val="single" w:color="auto" w:sz="4" w:space="0"/>
              <w:bottom w:val="single" w:color="auto" w:sz="4" w:space="0"/>
            </w:tcBorders>
            <w:vAlign w:val="center"/>
          </w:tcPr>
          <w:p w14:paraId="549013C7">
            <w:pPr>
              <w:pStyle w:val="33"/>
              <w:rPr>
                <w:sz w:val="30"/>
                <w:szCs w:val="30"/>
              </w:rPr>
            </w:pPr>
            <w:r>
              <w:rPr>
                <w:sz w:val="30"/>
                <w:szCs w:val="30"/>
              </w:rPr>
              <w:t>1</w:t>
            </w:r>
          </w:p>
        </w:tc>
      </w:tr>
      <w:tr w14:paraId="76FC4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tcBorders>
              <w:bottom w:val="single" w:color="auto" w:sz="4" w:space="0"/>
            </w:tcBorders>
            <w:vAlign w:val="center"/>
          </w:tcPr>
          <w:p w14:paraId="070F1291">
            <w:pPr>
              <w:pStyle w:val="33"/>
              <w:rPr>
                <w:sz w:val="30"/>
                <w:szCs w:val="30"/>
              </w:rPr>
            </w:pPr>
            <w:r>
              <w:rPr>
                <w:rFonts w:hint="eastAsia"/>
                <w:sz w:val="30"/>
                <w:szCs w:val="30"/>
              </w:rPr>
              <w:t>铜</w:t>
            </w:r>
          </w:p>
        </w:tc>
        <w:tc>
          <w:tcPr>
            <w:tcW w:w="0" w:type="auto"/>
            <w:tcBorders>
              <w:bottom w:val="single" w:color="auto" w:sz="4" w:space="0"/>
              <w:right w:val="single" w:color="auto" w:sz="4" w:space="0"/>
            </w:tcBorders>
            <w:vAlign w:val="center"/>
          </w:tcPr>
          <w:p w14:paraId="10D12419">
            <w:pPr>
              <w:pStyle w:val="33"/>
              <w:rPr>
                <w:sz w:val="30"/>
                <w:szCs w:val="30"/>
              </w:rPr>
            </w:pPr>
            <w:r>
              <w:rPr>
                <w:sz w:val="30"/>
                <w:szCs w:val="30"/>
              </w:rPr>
              <w:t>2</w:t>
            </w:r>
            <w:r>
              <w:rPr>
                <w:rFonts w:hint="eastAsia"/>
                <w:sz w:val="30"/>
                <w:szCs w:val="30"/>
              </w:rPr>
              <w:t>0</w:t>
            </w:r>
          </w:p>
        </w:tc>
        <w:tc>
          <w:tcPr>
            <w:tcW w:w="0" w:type="auto"/>
            <w:tcBorders>
              <w:left w:val="single" w:color="auto" w:sz="4" w:space="0"/>
              <w:bottom w:val="single" w:color="auto" w:sz="4" w:space="0"/>
            </w:tcBorders>
            <w:vAlign w:val="center"/>
          </w:tcPr>
          <w:p w14:paraId="3EA6AB6F">
            <w:pPr>
              <w:pStyle w:val="33"/>
              <w:rPr>
                <w:sz w:val="30"/>
                <w:szCs w:val="30"/>
              </w:rPr>
            </w:pPr>
          </w:p>
        </w:tc>
        <w:tc>
          <w:tcPr>
            <w:tcW w:w="0" w:type="auto"/>
            <w:tcBorders>
              <w:bottom w:val="single" w:color="auto" w:sz="4" w:space="0"/>
              <w:right w:val="single" w:color="auto" w:sz="4" w:space="0"/>
            </w:tcBorders>
            <w:vAlign w:val="center"/>
          </w:tcPr>
          <w:p w14:paraId="00263FA9">
            <w:pPr>
              <w:pStyle w:val="33"/>
              <w:rPr>
                <w:sz w:val="30"/>
                <w:szCs w:val="30"/>
              </w:rPr>
            </w:pPr>
            <w:r>
              <w:rPr>
                <w:rFonts w:hint="eastAsia"/>
                <w:sz w:val="30"/>
                <w:szCs w:val="30"/>
              </w:rPr>
              <w:t>金属万吨</w:t>
            </w:r>
          </w:p>
        </w:tc>
        <w:tc>
          <w:tcPr>
            <w:tcW w:w="0" w:type="auto"/>
            <w:tcBorders>
              <w:left w:val="single" w:color="auto" w:sz="4" w:space="0"/>
              <w:bottom w:val="single" w:color="auto" w:sz="4" w:space="0"/>
              <w:right w:val="single" w:color="auto" w:sz="4" w:space="0"/>
            </w:tcBorders>
            <w:vAlign w:val="center"/>
          </w:tcPr>
          <w:p w14:paraId="35CCCB41">
            <w:pPr>
              <w:pStyle w:val="33"/>
              <w:rPr>
                <w:sz w:val="30"/>
                <w:szCs w:val="30"/>
              </w:rPr>
            </w:pPr>
            <w:r>
              <w:rPr>
                <w:sz w:val="30"/>
                <w:szCs w:val="30"/>
              </w:rPr>
              <w:t>2</w:t>
            </w:r>
          </w:p>
        </w:tc>
        <w:tc>
          <w:tcPr>
            <w:tcW w:w="0" w:type="auto"/>
            <w:tcBorders>
              <w:left w:val="single" w:color="auto" w:sz="4" w:space="0"/>
              <w:bottom w:val="single" w:color="auto" w:sz="4" w:space="0"/>
            </w:tcBorders>
            <w:vAlign w:val="center"/>
          </w:tcPr>
          <w:p w14:paraId="7798317B">
            <w:pPr>
              <w:pStyle w:val="33"/>
              <w:rPr>
                <w:sz w:val="30"/>
                <w:szCs w:val="30"/>
              </w:rPr>
            </w:pPr>
            <w:r>
              <w:rPr>
                <w:sz w:val="30"/>
                <w:szCs w:val="30"/>
              </w:rPr>
              <w:t>1</w:t>
            </w:r>
          </w:p>
        </w:tc>
      </w:tr>
      <w:tr w14:paraId="09E26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tcBorders>
              <w:bottom w:val="single" w:color="auto" w:sz="4" w:space="0"/>
            </w:tcBorders>
            <w:vAlign w:val="center"/>
          </w:tcPr>
          <w:p w14:paraId="44DDB9DE">
            <w:pPr>
              <w:pStyle w:val="33"/>
              <w:rPr>
                <w:sz w:val="30"/>
                <w:szCs w:val="30"/>
              </w:rPr>
            </w:pPr>
            <w:r>
              <w:rPr>
                <w:rFonts w:hint="eastAsia"/>
                <w:sz w:val="30"/>
                <w:szCs w:val="30"/>
              </w:rPr>
              <w:t>磷</w:t>
            </w:r>
          </w:p>
        </w:tc>
        <w:tc>
          <w:tcPr>
            <w:tcW w:w="0" w:type="auto"/>
            <w:tcBorders>
              <w:bottom w:val="single" w:color="auto" w:sz="4" w:space="0"/>
              <w:right w:val="single" w:color="auto" w:sz="4" w:space="0"/>
            </w:tcBorders>
            <w:vAlign w:val="center"/>
          </w:tcPr>
          <w:p w14:paraId="18A75365">
            <w:pPr>
              <w:pStyle w:val="33"/>
              <w:rPr>
                <w:sz w:val="30"/>
                <w:szCs w:val="30"/>
              </w:rPr>
            </w:pPr>
            <w:r>
              <w:rPr>
                <w:sz w:val="30"/>
                <w:szCs w:val="30"/>
              </w:rPr>
              <w:t>4000</w:t>
            </w:r>
          </w:p>
        </w:tc>
        <w:tc>
          <w:tcPr>
            <w:tcW w:w="0" w:type="auto"/>
            <w:tcBorders>
              <w:left w:val="single" w:color="auto" w:sz="4" w:space="0"/>
              <w:bottom w:val="single" w:color="auto" w:sz="4" w:space="0"/>
            </w:tcBorders>
            <w:vAlign w:val="center"/>
          </w:tcPr>
          <w:p w14:paraId="46856F87">
            <w:pPr>
              <w:pStyle w:val="33"/>
              <w:rPr>
                <w:sz w:val="30"/>
                <w:szCs w:val="30"/>
              </w:rPr>
            </w:pPr>
          </w:p>
        </w:tc>
        <w:tc>
          <w:tcPr>
            <w:tcW w:w="0" w:type="auto"/>
            <w:tcBorders>
              <w:bottom w:val="single" w:color="auto" w:sz="4" w:space="0"/>
              <w:right w:val="single" w:color="auto" w:sz="4" w:space="0"/>
            </w:tcBorders>
            <w:vAlign w:val="center"/>
          </w:tcPr>
          <w:p w14:paraId="52D5BDBA">
            <w:pPr>
              <w:pStyle w:val="33"/>
              <w:rPr>
                <w:sz w:val="30"/>
                <w:szCs w:val="30"/>
              </w:rPr>
            </w:pPr>
            <w:r>
              <w:rPr>
                <w:rFonts w:hint="eastAsia"/>
                <w:sz w:val="30"/>
                <w:szCs w:val="30"/>
              </w:rPr>
              <w:t>万吨</w:t>
            </w:r>
          </w:p>
        </w:tc>
        <w:tc>
          <w:tcPr>
            <w:tcW w:w="0" w:type="auto"/>
            <w:tcBorders>
              <w:left w:val="single" w:color="auto" w:sz="4" w:space="0"/>
              <w:bottom w:val="single" w:color="auto" w:sz="4" w:space="0"/>
              <w:right w:val="single" w:color="auto" w:sz="4" w:space="0"/>
            </w:tcBorders>
            <w:vAlign w:val="center"/>
          </w:tcPr>
          <w:p w14:paraId="72D47D3A">
            <w:pPr>
              <w:pStyle w:val="33"/>
              <w:rPr>
                <w:sz w:val="30"/>
                <w:szCs w:val="30"/>
              </w:rPr>
            </w:pPr>
            <w:r>
              <w:rPr>
                <w:sz w:val="30"/>
                <w:szCs w:val="30"/>
              </w:rPr>
              <w:t>1</w:t>
            </w:r>
          </w:p>
        </w:tc>
        <w:tc>
          <w:tcPr>
            <w:tcW w:w="0" w:type="auto"/>
            <w:tcBorders>
              <w:left w:val="single" w:color="auto" w:sz="4" w:space="0"/>
              <w:bottom w:val="single" w:color="auto" w:sz="4" w:space="0"/>
            </w:tcBorders>
            <w:vAlign w:val="center"/>
          </w:tcPr>
          <w:p w14:paraId="5800CE37">
            <w:pPr>
              <w:pStyle w:val="33"/>
              <w:rPr>
                <w:sz w:val="30"/>
                <w:szCs w:val="30"/>
              </w:rPr>
            </w:pPr>
          </w:p>
        </w:tc>
      </w:tr>
      <w:tr w14:paraId="2C7BE1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0" w:type="auto"/>
            <w:vAlign w:val="center"/>
          </w:tcPr>
          <w:p w14:paraId="742BF335">
            <w:pPr>
              <w:pStyle w:val="33"/>
              <w:rPr>
                <w:sz w:val="30"/>
                <w:szCs w:val="30"/>
              </w:rPr>
            </w:pPr>
            <w:r>
              <w:rPr>
                <w:rFonts w:hint="eastAsia"/>
                <w:sz w:val="30"/>
                <w:szCs w:val="30"/>
              </w:rPr>
              <w:t>盐</w:t>
            </w:r>
          </w:p>
        </w:tc>
        <w:tc>
          <w:tcPr>
            <w:tcW w:w="0" w:type="auto"/>
            <w:tcBorders>
              <w:right w:val="single" w:color="auto" w:sz="4" w:space="0"/>
            </w:tcBorders>
            <w:vAlign w:val="center"/>
          </w:tcPr>
          <w:p w14:paraId="61ADF0CF">
            <w:pPr>
              <w:pStyle w:val="33"/>
              <w:rPr>
                <w:sz w:val="30"/>
                <w:szCs w:val="30"/>
              </w:rPr>
            </w:pPr>
            <w:r>
              <w:rPr>
                <w:sz w:val="30"/>
                <w:szCs w:val="30"/>
              </w:rPr>
              <w:t>10000</w:t>
            </w:r>
          </w:p>
        </w:tc>
        <w:tc>
          <w:tcPr>
            <w:tcW w:w="0" w:type="auto"/>
            <w:tcBorders>
              <w:left w:val="single" w:color="auto" w:sz="4" w:space="0"/>
            </w:tcBorders>
            <w:vAlign w:val="center"/>
          </w:tcPr>
          <w:p w14:paraId="74CCE2F7">
            <w:pPr>
              <w:pStyle w:val="33"/>
              <w:rPr>
                <w:sz w:val="30"/>
                <w:szCs w:val="30"/>
              </w:rPr>
            </w:pPr>
          </w:p>
        </w:tc>
        <w:tc>
          <w:tcPr>
            <w:tcW w:w="0" w:type="auto"/>
            <w:tcBorders>
              <w:right w:val="single" w:color="auto" w:sz="4" w:space="0"/>
            </w:tcBorders>
            <w:vAlign w:val="center"/>
          </w:tcPr>
          <w:p w14:paraId="310C703C">
            <w:pPr>
              <w:pStyle w:val="33"/>
              <w:rPr>
                <w:sz w:val="30"/>
                <w:szCs w:val="30"/>
              </w:rPr>
            </w:pPr>
            <w:r>
              <w:rPr>
                <w:rFonts w:hint="eastAsia"/>
                <w:sz w:val="30"/>
                <w:szCs w:val="30"/>
              </w:rPr>
              <w:t>(</w:t>
            </w:r>
            <w:r>
              <w:rPr>
                <w:sz w:val="30"/>
                <w:szCs w:val="30"/>
              </w:rPr>
              <w:t>NaCl)</w:t>
            </w:r>
          </w:p>
          <w:p w14:paraId="2A8CD639">
            <w:pPr>
              <w:pStyle w:val="33"/>
              <w:rPr>
                <w:sz w:val="30"/>
                <w:szCs w:val="30"/>
              </w:rPr>
            </w:pPr>
            <w:r>
              <w:rPr>
                <w:rFonts w:hint="eastAsia"/>
                <w:sz w:val="30"/>
                <w:szCs w:val="30"/>
              </w:rPr>
              <w:t>万吨</w:t>
            </w:r>
          </w:p>
        </w:tc>
        <w:tc>
          <w:tcPr>
            <w:tcW w:w="0" w:type="auto"/>
            <w:tcBorders>
              <w:left w:val="single" w:color="auto" w:sz="4" w:space="0"/>
              <w:right w:val="single" w:color="auto" w:sz="4" w:space="0"/>
            </w:tcBorders>
            <w:vAlign w:val="center"/>
          </w:tcPr>
          <w:p w14:paraId="6F63B34A">
            <w:pPr>
              <w:pStyle w:val="33"/>
              <w:rPr>
                <w:sz w:val="30"/>
                <w:szCs w:val="30"/>
              </w:rPr>
            </w:pPr>
            <w:r>
              <w:rPr>
                <w:sz w:val="30"/>
                <w:szCs w:val="30"/>
              </w:rPr>
              <w:t>1</w:t>
            </w:r>
          </w:p>
        </w:tc>
        <w:tc>
          <w:tcPr>
            <w:tcW w:w="0" w:type="auto"/>
            <w:tcBorders>
              <w:left w:val="single" w:color="auto" w:sz="4" w:space="0"/>
            </w:tcBorders>
            <w:vAlign w:val="center"/>
          </w:tcPr>
          <w:p w14:paraId="415CA7B4">
            <w:pPr>
              <w:pStyle w:val="33"/>
              <w:rPr>
                <w:sz w:val="30"/>
                <w:szCs w:val="30"/>
              </w:rPr>
            </w:pPr>
            <w:r>
              <w:rPr>
                <w:sz w:val="30"/>
                <w:szCs w:val="30"/>
              </w:rPr>
              <w:t>1</w:t>
            </w:r>
          </w:p>
        </w:tc>
      </w:tr>
    </w:tbl>
    <w:p w14:paraId="03B5AF4C">
      <w:pPr>
        <w:ind w:firstLine="640"/>
      </w:pPr>
    </w:p>
    <w:p w14:paraId="2D77910C">
      <w:pPr>
        <w:pStyle w:val="4"/>
        <w:ind w:firstLine="643"/>
      </w:pPr>
      <w:bookmarkStart w:id="14" w:name="_Toc482798157"/>
      <w:r>
        <w:rPr>
          <w:rFonts w:hint="eastAsia"/>
        </w:rPr>
        <w:t>加快推进矿业转型升级与绿色发展，保住绿水青山</w:t>
      </w:r>
      <w:bookmarkEnd w:id="14"/>
    </w:p>
    <w:p w14:paraId="78AEFAE7">
      <w:pPr>
        <w:ind w:firstLine="640"/>
      </w:pPr>
      <w:r>
        <w:rPr>
          <w:rFonts w:hint="eastAsia"/>
        </w:rPr>
        <w:t>十三五期间，按绿色发展要求，加强对矿山企业的管理，新建和改扩建矿山，按绿色矿山建设标准严格准入管理；生产矿山，严格按绿色矿山建设标准进行整改，3年内完成整改任务。鼓励矿山企业更新设备、改进技术和工艺，优化布局，实现规模化、集约化、环保化开采；鼓励节约利用、综合利用和循环利用矿产资源，以尽量少的资源动用，实现最大化的利益回报。实现提质增效扩能、节能减排降耗，提高资源利用水平。</w:t>
      </w:r>
    </w:p>
    <w:p w14:paraId="461D6F98">
      <w:pPr>
        <w:pStyle w:val="4"/>
        <w:ind w:firstLine="643"/>
      </w:pPr>
      <w:bookmarkStart w:id="15" w:name="_Toc482798158"/>
      <w:r>
        <w:rPr>
          <w:rFonts w:hint="eastAsia"/>
        </w:rPr>
        <w:t>推进绿色矿山建设示范试点工作</w:t>
      </w:r>
      <w:bookmarkEnd w:id="15"/>
    </w:p>
    <w:p w14:paraId="69332831">
      <w:pPr>
        <w:ind w:firstLine="640"/>
        <w:rPr>
          <w:rFonts w:ascii="仿宋" w:hAnsi="仿宋"/>
          <w:szCs w:val="32"/>
        </w:rPr>
      </w:pPr>
      <w:r>
        <w:rPr>
          <w:rFonts w:hint="eastAsia" w:ascii="仿宋" w:hAnsi="仿宋"/>
          <w:szCs w:val="32"/>
        </w:rPr>
        <w:t>开展绿色矿山建设示范区试点建设工作，力争在2-3年内全面完成绿色化改造，达到绿色矿山要求。以此带动其它矿区实现绿色化发展。加快转变过去单纯以消耗资源、破坏环境为代价的资源利用方式，推进矿业转型升级和绿色发展，保护矿山环境，努力实现习主席的“既要金山银山，又要绿水青山”的双赢目标。</w:t>
      </w:r>
    </w:p>
    <w:p w14:paraId="69FEEEF4">
      <w:pPr>
        <w:pStyle w:val="4"/>
        <w:ind w:firstLine="643"/>
      </w:pPr>
      <w:bookmarkStart w:id="16" w:name="_Toc482798159"/>
      <w:r>
        <w:rPr>
          <w:rFonts w:hint="eastAsia"/>
        </w:rPr>
        <w:t>矿产资源开发利用“三率”指标达到或超过国家标准</w:t>
      </w:r>
      <w:bookmarkEnd w:id="16"/>
    </w:p>
    <w:p w14:paraId="697FC825">
      <w:pPr>
        <w:ind w:firstLine="640"/>
        <w:rPr>
          <w:rFonts w:ascii="仿宋" w:hAnsi="仿宋"/>
          <w:szCs w:val="32"/>
        </w:rPr>
      </w:pPr>
      <w:r>
        <w:rPr>
          <w:rFonts w:hint="eastAsia" w:ascii="仿宋" w:hAnsi="仿宋"/>
          <w:szCs w:val="32"/>
        </w:rPr>
        <w:t>矿产资源的开采回采率、选矿回收率、综合利用率等“三率”指标是评价矿山企业矿产资源开发利用水平的重要指标，是评价绿色矿山条件之一，是国土资源主管部门监督管理矿山企业的重要依据，也是编制和审查矿产资源开发利用方案和矿山设计的依据。本市境内所</w:t>
      </w:r>
      <w:r>
        <w:rPr>
          <w:rFonts w:ascii="仿宋" w:hAnsi="仿宋"/>
          <w:szCs w:val="32"/>
        </w:rPr>
        <w:t>有</w:t>
      </w:r>
      <w:r>
        <w:rPr>
          <w:rFonts w:hint="eastAsia" w:ascii="仿宋" w:hAnsi="仿宋"/>
          <w:szCs w:val="32"/>
        </w:rPr>
        <w:t>新建和改扩建矿山必须达到国家规定的最低标准要求。正在生产的矿山，必须在“三率”指标发布之日起，两年内达到标准要求，达不到的，限期整改，期满仍达不到的，年检不予通过。</w:t>
      </w:r>
    </w:p>
    <w:p w14:paraId="047E7B16">
      <w:pPr>
        <w:pStyle w:val="4"/>
        <w:ind w:firstLine="643"/>
      </w:pPr>
      <w:bookmarkStart w:id="17" w:name="_Toc482798160"/>
      <w:r>
        <w:rPr>
          <w:rFonts w:hint="eastAsia"/>
        </w:rPr>
        <w:t>加快矿山环境恢复治理和矿区土地复垦，全面实现绿色化发展和生态文明建设</w:t>
      </w:r>
      <w:bookmarkEnd w:id="17"/>
    </w:p>
    <w:p w14:paraId="1DEB60F5">
      <w:pPr>
        <w:ind w:firstLine="640"/>
        <w:rPr>
          <w:rFonts w:ascii="仿宋" w:hAnsi="仿宋"/>
          <w:szCs w:val="32"/>
        </w:rPr>
      </w:pPr>
      <w:r>
        <w:rPr>
          <w:rFonts w:hint="eastAsia" w:ascii="仿宋" w:hAnsi="仿宋"/>
          <w:szCs w:val="32"/>
        </w:rPr>
        <w:t>按照“谁破坏、谁恢复，谁污染、谁治理、谁治理、谁受益”的原则，进一步加强矿山环境保护与恢复治理，推进矿区土地复垦。2020年和2025年，对生产矿山造成的地质环境破坏和土地毁损，在闭坑前，由矿山企业出资全面完成矿山环境恢复治理和土地复垦工作；加大历史遗留矿山地质环境问题处理力度，2020年完成历史遗留矿山地质环境恢复治理100公顷，到2025年再完成恢复治理面积100公顷。</w:t>
      </w:r>
    </w:p>
    <w:p w14:paraId="7E47E468">
      <w:pPr>
        <w:pStyle w:val="4"/>
        <w:ind w:firstLine="643"/>
      </w:pPr>
      <w:bookmarkStart w:id="18" w:name="_Toc482798161"/>
      <w:r>
        <w:rPr>
          <w:rFonts w:hint="eastAsia"/>
        </w:rPr>
        <w:t>矿产资源管理能力与水平明显提升</w:t>
      </w:r>
      <w:bookmarkEnd w:id="18"/>
    </w:p>
    <w:p w14:paraId="09EA11D5">
      <w:pPr>
        <w:ind w:firstLine="640"/>
        <w:rPr>
          <w:rFonts w:ascii="仿宋" w:hAnsi="仿宋"/>
          <w:szCs w:val="32"/>
        </w:rPr>
      </w:pPr>
      <w:r>
        <w:rPr>
          <w:rFonts w:hint="eastAsia" w:ascii="仿宋" w:hAnsi="仿宋"/>
          <w:szCs w:val="32"/>
        </w:rPr>
        <w:t>按照党的十八大提出的 “尽职尽责保护国土资源，节约集约利用国土资源，尽心尽力维护群众权益”的国土资源管理职责和定位要求，国土资源进一步加强法制化建设和规范化管理，增强民生为本和科学开发理念，深化矿产资源有偿使用制度和矿业权管理制度改革，完善矿产资源勘查开发的利益共享机制、激励机制、约束机制和矿区地质环境保护与恢复治理的长效机制，提高规范矿业权市场和矿产资源勘查开发秩序管控能力和微观引导水平，2017年</w:t>
      </w:r>
      <w:r>
        <w:rPr>
          <w:rFonts w:ascii="仿宋" w:hAnsi="仿宋"/>
          <w:szCs w:val="32"/>
        </w:rPr>
        <w:t>全面实施“权业权</w:t>
      </w:r>
      <w:r>
        <w:rPr>
          <w:rFonts w:hint="eastAsia" w:ascii="仿宋" w:hAnsi="仿宋"/>
          <w:szCs w:val="32"/>
        </w:rPr>
        <w:t>人</w:t>
      </w:r>
      <w:r>
        <w:rPr>
          <w:rFonts w:ascii="仿宋" w:hAnsi="仿宋"/>
          <w:szCs w:val="32"/>
        </w:rPr>
        <w:t>勘查信息</w:t>
      </w:r>
      <w:r>
        <w:rPr>
          <w:rFonts w:hint="eastAsia" w:ascii="仿宋" w:hAnsi="仿宋"/>
          <w:szCs w:val="32"/>
        </w:rPr>
        <w:t>公</w:t>
      </w:r>
      <w:r>
        <w:rPr>
          <w:rFonts w:ascii="仿宋" w:hAnsi="仿宋"/>
          <w:szCs w:val="32"/>
        </w:rPr>
        <w:t>示”制度</w:t>
      </w:r>
      <w:r>
        <w:rPr>
          <w:rFonts w:hint="eastAsia" w:ascii="仿宋" w:hAnsi="仿宋"/>
          <w:szCs w:val="32"/>
        </w:rPr>
        <w:t>。进一步健全对矿产资源勘查开发的监督管理体系，基本形成管理有规、市场有序、开发有责、调控有效、监督有力的矿产资源管理新局面，全面实现矿产资源利用方式和管理方式的根本转变。</w:t>
      </w:r>
    </w:p>
    <w:p w14:paraId="5AD171CA">
      <w:pPr>
        <w:ind w:firstLine="640"/>
        <w:rPr>
          <w:rFonts w:ascii="仿宋" w:hAnsi="仿宋"/>
          <w:szCs w:val="32"/>
        </w:rPr>
      </w:pPr>
      <w:r>
        <w:rPr>
          <w:rFonts w:hint="eastAsia" w:ascii="仿宋" w:hAnsi="仿宋"/>
          <w:szCs w:val="32"/>
        </w:rPr>
        <w:t>加快推进重点领域和关键环节改革，市场化配置资源的程度不断提高，矿业权审批制度改革不断深化，竞争性出让制度不断完善，以矿业权人信用约束为核心的监管制度全面建立，执法监管体系不断健全，以市场配置资源为基础的矿产资源管理新格局基本形成。</w:t>
      </w:r>
    </w:p>
    <w:p w14:paraId="55882699">
      <w:pPr>
        <w:pStyle w:val="4"/>
        <w:ind w:firstLine="643"/>
      </w:pPr>
      <w:bookmarkStart w:id="19" w:name="_Toc482798162"/>
      <w:r>
        <w:rPr>
          <w:rFonts w:hint="eastAsia"/>
        </w:rPr>
        <w:t>合理开发利用与保护矿产资源</w:t>
      </w:r>
      <w:bookmarkEnd w:id="19"/>
    </w:p>
    <w:p w14:paraId="4EF37807">
      <w:pPr>
        <w:ind w:firstLine="640"/>
        <w:rPr>
          <w:rFonts w:ascii="仿宋" w:hAnsi="仿宋"/>
          <w:szCs w:val="32"/>
        </w:rPr>
      </w:pPr>
      <w:r>
        <w:rPr>
          <w:rFonts w:hint="eastAsia" w:ascii="仿宋" w:hAnsi="仿宋"/>
          <w:szCs w:val="32"/>
        </w:rPr>
        <w:t>平稳增加重要矿产资源开采总量，建立重要优势矿产开采总量调控机制，以规划年度计划为手段加强总量调控。矿产资源开发利用空间布局不断优化，矿业集中度进一步提升，矿山最低开采规模达到规划要求，开发利用基本走上规模化、集约化发展道路。到</w:t>
      </w:r>
      <w:r>
        <w:rPr>
          <w:rFonts w:ascii="仿宋" w:hAnsi="仿宋"/>
          <w:szCs w:val="32"/>
        </w:rPr>
        <w:t>2020年，大</w:t>
      </w:r>
      <w:r>
        <w:rPr>
          <w:rFonts w:hint="eastAsia" w:ascii="仿宋" w:hAnsi="仿宋"/>
          <w:szCs w:val="32"/>
        </w:rPr>
        <w:t>中</w:t>
      </w:r>
      <w:r>
        <w:rPr>
          <w:rFonts w:ascii="仿宋" w:hAnsi="仿宋"/>
          <w:szCs w:val="32"/>
        </w:rPr>
        <w:t>型矿山比例</w:t>
      </w:r>
      <w:r>
        <w:rPr>
          <w:rFonts w:hint="eastAsia" w:ascii="仿宋" w:hAnsi="仿宋"/>
          <w:szCs w:val="32"/>
        </w:rPr>
        <w:t>从</w:t>
      </w:r>
      <w:r>
        <w:rPr>
          <w:rFonts w:ascii="仿宋" w:hAnsi="仿宋"/>
          <w:szCs w:val="32"/>
        </w:rPr>
        <w:t>11%提升到</w:t>
      </w:r>
      <w:r>
        <w:rPr>
          <w:rFonts w:hint="eastAsia" w:ascii="仿宋" w:hAnsi="仿宋"/>
          <w:szCs w:val="32"/>
        </w:rPr>
        <w:t>1</w:t>
      </w:r>
      <w:r>
        <w:rPr>
          <w:rFonts w:ascii="仿宋" w:hAnsi="仿宋"/>
          <w:szCs w:val="32"/>
        </w:rPr>
        <w:t>5%</w:t>
      </w:r>
      <w:r>
        <w:rPr>
          <w:rFonts w:hint="eastAsia" w:ascii="仿宋" w:hAnsi="仿宋"/>
          <w:szCs w:val="32"/>
        </w:rPr>
        <w:t>，形成一批自主创新能力和竞争力较强的大中型优势矿山企业。探索建立战略性矿产资源储备体系，保证经济社会发展对矿产资源的持续需求，从2020年和2025年，储备和保护的重要矿产地保持在4个左右。</w:t>
      </w:r>
    </w:p>
    <w:p w14:paraId="79369897">
      <w:pPr>
        <w:ind w:firstLine="640"/>
        <w:rPr>
          <w:rFonts w:ascii="仿宋" w:hAnsi="仿宋"/>
          <w:szCs w:val="32"/>
        </w:rPr>
      </w:pPr>
      <w:r>
        <w:rPr>
          <w:rFonts w:hint="eastAsia" w:ascii="仿宋" w:hAnsi="仿宋"/>
          <w:szCs w:val="32"/>
        </w:rPr>
        <w:t>基本实现矿业转型升级与绿色发展。稳步推进矿产资源开发整合，调整矿山规模结构，全面推广矿产开发的先进技术和装备，着力提高资源利用效率和水平，推动综合利用水平整体提升，到2020年，全市主要矿山“三率”水平达到国家规定的“三率”指标要求。建立绿色矿业发展政策保障体系和长效机制，加快发展绿色矿业，到2020年，大中型矿山基本达到绿色矿山标准，小型矿山企业绿色矿山的比例达到50%以上，基本建立不同类型矿山绿色开发新模式。</w:t>
      </w:r>
    </w:p>
    <w:p w14:paraId="1B0323FA">
      <w:pPr>
        <w:pStyle w:val="34"/>
        <w:spacing w:before="120"/>
      </w:pPr>
      <w:r>
        <w:rPr>
          <w:rFonts w:hint="eastAsia"/>
        </w:rPr>
        <w:t>专栏2  矿产资源开发利用主要指标</w:t>
      </w:r>
    </w:p>
    <w:tbl>
      <w:tblPr>
        <w:tblStyle w:val="18"/>
        <w:tblW w:w="0" w:type="auto"/>
        <w:jc w:val="center"/>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autofit"/>
        <w:tblCellMar>
          <w:top w:w="0" w:type="dxa"/>
          <w:left w:w="108" w:type="dxa"/>
          <w:bottom w:w="0" w:type="dxa"/>
          <w:right w:w="108" w:type="dxa"/>
        </w:tblCellMar>
      </w:tblPr>
      <w:tblGrid>
        <w:gridCol w:w="1038"/>
        <w:gridCol w:w="1640"/>
        <w:gridCol w:w="3277"/>
        <w:gridCol w:w="1746"/>
        <w:gridCol w:w="1154"/>
      </w:tblGrid>
      <w:tr w14:paraId="44B2FA6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blHeader/>
          <w:jc w:val="center"/>
        </w:trPr>
        <w:tc>
          <w:tcPr>
            <w:tcW w:w="5955" w:type="dxa"/>
            <w:gridSpan w:val="3"/>
            <w:vAlign w:val="center"/>
          </w:tcPr>
          <w:p w14:paraId="52EC2A9A">
            <w:pPr>
              <w:pStyle w:val="33"/>
              <w:rPr>
                <w:sz w:val="30"/>
                <w:szCs w:val="30"/>
              </w:rPr>
            </w:pPr>
            <w:r>
              <w:rPr>
                <w:rFonts w:hint="eastAsia"/>
                <w:sz w:val="30"/>
                <w:szCs w:val="30"/>
              </w:rPr>
              <w:t>指     标</w:t>
            </w:r>
          </w:p>
        </w:tc>
        <w:tc>
          <w:tcPr>
            <w:tcW w:w="1746" w:type="dxa"/>
            <w:vAlign w:val="center"/>
          </w:tcPr>
          <w:p w14:paraId="328D345E">
            <w:pPr>
              <w:pStyle w:val="33"/>
              <w:rPr>
                <w:sz w:val="30"/>
                <w:szCs w:val="30"/>
              </w:rPr>
            </w:pPr>
            <w:r>
              <w:rPr>
                <w:rFonts w:hint="eastAsia"/>
                <w:sz w:val="30"/>
                <w:szCs w:val="30"/>
              </w:rPr>
              <w:t>2020年</w:t>
            </w:r>
          </w:p>
        </w:tc>
        <w:tc>
          <w:tcPr>
            <w:tcW w:w="1154" w:type="dxa"/>
            <w:vAlign w:val="center"/>
          </w:tcPr>
          <w:p w14:paraId="30CC09EB">
            <w:pPr>
              <w:pStyle w:val="33"/>
              <w:rPr>
                <w:sz w:val="30"/>
                <w:szCs w:val="30"/>
              </w:rPr>
            </w:pPr>
            <w:r>
              <w:rPr>
                <w:rFonts w:hint="eastAsia"/>
                <w:sz w:val="30"/>
                <w:szCs w:val="30"/>
              </w:rPr>
              <w:t>属性</w:t>
            </w:r>
          </w:p>
        </w:tc>
      </w:tr>
      <w:tr w14:paraId="45FF1EE9">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Merge w:val="restart"/>
            <w:vAlign w:val="center"/>
          </w:tcPr>
          <w:p w14:paraId="720ABF8C">
            <w:pPr>
              <w:pStyle w:val="33"/>
              <w:rPr>
                <w:sz w:val="30"/>
                <w:szCs w:val="30"/>
              </w:rPr>
            </w:pPr>
            <w:r>
              <w:rPr>
                <w:rFonts w:hint="eastAsia"/>
                <w:sz w:val="30"/>
                <w:szCs w:val="30"/>
              </w:rPr>
              <w:t>重要矿产年开采总量</w:t>
            </w:r>
          </w:p>
        </w:tc>
        <w:tc>
          <w:tcPr>
            <w:tcW w:w="3277" w:type="dxa"/>
            <w:vAlign w:val="center"/>
          </w:tcPr>
          <w:p w14:paraId="0514B059">
            <w:pPr>
              <w:pStyle w:val="33"/>
              <w:rPr>
                <w:sz w:val="30"/>
                <w:szCs w:val="30"/>
              </w:rPr>
            </w:pPr>
            <w:r>
              <w:rPr>
                <w:rFonts w:hint="eastAsia"/>
                <w:sz w:val="30"/>
                <w:szCs w:val="30"/>
              </w:rPr>
              <w:t>原煤(万吨)</w:t>
            </w:r>
          </w:p>
        </w:tc>
        <w:tc>
          <w:tcPr>
            <w:tcW w:w="1746" w:type="dxa"/>
            <w:vAlign w:val="center"/>
          </w:tcPr>
          <w:p w14:paraId="4C6CEF61">
            <w:pPr>
              <w:pStyle w:val="33"/>
              <w:rPr>
                <w:sz w:val="30"/>
                <w:szCs w:val="30"/>
              </w:rPr>
            </w:pPr>
            <w:r>
              <w:rPr>
                <w:sz w:val="30"/>
                <w:szCs w:val="30"/>
              </w:rPr>
              <w:t>800</w:t>
            </w:r>
          </w:p>
        </w:tc>
        <w:tc>
          <w:tcPr>
            <w:tcW w:w="1154" w:type="dxa"/>
            <w:vMerge w:val="restart"/>
            <w:vAlign w:val="center"/>
          </w:tcPr>
          <w:p w14:paraId="509B4251">
            <w:pPr>
              <w:pStyle w:val="33"/>
              <w:rPr>
                <w:sz w:val="30"/>
                <w:szCs w:val="30"/>
              </w:rPr>
            </w:pPr>
            <w:r>
              <w:rPr>
                <w:rFonts w:hint="eastAsia"/>
                <w:sz w:val="30"/>
                <w:szCs w:val="30"/>
              </w:rPr>
              <w:t>预期性</w:t>
            </w:r>
          </w:p>
        </w:tc>
      </w:tr>
      <w:tr w14:paraId="3430FFC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Merge w:val="continue"/>
            <w:vAlign w:val="center"/>
          </w:tcPr>
          <w:p w14:paraId="5C51F09D">
            <w:pPr>
              <w:pStyle w:val="33"/>
              <w:rPr>
                <w:sz w:val="30"/>
                <w:szCs w:val="30"/>
              </w:rPr>
            </w:pPr>
          </w:p>
        </w:tc>
        <w:tc>
          <w:tcPr>
            <w:tcW w:w="3277" w:type="dxa"/>
            <w:vAlign w:val="center"/>
          </w:tcPr>
          <w:p w14:paraId="6E7A55BF">
            <w:pPr>
              <w:pStyle w:val="33"/>
              <w:rPr>
                <w:sz w:val="30"/>
                <w:szCs w:val="30"/>
              </w:rPr>
            </w:pPr>
            <w:r>
              <w:rPr>
                <w:rFonts w:hint="eastAsia"/>
                <w:sz w:val="30"/>
                <w:szCs w:val="30"/>
              </w:rPr>
              <w:t>铜(矿石万吨)</w:t>
            </w:r>
          </w:p>
        </w:tc>
        <w:tc>
          <w:tcPr>
            <w:tcW w:w="1746" w:type="dxa"/>
            <w:vAlign w:val="center"/>
          </w:tcPr>
          <w:p w14:paraId="60D52F2A">
            <w:pPr>
              <w:pStyle w:val="33"/>
              <w:rPr>
                <w:sz w:val="30"/>
                <w:szCs w:val="30"/>
              </w:rPr>
            </w:pPr>
            <w:r>
              <w:rPr>
                <w:rFonts w:hint="eastAsia"/>
                <w:sz w:val="30"/>
                <w:szCs w:val="30"/>
              </w:rPr>
              <w:t>60</w:t>
            </w:r>
          </w:p>
        </w:tc>
        <w:tc>
          <w:tcPr>
            <w:tcW w:w="1154" w:type="dxa"/>
            <w:vMerge w:val="continue"/>
            <w:vAlign w:val="center"/>
          </w:tcPr>
          <w:p w14:paraId="5B57DA91">
            <w:pPr>
              <w:pStyle w:val="33"/>
              <w:rPr>
                <w:sz w:val="30"/>
                <w:szCs w:val="30"/>
              </w:rPr>
            </w:pPr>
          </w:p>
        </w:tc>
      </w:tr>
      <w:tr w14:paraId="4BD7181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Merge w:val="continue"/>
            <w:vAlign w:val="center"/>
          </w:tcPr>
          <w:p w14:paraId="16BE75A6">
            <w:pPr>
              <w:pStyle w:val="33"/>
              <w:rPr>
                <w:sz w:val="30"/>
                <w:szCs w:val="30"/>
              </w:rPr>
            </w:pPr>
          </w:p>
        </w:tc>
        <w:tc>
          <w:tcPr>
            <w:tcW w:w="3277" w:type="dxa"/>
            <w:vAlign w:val="center"/>
          </w:tcPr>
          <w:p w14:paraId="21200571">
            <w:pPr>
              <w:pStyle w:val="33"/>
              <w:rPr>
                <w:sz w:val="30"/>
                <w:szCs w:val="30"/>
              </w:rPr>
            </w:pPr>
            <w:r>
              <w:rPr>
                <w:rFonts w:hint="eastAsia"/>
                <w:sz w:val="30"/>
                <w:szCs w:val="30"/>
              </w:rPr>
              <w:t>磷(矿石万吨)</w:t>
            </w:r>
          </w:p>
        </w:tc>
        <w:tc>
          <w:tcPr>
            <w:tcW w:w="1746" w:type="dxa"/>
            <w:vAlign w:val="center"/>
          </w:tcPr>
          <w:p w14:paraId="73D2C114">
            <w:pPr>
              <w:pStyle w:val="33"/>
              <w:rPr>
                <w:sz w:val="30"/>
                <w:szCs w:val="30"/>
              </w:rPr>
            </w:pPr>
            <w:r>
              <w:rPr>
                <w:rFonts w:hint="eastAsia"/>
                <w:sz w:val="30"/>
                <w:szCs w:val="30"/>
              </w:rPr>
              <w:t>1000</w:t>
            </w:r>
          </w:p>
        </w:tc>
        <w:tc>
          <w:tcPr>
            <w:tcW w:w="1154" w:type="dxa"/>
            <w:vMerge w:val="continue"/>
            <w:vAlign w:val="center"/>
          </w:tcPr>
          <w:p w14:paraId="66CA3725">
            <w:pPr>
              <w:pStyle w:val="33"/>
              <w:rPr>
                <w:sz w:val="30"/>
                <w:szCs w:val="30"/>
              </w:rPr>
            </w:pPr>
          </w:p>
        </w:tc>
      </w:tr>
      <w:tr w14:paraId="24A6BCA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Merge w:val="continue"/>
            <w:vAlign w:val="center"/>
          </w:tcPr>
          <w:p w14:paraId="38795AFA">
            <w:pPr>
              <w:pStyle w:val="33"/>
              <w:rPr>
                <w:sz w:val="30"/>
                <w:szCs w:val="30"/>
              </w:rPr>
            </w:pPr>
          </w:p>
        </w:tc>
        <w:tc>
          <w:tcPr>
            <w:tcW w:w="3277" w:type="dxa"/>
            <w:vAlign w:val="center"/>
          </w:tcPr>
          <w:p w14:paraId="082DE30A">
            <w:pPr>
              <w:pStyle w:val="33"/>
              <w:rPr>
                <w:sz w:val="30"/>
                <w:szCs w:val="30"/>
              </w:rPr>
            </w:pPr>
            <w:r>
              <w:rPr>
                <w:rFonts w:hint="eastAsia"/>
                <w:sz w:val="30"/>
                <w:szCs w:val="30"/>
              </w:rPr>
              <w:t>水泥用灰岩(万吨)</w:t>
            </w:r>
          </w:p>
        </w:tc>
        <w:tc>
          <w:tcPr>
            <w:tcW w:w="1746" w:type="dxa"/>
            <w:vAlign w:val="center"/>
          </w:tcPr>
          <w:p w14:paraId="5FC3C4BB">
            <w:pPr>
              <w:pStyle w:val="33"/>
              <w:rPr>
                <w:sz w:val="30"/>
                <w:szCs w:val="30"/>
              </w:rPr>
            </w:pPr>
            <w:r>
              <w:rPr>
                <w:sz w:val="30"/>
                <w:szCs w:val="30"/>
              </w:rPr>
              <w:t>3</w:t>
            </w:r>
            <w:r>
              <w:rPr>
                <w:rFonts w:hint="eastAsia"/>
                <w:sz w:val="30"/>
                <w:szCs w:val="30"/>
              </w:rPr>
              <w:t>000</w:t>
            </w:r>
          </w:p>
        </w:tc>
        <w:tc>
          <w:tcPr>
            <w:tcW w:w="1154" w:type="dxa"/>
            <w:vMerge w:val="continue"/>
            <w:vAlign w:val="center"/>
          </w:tcPr>
          <w:p w14:paraId="4CF863FA">
            <w:pPr>
              <w:pStyle w:val="33"/>
              <w:rPr>
                <w:sz w:val="30"/>
                <w:szCs w:val="30"/>
              </w:rPr>
            </w:pPr>
          </w:p>
        </w:tc>
      </w:tr>
      <w:tr w14:paraId="0FA074B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Merge w:val="continue"/>
            <w:vAlign w:val="center"/>
          </w:tcPr>
          <w:p w14:paraId="6483742C">
            <w:pPr>
              <w:pStyle w:val="33"/>
              <w:rPr>
                <w:sz w:val="30"/>
                <w:szCs w:val="30"/>
              </w:rPr>
            </w:pPr>
          </w:p>
        </w:tc>
        <w:tc>
          <w:tcPr>
            <w:tcW w:w="3277" w:type="dxa"/>
            <w:vAlign w:val="center"/>
          </w:tcPr>
          <w:p w14:paraId="3D1AB60F">
            <w:pPr>
              <w:pStyle w:val="33"/>
              <w:rPr>
                <w:sz w:val="30"/>
                <w:szCs w:val="30"/>
              </w:rPr>
            </w:pPr>
            <w:r>
              <w:rPr>
                <w:rFonts w:hint="eastAsia"/>
                <w:sz w:val="30"/>
                <w:szCs w:val="30"/>
              </w:rPr>
              <w:t>岩盐(矿石万吨)</w:t>
            </w:r>
          </w:p>
        </w:tc>
        <w:tc>
          <w:tcPr>
            <w:tcW w:w="1746" w:type="dxa"/>
            <w:vAlign w:val="center"/>
          </w:tcPr>
          <w:p w14:paraId="55E81EF9">
            <w:pPr>
              <w:pStyle w:val="33"/>
              <w:rPr>
                <w:sz w:val="30"/>
                <w:szCs w:val="30"/>
              </w:rPr>
            </w:pPr>
            <w:r>
              <w:rPr>
                <w:sz w:val="30"/>
                <w:szCs w:val="30"/>
              </w:rPr>
              <w:t>300</w:t>
            </w:r>
          </w:p>
        </w:tc>
        <w:tc>
          <w:tcPr>
            <w:tcW w:w="1154" w:type="dxa"/>
            <w:vMerge w:val="continue"/>
            <w:vAlign w:val="center"/>
          </w:tcPr>
          <w:p w14:paraId="0DDD48D8">
            <w:pPr>
              <w:pStyle w:val="33"/>
              <w:rPr>
                <w:sz w:val="30"/>
                <w:szCs w:val="30"/>
              </w:rPr>
            </w:pPr>
          </w:p>
        </w:tc>
      </w:tr>
      <w:tr w14:paraId="00E4846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2678" w:type="dxa"/>
            <w:gridSpan w:val="2"/>
            <w:vAlign w:val="center"/>
          </w:tcPr>
          <w:p w14:paraId="325EFCC3">
            <w:pPr>
              <w:pStyle w:val="33"/>
              <w:rPr>
                <w:sz w:val="30"/>
                <w:szCs w:val="30"/>
              </w:rPr>
            </w:pPr>
            <w:r>
              <w:rPr>
                <w:rFonts w:hint="eastAsia"/>
                <w:sz w:val="30"/>
                <w:szCs w:val="30"/>
              </w:rPr>
              <w:t>矿产资源储备与保护</w:t>
            </w:r>
          </w:p>
        </w:tc>
        <w:tc>
          <w:tcPr>
            <w:tcW w:w="3277" w:type="dxa"/>
            <w:vAlign w:val="center"/>
          </w:tcPr>
          <w:p w14:paraId="65C93DF0">
            <w:pPr>
              <w:pStyle w:val="33"/>
              <w:rPr>
                <w:sz w:val="30"/>
                <w:szCs w:val="30"/>
              </w:rPr>
            </w:pPr>
            <w:r>
              <w:rPr>
                <w:rFonts w:hint="eastAsia"/>
                <w:sz w:val="30"/>
                <w:szCs w:val="30"/>
              </w:rPr>
              <w:t>年底储备重要矿产地(处)</w:t>
            </w:r>
          </w:p>
        </w:tc>
        <w:tc>
          <w:tcPr>
            <w:tcW w:w="1746" w:type="dxa"/>
            <w:vAlign w:val="center"/>
          </w:tcPr>
          <w:p w14:paraId="4C38A595">
            <w:pPr>
              <w:pStyle w:val="33"/>
              <w:rPr>
                <w:sz w:val="30"/>
                <w:szCs w:val="30"/>
              </w:rPr>
            </w:pPr>
            <w:r>
              <w:rPr>
                <w:sz w:val="30"/>
                <w:szCs w:val="30"/>
              </w:rPr>
              <w:t>4</w:t>
            </w:r>
          </w:p>
        </w:tc>
        <w:tc>
          <w:tcPr>
            <w:tcW w:w="1154" w:type="dxa"/>
            <w:vMerge w:val="restart"/>
            <w:vAlign w:val="center"/>
          </w:tcPr>
          <w:p w14:paraId="3BB7D394">
            <w:pPr>
              <w:pStyle w:val="33"/>
              <w:rPr>
                <w:sz w:val="30"/>
                <w:szCs w:val="30"/>
              </w:rPr>
            </w:pPr>
            <w:r>
              <w:rPr>
                <w:rFonts w:hint="eastAsia"/>
                <w:sz w:val="30"/>
                <w:szCs w:val="30"/>
              </w:rPr>
              <w:t>预期性</w:t>
            </w:r>
          </w:p>
        </w:tc>
      </w:tr>
      <w:tr w14:paraId="6456905C">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restart"/>
            <w:vAlign w:val="center"/>
          </w:tcPr>
          <w:p w14:paraId="64C6750D">
            <w:pPr>
              <w:pStyle w:val="33"/>
              <w:rPr>
                <w:sz w:val="30"/>
                <w:szCs w:val="30"/>
              </w:rPr>
            </w:pPr>
            <w:r>
              <w:rPr>
                <w:rFonts w:hint="eastAsia"/>
                <w:sz w:val="30"/>
                <w:szCs w:val="30"/>
              </w:rPr>
              <w:t>矿产</w:t>
            </w:r>
          </w:p>
          <w:p w14:paraId="3329A7D1">
            <w:pPr>
              <w:pStyle w:val="33"/>
              <w:rPr>
                <w:sz w:val="30"/>
                <w:szCs w:val="30"/>
              </w:rPr>
            </w:pPr>
            <w:r>
              <w:rPr>
                <w:rFonts w:hint="eastAsia"/>
                <w:sz w:val="30"/>
                <w:szCs w:val="30"/>
              </w:rPr>
              <w:t>资源</w:t>
            </w:r>
          </w:p>
          <w:p w14:paraId="45FB515E">
            <w:pPr>
              <w:pStyle w:val="33"/>
              <w:rPr>
                <w:sz w:val="30"/>
                <w:szCs w:val="30"/>
              </w:rPr>
            </w:pPr>
            <w:r>
              <w:rPr>
                <w:rFonts w:hint="eastAsia"/>
                <w:sz w:val="30"/>
                <w:szCs w:val="30"/>
              </w:rPr>
              <w:t>开采</w:t>
            </w:r>
          </w:p>
          <w:p w14:paraId="53A0B666">
            <w:pPr>
              <w:pStyle w:val="33"/>
              <w:rPr>
                <w:sz w:val="30"/>
                <w:szCs w:val="30"/>
              </w:rPr>
            </w:pPr>
            <w:r>
              <w:rPr>
                <w:rFonts w:hint="eastAsia"/>
                <w:sz w:val="30"/>
                <w:szCs w:val="30"/>
              </w:rPr>
              <w:t>规模</w:t>
            </w:r>
          </w:p>
          <w:p w14:paraId="63B76D46">
            <w:pPr>
              <w:pStyle w:val="33"/>
              <w:rPr>
                <w:sz w:val="30"/>
                <w:szCs w:val="30"/>
              </w:rPr>
            </w:pPr>
            <w:r>
              <w:rPr>
                <w:rFonts w:hint="eastAsia"/>
                <w:sz w:val="30"/>
                <w:szCs w:val="30"/>
              </w:rPr>
              <w:t>结构</w:t>
            </w:r>
          </w:p>
        </w:tc>
        <w:tc>
          <w:tcPr>
            <w:tcW w:w="4917" w:type="dxa"/>
            <w:gridSpan w:val="2"/>
            <w:vAlign w:val="center"/>
          </w:tcPr>
          <w:p w14:paraId="38E0A090">
            <w:pPr>
              <w:pStyle w:val="33"/>
              <w:rPr>
                <w:sz w:val="30"/>
                <w:szCs w:val="30"/>
              </w:rPr>
            </w:pPr>
            <w:r>
              <w:rPr>
                <w:rFonts w:hint="eastAsia"/>
                <w:sz w:val="30"/>
                <w:szCs w:val="30"/>
              </w:rPr>
              <w:t>大中型矿山比例(%)</w:t>
            </w:r>
          </w:p>
        </w:tc>
        <w:tc>
          <w:tcPr>
            <w:tcW w:w="1746" w:type="dxa"/>
            <w:vAlign w:val="center"/>
          </w:tcPr>
          <w:p w14:paraId="5A34C313">
            <w:pPr>
              <w:pStyle w:val="33"/>
              <w:rPr>
                <w:sz w:val="30"/>
                <w:szCs w:val="30"/>
              </w:rPr>
            </w:pPr>
            <w:r>
              <w:rPr>
                <w:rFonts w:hint="eastAsia"/>
                <w:sz w:val="30"/>
                <w:szCs w:val="30"/>
              </w:rPr>
              <w:t>15</w:t>
            </w:r>
          </w:p>
        </w:tc>
        <w:tc>
          <w:tcPr>
            <w:tcW w:w="1154" w:type="dxa"/>
            <w:vMerge w:val="continue"/>
            <w:vAlign w:val="center"/>
          </w:tcPr>
          <w:p w14:paraId="7D9FB0BD">
            <w:pPr>
              <w:pStyle w:val="33"/>
              <w:rPr>
                <w:sz w:val="30"/>
                <w:szCs w:val="30"/>
              </w:rPr>
            </w:pPr>
          </w:p>
        </w:tc>
      </w:tr>
      <w:tr w14:paraId="386C0D4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438EFF3E">
            <w:pPr>
              <w:pStyle w:val="33"/>
              <w:rPr>
                <w:sz w:val="30"/>
                <w:szCs w:val="30"/>
              </w:rPr>
            </w:pPr>
          </w:p>
        </w:tc>
        <w:tc>
          <w:tcPr>
            <w:tcW w:w="1640" w:type="dxa"/>
            <w:vMerge w:val="restart"/>
            <w:vAlign w:val="center"/>
          </w:tcPr>
          <w:p w14:paraId="5432F2D5">
            <w:pPr>
              <w:pStyle w:val="33"/>
              <w:rPr>
                <w:sz w:val="30"/>
                <w:szCs w:val="30"/>
              </w:rPr>
            </w:pPr>
            <w:r>
              <w:rPr>
                <w:rFonts w:hint="eastAsia"/>
                <w:sz w:val="30"/>
                <w:szCs w:val="30"/>
              </w:rPr>
              <w:t>重要矿产</w:t>
            </w:r>
          </w:p>
          <w:p w14:paraId="6272E951">
            <w:pPr>
              <w:pStyle w:val="33"/>
              <w:rPr>
                <w:sz w:val="30"/>
                <w:szCs w:val="30"/>
              </w:rPr>
            </w:pPr>
            <w:r>
              <w:rPr>
                <w:rFonts w:hint="eastAsia"/>
                <w:sz w:val="30"/>
                <w:szCs w:val="30"/>
              </w:rPr>
              <w:t>矿山平均</w:t>
            </w:r>
          </w:p>
          <w:p w14:paraId="42016E0A">
            <w:pPr>
              <w:pStyle w:val="33"/>
              <w:rPr>
                <w:sz w:val="30"/>
                <w:szCs w:val="30"/>
              </w:rPr>
            </w:pPr>
            <w:r>
              <w:rPr>
                <w:rFonts w:hint="eastAsia"/>
                <w:sz w:val="30"/>
                <w:szCs w:val="30"/>
              </w:rPr>
              <w:t>开采规模</w:t>
            </w:r>
          </w:p>
        </w:tc>
        <w:tc>
          <w:tcPr>
            <w:tcW w:w="3277" w:type="dxa"/>
            <w:vAlign w:val="center"/>
          </w:tcPr>
          <w:p w14:paraId="04D5419D">
            <w:pPr>
              <w:pStyle w:val="33"/>
              <w:rPr>
                <w:sz w:val="30"/>
                <w:szCs w:val="30"/>
              </w:rPr>
            </w:pPr>
            <w:r>
              <w:rPr>
                <w:rFonts w:hint="eastAsia"/>
                <w:sz w:val="30"/>
                <w:szCs w:val="30"/>
              </w:rPr>
              <w:t>原煤(万吨/年)</w:t>
            </w:r>
          </w:p>
        </w:tc>
        <w:tc>
          <w:tcPr>
            <w:tcW w:w="1746" w:type="dxa"/>
            <w:vAlign w:val="center"/>
          </w:tcPr>
          <w:p w14:paraId="583FB1EB">
            <w:pPr>
              <w:pStyle w:val="33"/>
              <w:rPr>
                <w:sz w:val="30"/>
                <w:szCs w:val="30"/>
              </w:rPr>
            </w:pPr>
            <w:r>
              <w:rPr>
                <w:sz w:val="30"/>
                <w:szCs w:val="30"/>
              </w:rPr>
              <w:t>30</w:t>
            </w:r>
          </w:p>
        </w:tc>
        <w:tc>
          <w:tcPr>
            <w:tcW w:w="1154" w:type="dxa"/>
            <w:vMerge w:val="continue"/>
            <w:vAlign w:val="center"/>
          </w:tcPr>
          <w:p w14:paraId="09CC1F20">
            <w:pPr>
              <w:pStyle w:val="33"/>
              <w:rPr>
                <w:sz w:val="30"/>
                <w:szCs w:val="30"/>
              </w:rPr>
            </w:pPr>
          </w:p>
        </w:tc>
      </w:tr>
      <w:tr w14:paraId="1BB2DF6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568EFA7A">
            <w:pPr>
              <w:pStyle w:val="33"/>
              <w:rPr>
                <w:sz w:val="30"/>
                <w:szCs w:val="30"/>
              </w:rPr>
            </w:pPr>
          </w:p>
        </w:tc>
        <w:tc>
          <w:tcPr>
            <w:tcW w:w="1640" w:type="dxa"/>
            <w:vMerge w:val="continue"/>
            <w:vAlign w:val="center"/>
          </w:tcPr>
          <w:p w14:paraId="4651F046">
            <w:pPr>
              <w:pStyle w:val="33"/>
              <w:rPr>
                <w:sz w:val="30"/>
                <w:szCs w:val="30"/>
              </w:rPr>
            </w:pPr>
          </w:p>
        </w:tc>
        <w:tc>
          <w:tcPr>
            <w:tcW w:w="3277" w:type="dxa"/>
            <w:vAlign w:val="center"/>
          </w:tcPr>
          <w:p w14:paraId="6FD25AD7">
            <w:pPr>
              <w:pStyle w:val="33"/>
              <w:rPr>
                <w:sz w:val="30"/>
                <w:szCs w:val="30"/>
              </w:rPr>
            </w:pPr>
            <w:r>
              <w:rPr>
                <w:rFonts w:hint="eastAsia"/>
                <w:sz w:val="30"/>
                <w:szCs w:val="30"/>
              </w:rPr>
              <w:t>铜(矿石万吨/年)</w:t>
            </w:r>
          </w:p>
        </w:tc>
        <w:tc>
          <w:tcPr>
            <w:tcW w:w="1746" w:type="dxa"/>
            <w:vAlign w:val="center"/>
          </w:tcPr>
          <w:p w14:paraId="0EBEE218">
            <w:pPr>
              <w:pStyle w:val="33"/>
              <w:rPr>
                <w:sz w:val="30"/>
                <w:szCs w:val="30"/>
              </w:rPr>
            </w:pPr>
            <w:r>
              <w:rPr>
                <w:rFonts w:hint="eastAsia"/>
                <w:sz w:val="30"/>
                <w:szCs w:val="30"/>
              </w:rPr>
              <w:t>10-15</w:t>
            </w:r>
          </w:p>
        </w:tc>
        <w:tc>
          <w:tcPr>
            <w:tcW w:w="1154" w:type="dxa"/>
            <w:vMerge w:val="continue"/>
            <w:vAlign w:val="center"/>
          </w:tcPr>
          <w:p w14:paraId="2432F2D4">
            <w:pPr>
              <w:pStyle w:val="33"/>
              <w:rPr>
                <w:sz w:val="30"/>
                <w:szCs w:val="30"/>
              </w:rPr>
            </w:pPr>
          </w:p>
        </w:tc>
      </w:tr>
      <w:tr w14:paraId="7CE51C6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1F7DB1B8">
            <w:pPr>
              <w:pStyle w:val="33"/>
              <w:rPr>
                <w:sz w:val="30"/>
                <w:szCs w:val="30"/>
              </w:rPr>
            </w:pPr>
          </w:p>
        </w:tc>
        <w:tc>
          <w:tcPr>
            <w:tcW w:w="1640" w:type="dxa"/>
            <w:vMerge w:val="continue"/>
            <w:vAlign w:val="center"/>
          </w:tcPr>
          <w:p w14:paraId="140FE82F">
            <w:pPr>
              <w:pStyle w:val="33"/>
              <w:rPr>
                <w:sz w:val="30"/>
                <w:szCs w:val="30"/>
              </w:rPr>
            </w:pPr>
          </w:p>
        </w:tc>
        <w:tc>
          <w:tcPr>
            <w:tcW w:w="3277" w:type="dxa"/>
            <w:vAlign w:val="center"/>
          </w:tcPr>
          <w:p w14:paraId="08027CFF">
            <w:pPr>
              <w:pStyle w:val="33"/>
              <w:rPr>
                <w:sz w:val="30"/>
                <w:szCs w:val="30"/>
              </w:rPr>
            </w:pPr>
            <w:r>
              <w:rPr>
                <w:rFonts w:hint="eastAsia"/>
                <w:sz w:val="30"/>
                <w:szCs w:val="30"/>
              </w:rPr>
              <w:t>磷(矿石万吨)</w:t>
            </w:r>
          </w:p>
        </w:tc>
        <w:tc>
          <w:tcPr>
            <w:tcW w:w="1746" w:type="dxa"/>
            <w:vAlign w:val="center"/>
          </w:tcPr>
          <w:p w14:paraId="66C728C7">
            <w:pPr>
              <w:pStyle w:val="33"/>
              <w:rPr>
                <w:sz w:val="30"/>
                <w:szCs w:val="30"/>
              </w:rPr>
            </w:pPr>
            <w:r>
              <w:rPr>
                <w:rFonts w:hint="eastAsia"/>
                <w:sz w:val="30"/>
                <w:szCs w:val="30"/>
              </w:rPr>
              <w:t>30-50</w:t>
            </w:r>
          </w:p>
        </w:tc>
        <w:tc>
          <w:tcPr>
            <w:tcW w:w="1154" w:type="dxa"/>
            <w:vMerge w:val="continue"/>
            <w:vAlign w:val="center"/>
          </w:tcPr>
          <w:p w14:paraId="073D6823">
            <w:pPr>
              <w:pStyle w:val="33"/>
              <w:rPr>
                <w:sz w:val="30"/>
                <w:szCs w:val="30"/>
              </w:rPr>
            </w:pPr>
          </w:p>
        </w:tc>
      </w:tr>
      <w:tr w14:paraId="5D838A9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010A8B6B">
            <w:pPr>
              <w:pStyle w:val="33"/>
              <w:rPr>
                <w:sz w:val="30"/>
                <w:szCs w:val="30"/>
              </w:rPr>
            </w:pPr>
          </w:p>
        </w:tc>
        <w:tc>
          <w:tcPr>
            <w:tcW w:w="1640" w:type="dxa"/>
            <w:vMerge w:val="continue"/>
            <w:vAlign w:val="center"/>
          </w:tcPr>
          <w:p w14:paraId="3291EE1E">
            <w:pPr>
              <w:pStyle w:val="33"/>
              <w:rPr>
                <w:sz w:val="30"/>
                <w:szCs w:val="30"/>
              </w:rPr>
            </w:pPr>
          </w:p>
        </w:tc>
        <w:tc>
          <w:tcPr>
            <w:tcW w:w="3277" w:type="dxa"/>
            <w:vAlign w:val="center"/>
          </w:tcPr>
          <w:p w14:paraId="55D7507D">
            <w:pPr>
              <w:pStyle w:val="33"/>
              <w:rPr>
                <w:sz w:val="30"/>
                <w:szCs w:val="30"/>
              </w:rPr>
            </w:pPr>
            <w:r>
              <w:rPr>
                <w:rFonts w:hint="eastAsia"/>
                <w:sz w:val="30"/>
                <w:szCs w:val="30"/>
              </w:rPr>
              <w:t>岩盐(矿石万吨)</w:t>
            </w:r>
          </w:p>
        </w:tc>
        <w:tc>
          <w:tcPr>
            <w:tcW w:w="1746" w:type="dxa"/>
            <w:vAlign w:val="center"/>
          </w:tcPr>
          <w:p w14:paraId="57BF94EB">
            <w:pPr>
              <w:pStyle w:val="33"/>
              <w:rPr>
                <w:sz w:val="30"/>
                <w:szCs w:val="30"/>
              </w:rPr>
            </w:pPr>
            <w:r>
              <w:rPr>
                <w:rFonts w:hint="eastAsia"/>
                <w:sz w:val="30"/>
                <w:szCs w:val="30"/>
              </w:rPr>
              <w:t>60</w:t>
            </w:r>
          </w:p>
        </w:tc>
        <w:tc>
          <w:tcPr>
            <w:tcW w:w="1154" w:type="dxa"/>
            <w:vMerge w:val="continue"/>
            <w:vAlign w:val="center"/>
          </w:tcPr>
          <w:p w14:paraId="0824C327">
            <w:pPr>
              <w:pStyle w:val="33"/>
              <w:rPr>
                <w:sz w:val="30"/>
                <w:szCs w:val="30"/>
              </w:rPr>
            </w:pPr>
          </w:p>
        </w:tc>
      </w:tr>
      <w:tr w14:paraId="09657FD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09A60250">
            <w:pPr>
              <w:pStyle w:val="33"/>
              <w:rPr>
                <w:sz w:val="30"/>
                <w:szCs w:val="30"/>
              </w:rPr>
            </w:pPr>
          </w:p>
        </w:tc>
        <w:tc>
          <w:tcPr>
            <w:tcW w:w="1640" w:type="dxa"/>
            <w:vMerge w:val="continue"/>
            <w:vAlign w:val="center"/>
          </w:tcPr>
          <w:p w14:paraId="1D4CDA05">
            <w:pPr>
              <w:pStyle w:val="33"/>
              <w:rPr>
                <w:sz w:val="30"/>
                <w:szCs w:val="30"/>
              </w:rPr>
            </w:pPr>
          </w:p>
        </w:tc>
        <w:tc>
          <w:tcPr>
            <w:tcW w:w="3277" w:type="dxa"/>
            <w:vAlign w:val="center"/>
          </w:tcPr>
          <w:p w14:paraId="4BDAC9FD">
            <w:pPr>
              <w:pStyle w:val="33"/>
              <w:rPr>
                <w:sz w:val="30"/>
                <w:szCs w:val="30"/>
              </w:rPr>
            </w:pPr>
            <w:r>
              <w:rPr>
                <w:rFonts w:hint="eastAsia"/>
                <w:sz w:val="30"/>
                <w:szCs w:val="30"/>
              </w:rPr>
              <w:t>水泥用灰岩(万吨)</w:t>
            </w:r>
          </w:p>
        </w:tc>
        <w:tc>
          <w:tcPr>
            <w:tcW w:w="1746" w:type="dxa"/>
            <w:vAlign w:val="center"/>
          </w:tcPr>
          <w:p w14:paraId="2511FB48">
            <w:pPr>
              <w:pStyle w:val="33"/>
              <w:rPr>
                <w:sz w:val="30"/>
                <w:szCs w:val="30"/>
              </w:rPr>
            </w:pPr>
            <w:r>
              <w:rPr>
                <w:rFonts w:hint="eastAsia"/>
                <w:sz w:val="30"/>
                <w:szCs w:val="30"/>
              </w:rPr>
              <w:t>100</w:t>
            </w:r>
          </w:p>
        </w:tc>
        <w:tc>
          <w:tcPr>
            <w:tcW w:w="1154" w:type="dxa"/>
            <w:vMerge w:val="continue"/>
            <w:vAlign w:val="center"/>
          </w:tcPr>
          <w:p w14:paraId="745DC125">
            <w:pPr>
              <w:pStyle w:val="33"/>
              <w:rPr>
                <w:sz w:val="30"/>
                <w:szCs w:val="30"/>
              </w:rPr>
            </w:pPr>
          </w:p>
        </w:tc>
      </w:tr>
      <w:tr w14:paraId="73FA6F7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jc w:val="center"/>
        </w:trPr>
        <w:tc>
          <w:tcPr>
            <w:tcW w:w="1038" w:type="dxa"/>
            <w:vMerge w:val="continue"/>
            <w:vAlign w:val="center"/>
          </w:tcPr>
          <w:p w14:paraId="79D19C87">
            <w:pPr>
              <w:pStyle w:val="33"/>
              <w:rPr>
                <w:sz w:val="30"/>
                <w:szCs w:val="30"/>
              </w:rPr>
            </w:pPr>
          </w:p>
        </w:tc>
        <w:tc>
          <w:tcPr>
            <w:tcW w:w="1640" w:type="dxa"/>
            <w:vMerge w:val="continue"/>
            <w:vAlign w:val="center"/>
          </w:tcPr>
          <w:p w14:paraId="79C634F5">
            <w:pPr>
              <w:pStyle w:val="33"/>
              <w:rPr>
                <w:sz w:val="30"/>
                <w:szCs w:val="30"/>
              </w:rPr>
            </w:pPr>
          </w:p>
        </w:tc>
        <w:tc>
          <w:tcPr>
            <w:tcW w:w="3277" w:type="dxa"/>
            <w:vAlign w:val="center"/>
          </w:tcPr>
          <w:p w14:paraId="133AAB2D">
            <w:pPr>
              <w:pStyle w:val="33"/>
              <w:rPr>
                <w:sz w:val="30"/>
                <w:szCs w:val="30"/>
              </w:rPr>
            </w:pPr>
            <w:r>
              <w:rPr>
                <w:rFonts w:hint="eastAsia"/>
                <w:sz w:val="30"/>
                <w:szCs w:val="30"/>
              </w:rPr>
              <w:t>砖瓦用页岩(万吨)</w:t>
            </w:r>
          </w:p>
        </w:tc>
        <w:tc>
          <w:tcPr>
            <w:tcW w:w="1746" w:type="dxa"/>
            <w:vAlign w:val="center"/>
          </w:tcPr>
          <w:p w14:paraId="639D793E">
            <w:pPr>
              <w:pStyle w:val="33"/>
              <w:rPr>
                <w:sz w:val="30"/>
                <w:szCs w:val="30"/>
              </w:rPr>
            </w:pPr>
            <w:r>
              <w:rPr>
                <w:rFonts w:hint="eastAsia"/>
                <w:sz w:val="30"/>
                <w:szCs w:val="30"/>
              </w:rPr>
              <w:t>6</w:t>
            </w:r>
          </w:p>
        </w:tc>
        <w:tc>
          <w:tcPr>
            <w:tcW w:w="1154" w:type="dxa"/>
            <w:vMerge w:val="continue"/>
            <w:vAlign w:val="center"/>
          </w:tcPr>
          <w:p w14:paraId="4DE2CF4D">
            <w:pPr>
              <w:pStyle w:val="33"/>
              <w:rPr>
                <w:sz w:val="30"/>
                <w:szCs w:val="30"/>
              </w:rPr>
            </w:pPr>
          </w:p>
        </w:tc>
      </w:tr>
    </w:tbl>
    <w:p w14:paraId="77845A03">
      <w:pPr>
        <w:ind w:firstLine="640"/>
      </w:pPr>
    </w:p>
    <w:p w14:paraId="68518179">
      <w:pPr>
        <w:widowControl/>
        <w:adjustRightInd/>
        <w:snapToGrid/>
        <w:spacing w:line="240" w:lineRule="auto"/>
        <w:ind w:firstLine="0" w:firstLineChars="0"/>
        <w:jc w:val="left"/>
      </w:pPr>
      <w:r>
        <w:br w:type="page"/>
      </w:r>
    </w:p>
    <w:p w14:paraId="25AE0DBA">
      <w:pPr>
        <w:ind w:firstLine="640"/>
        <w:rPr>
          <w:rFonts w:cs="仿宋_GB2312"/>
        </w:rPr>
      </w:pPr>
    </w:p>
    <w:p w14:paraId="3B76F7DD">
      <w:pPr>
        <w:pStyle w:val="2"/>
        <w:rPr>
          <w:kern w:val="0"/>
        </w:rPr>
      </w:pPr>
      <w:bookmarkStart w:id="20" w:name="_Toc482798163"/>
      <w:r>
        <w:rPr>
          <w:rFonts w:hint="eastAsia"/>
          <w:kern w:val="0"/>
        </w:rPr>
        <w:t>矿产开发与资源产业布局</w:t>
      </w:r>
      <w:bookmarkEnd w:id="20"/>
    </w:p>
    <w:p w14:paraId="5A8149F6">
      <w:pPr>
        <w:pStyle w:val="3"/>
        <w:ind w:firstLine="723"/>
      </w:pPr>
      <w:bookmarkStart w:id="21" w:name="_Toc482798164"/>
      <w:r>
        <w:rPr>
          <w:rFonts w:hint="eastAsia"/>
        </w:rPr>
        <w:t>矿产资源勘查开发调控方向</w:t>
      </w:r>
      <w:bookmarkEnd w:id="21"/>
    </w:p>
    <w:p w14:paraId="1868EB12">
      <w:pPr>
        <w:ind w:firstLine="640"/>
      </w:pPr>
      <w:r>
        <w:rPr>
          <w:rFonts w:hint="eastAsia"/>
        </w:rPr>
        <w:t>我</w:t>
      </w:r>
      <w:r>
        <w:t>市</w:t>
      </w:r>
      <w:r>
        <w:rPr>
          <w:rFonts w:hint="eastAsia"/>
        </w:rPr>
        <w:t>属于</w:t>
      </w:r>
      <w:r>
        <w:t>内</w:t>
      </w:r>
      <w:r>
        <w:rPr>
          <w:rFonts w:hint="eastAsia"/>
        </w:rPr>
        <w:t>陆</w:t>
      </w:r>
      <w:r>
        <w:t>地</w:t>
      </w:r>
      <w:r>
        <w:rPr>
          <w:rFonts w:hint="eastAsia"/>
        </w:rPr>
        <w:t>区</w:t>
      </w:r>
      <w:r>
        <w:t>，但</w:t>
      </w:r>
      <w:r>
        <w:rPr>
          <w:rFonts w:hint="eastAsia"/>
        </w:rPr>
        <w:t>有</w:t>
      </w:r>
      <w:r>
        <w:t>大渡河、</w:t>
      </w:r>
      <w:r>
        <w:rPr>
          <w:rFonts w:hint="eastAsia"/>
        </w:rPr>
        <w:t>岷</w:t>
      </w:r>
      <w:r>
        <w:t>江、青衣江在此地汇合，</w:t>
      </w:r>
      <w:r>
        <w:rPr>
          <w:rFonts w:hint="eastAsia"/>
        </w:rPr>
        <w:t>有世界</w:t>
      </w:r>
      <w:r>
        <w:t>闻名的</w:t>
      </w:r>
      <w:r>
        <w:rPr>
          <w:rFonts w:hint="eastAsia"/>
        </w:rPr>
        <w:t>峨眉山</w:t>
      </w:r>
      <w:r>
        <w:t>－</w:t>
      </w:r>
      <w:r>
        <w:rPr>
          <w:rFonts w:hint="eastAsia"/>
        </w:rPr>
        <w:t>乐</w:t>
      </w:r>
      <w:r>
        <w:t>山</w:t>
      </w:r>
      <w:r>
        <w:rPr>
          <w:rFonts w:hint="eastAsia"/>
        </w:rPr>
        <w:t>大佛世界文化与自然双重遗产保护</w:t>
      </w:r>
      <w:r>
        <w:t>区</w:t>
      </w:r>
      <w:r>
        <w:rPr>
          <w:rFonts w:hint="eastAsia"/>
        </w:rPr>
        <w:t>，</w:t>
      </w:r>
      <w:r>
        <w:t>还有</w:t>
      </w:r>
      <w:r>
        <w:rPr>
          <w:rFonts w:hint="eastAsia"/>
        </w:rPr>
        <w:t>夹</w:t>
      </w:r>
      <w:r>
        <w:t>江千佛岩文化遗址保护区、</w:t>
      </w:r>
      <w:r>
        <w:rPr>
          <w:rFonts w:hint="eastAsia"/>
        </w:rPr>
        <w:t>沙湾美女峰国家级森林公园、大渡河金口大峡谷国家地质公园、峨边黑竹沟自然</w:t>
      </w:r>
      <w:r>
        <w:t>保护</w:t>
      </w:r>
      <w:r>
        <w:rPr>
          <w:rFonts w:hint="eastAsia"/>
        </w:rPr>
        <w:t>区</w:t>
      </w:r>
      <w:r>
        <w:t>和</w:t>
      </w:r>
      <w:r>
        <w:rPr>
          <w:rFonts w:hint="eastAsia"/>
        </w:rPr>
        <w:t>国家级森林公园、八</w:t>
      </w:r>
      <w:r>
        <w:t>月</w:t>
      </w:r>
      <w:r>
        <w:rPr>
          <w:rFonts w:hint="eastAsia"/>
        </w:rPr>
        <w:t>林</w:t>
      </w:r>
      <w:r>
        <w:t>自然保护区、</w:t>
      </w:r>
      <w:r>
        <w:rPr>
          <w:rFonts w:hint="eastAsia"/>
        </w:rPr>
        <w:t>马边大风顶国家级自然保护区、</w:t>
      </w:r>
      <w:r>
        <w:t>金</w:t>
      </w:r>
      <w:r>
        <w:rPr>
          <w:rFonts w:hint="eastAsia"/>
        </w:rPr>
        <w:t>口</w:t>
      </w:r>
      <w:r>
        <w:t>河五池</w:t>
      </w:r>
      <w:r>
        <w:rPr>
          <w:rFonts w:hint="eastAsia"/>
        </w:rPr>
        <w:t>湿</w:t>
      </w:r>
      <w:r>
        <w:t>地保护区</w:t>
      </w:r>
      <w:r>
        <w:rPr>
          <w:rFonts w:hint="eastAsia"/>
        </w:rPr>
        <w:t>、大</w:t>
      </w:r>
      <w:r>
        <w:t>瓦山自然保护区</w:t>
      </w:r>
      <w:r>
        <w:rPr>
          <w:rFonts w:hint="eastAsia"/>
        </w:rPr>
        <w:t>、</w:t>
      </w:r>
      <w:r>
        <w:t>沐</w:t>
      </w:r>
      <w:r>
        <w:rPr>
          <w:rFonts w:hint="eastAsia"/>
        </w:rPr>
        <w:t>川芹菜</w:t>
      </w:r>
      <w:r>
        <w:t>坪</w:t>
      </w:r>
      <w:r>
        <w:rPr>
          <w:rFonts w:hint="eastAsia"/>
        </w:rPr>
        <w:t>森林</w:t>
      </w:r>
      <w:r>
        <w:t>公园</w:t>
      </w:r>
      <w:r>
        <w:rPr>
          <w:rFonts w:hint="eastAsia"/>
        </w:rPr>
        <w:t>、</w:t>
      </w:r>
      <w:r>
        <w:t>犍为桫</w:t>
      </w:r>
      <w:r>
        <w:rPr>
          <w:rFonts w:hint="eastAsia"/>
        </w:rPr>
        <w:t>椤</w:t>
      </w:r>
      <w:r>
        <w:t>沟自然保护区</w:t>
      </w:r>
      <w:r>
        <w:rPr>
          <w:rFonts w:hint="eastAsia"/>
        </w:rPr>
        <w:t>等1</w:t>
      </w:r>
      <w:r>
        <w:t>2</w:t>
      </w:r>
      <w:r>
        <w:rPr>
          <w:rFonts w:hint="eastAsia"/>
        </w:rPr>
        <w:t>个国</w:t>
      </w:r>
      <w:r>
        <w:t>家级</w:t>
      </w:r>
      <w:r>
        <w:rPr>
          <w:rFonts w:hint="eastAsia"/>
        </w:rPr>
        <w:t>和</w:t>
      </w:r>
      <w:r>
        <w:t>省级自然</w:t>
      </w:r>
      <w:r>
        <w:rPr>
          <w:rFonts w:hint="eastAsia"/>
        </w:rPr>
        <w:t>保护</w:t>
      </w:r>
      <w:r>
        <w:t>区多处</w:t>
      </w:r>
      <w:r>
        <w:rPr>
          <w:rFonts w:hint="eastAsia"/>
        </w:rPr>
        <w:t>，必须按照</w:t>
      </w:r>
      <w:r>
        <w:t>相关规定，严格禁止</w:t>
      </w:r>
      <w:r>
        <w:rPr>
          <w:rFonts w:hint="eastAsia"/>
        </w:rPr>
        <w:t>在保护</w:t>
      </w:r>
      <w:r>
        <w:t>区</w:t>
      </w:r>
      <w:r>
        <w:rPr>
          <w:rFonts w:hint="eastAsia"/>
        </w:rPr>
        <w:t>的核心</w:t>
      </w:r>
      <w:r>
        <w:t>区</w:t>
      </w:r>
      <w:r>
        <w:rPr>
          <w:rFonts w:hint="eastAsia"/>
        </w:rPr>
        <w:t>和缓冲</w:t>
      </w:r>
      <w:r>
        <w:t>区</w:t>
      </w:r>
      <w:r>
        <w:rPr>
          <w:rFonts w:hint="eastAsia"/>
        </w:rPr>
        <w:t>内</w:t>
      </w:r>
      <w:r>
        <w:t>设立</w:t>
      </w:r>
      <w:r>
        <w:rPr>
          <w:rFonts w:hint="eastAsia"/>
        </w:rPr>
        <w:t>矿</w:t>
      </w:r>
      <w:r>
        <w:t>权、</w:t>
      </w:r>
      <w:r>
        <w:rPr>
          <w:rFonts w:hint="eastAsia"/>
        </w:rPr>
        <w:t>勘探</w:t>
      </w:r>
      <w:r>
        <w:t>和开采</w:t>
      </w:r>
      <w:r>
        <w:rPr>
          <w:rFonts w:hint="eastAsia"/>
        </w:rPr>
        <w:t>任何矿产</w:t>
      </w:r>
      <w:r>
        <w:t>资源</w:t>
      </w:r>
      <w:r>
        <w:rPr>
          <w:rFonts w:hint="eastAsia"/>
        </w:rPr>
        <w:t>，</w:t>
      </w:r>
      <w:r>
        <w:t>在</w:t>
      </w:r>
      <w:r>
        <w:rPr>
          <w:rFonts w:hint="eastAsia"/>
        </w:rPr>
        <w:t>主</w:t>
      </w:r>
      <w:r>
        <w:t>要景观可</w:t>
      </w:r>
      <w:r>
        <w:rPr>
          <w:rFonts w:hint="eastAsia"/>
        </w:rPr>
        <w:t>视范围内严格</w:t>
      </w:r>
      <w:r>
        <w:t>禁止开采</w:t>
      </w:r>
      <w:r>
        <w:rPr>
          <w:rFonts w:hint="eastAsia"/>
        </w:rPr>
        <w:t>任何矿</w:t>
      </w:r>
      <w:r>
        <w:t>产资源</w:t>
      </w:r>
      <w:r>
        <w:rPr>
          <w:rFonts w:hint="eastAsia"/>
        </w:rPr>
        <w:t>，严格限制</w:t>
      </w:r>
      <w:r>
        <w:t>在</w:t>
      </w:r>
      <w:r>
        <w:rPr>
          <w:rFonts w:hint="eastAsia"/>
        </w:rPr>
        <w:t>保护</w:t>
      </w:r>
      <w:r>
        <w:t>区内</w:t>
      </w:r>
      <w:r>
        <w:rPr>
          <w:rFonts w:hint="eastAsia"/>
        </w:rPr>
        <w:t>新</w:t>
      </w:r>
      <w:r>
        <w:t>设矿权</w:t>
      </w:r>
      <w:r>
        <w:rPr>
          <w:rFonts w:hint="eastAsia"/>
        </w:rPr>
        <w:t>。</w:t>
      </w:r>
    </w:p>
    <w:p w14:paraId="3283B876">
      <w:pPr>
        <w:ind w:firstLine="640"/>
      </w:pPr>
      <w:r>
        <w:rPr>
          <w:rFonts w:hint="eastAsia"/>
        </w:rPr>
        <w:t>在各类自然保护区、景观区、居民集中生活区和重要交通干线、河流、湖泊、</w:t>
      </w:r>
      <w:r>
        <w:t>水库</w:t>
      </w:r>
      <w:r>
        <w:rPr>
          <w:rFonts w:hint="eastAsia"/>
        </w:rPr>
        <w:t>等直观可视范围内的矿山要基本复绿, 新建矿山和在建矿山做到边开采、边复垦，毁损土地全面复垦。加大历史遗留矿山地质环境问题处理力度，在</w:t>
      </w:r>
      <w:r>
        <w:t>2020年前</w:t>
      </w:r>
      <w:r>
        <w:rPr>
          <w:rFonts w:hint="eastAsia"/>
        </w:rPr>
        <w:t>大部完成历史遗留矿山的地质环境恢复治理，</w:t>
      </w:r>
      <w:r>
        <w:t>2025年前全部</w:t>
      </w:r>
      <w:r>
        <w:rPr>
          <w:rFonts w:hint="eastAsia"/>
        </w:rPr>
        <w:t>完成。</w:t>
      </w:r>
    </w:p>
    <w:p w14:paraId="59A7E506">
      <w:pPr>
        <w:ind w:firstLine="640"/>
      </w:pPr>
      <w:r>
        <w:rPr>
          <w:rFonts w:hint="eastAsia"/>
        </w:rPr>
        <w:t>按照自然生态环境保护优先原则，将市内世界自然文化遗产地、国家级和省级自然保护区、风景名胜区、地质公园、森林公园、原始森林、湿地保护区、地质遗迹保护区和抵制灾害危险区划为禁止开采区，地</w:t>
      </w:r>
      <w:r>
        <w:t>热、矿</w:t>
      </w:r>
      <w:r>
        <w:rPr>
          <w:rFonts w:hint="eastAsia"/>
        </w:rPr>
        <w:t>泉</w:t>
      </w:r>
      <w:r>
        <w:t>水除外。</w:t>
      </w:r>
    </w:p>
    <w:p w14:paraId="17F16AB8">
      <w:pPr>
        <w:ind w:firstLine="640"/>
      </w:pPr>
      <w:r>
        <w:rPr>
          <w:rFonts w:hint="eastAsia"/>
        </w:rPr>
        <w:t>岷江</w:t>
      </w:r>
      <w:r>
        <w:t>和大渡河</w:t>
      </w:r>
      <w:r>
        <w:rPr>
          <w:rFonts w:hint="eastAsia"/>
        </w:rPr>
        <w:t>干流、城市规划区、重要工业区、重要城镇、铁路、高速公路、重大工程设施及周边一定距离；军事禁区、港口、机场、国防工程设施圈定地区等，其限制勘查的区域以相关机构确定为准。限制勘查区内新设立矿产资源勘查项目或新设探矿权必须经过严格的地质环境影响评价并经相关行政主管部门审核同意，已设立探矿权的矿产勘查项目在勘查过程中要切实做好地质环境评价和环境保护工作，确保生态环境不受破坏。</w:t>
      </w:r>
    </w:p>
    <w:p w14:paraId="57BA2929">
      <w:pPr>
        <w:ind w:firstLine="640"/>
      </w:pPr>
      <w:r>
        <w:rPr>
          <w:rFonts w:hint="eastAsia"/>
        </w:rPr>
        <w:t>严格限制</w:t>
      </w:r>
      <w:r>
        <w:t>在主要交通干</w:t>
      </w:r>
      <w:r>
        <w:rPr>
          <w:rFonts w:hint="eastAsia"/>
        </w:rPr>
        <w:t>线</w:t>
      </w:r>
      <w:r>
        <w:t>、</w:t>
      </w:r>
      <w:r>
        <w:rPr>
          <w:rFonts w:hint="eastAsia"/>
        </w:rPr>
        <w:t>主</w:t>
      </w:r>
      <w:r>
        <w:t>要</w:t>
      </w:r>
      <w:r>
        <w:rPr>
          <w:rFonts w:hint="eastAsia"/>
        </w:rPr>
        <w:t>输电</w:t>
      </w:r>
      <w:r>
        <w:t>干</w:t>
      </w:r>
      <w:r>
        <w:rPr>
          <w:rFonts w:hint="eastAsia"/>
        </w:rPr>
        <w:t>线</w:t>
      </w:r>
      <w:r>
        <w:t>、</w:t>
      </w:r>
      <w:r>
        <w:rPr>
          <w:rFonts w:hint="eastAsia"/>
        </w:rPr>
        <w:t>重</w:t>
      </w:r>
      <w:r>
        <w:t>要水</w:t>
      </w:r>
      <w:r>
        <w:rPr>
          <w:rFonts w:hint="eastAsia"/>
        </w:rPr>
        <w:t>利工程</w:t>
      </w:r>
      <w:r>
        <w:t>、重要</w:t>
      </w:r>
      <w:r>
        <w:rPr>
          <w:rFonts w:hint="eastAsia"/>
        </w:rPr>
        <w:t>通讯</w:t>
      </w:r>
      <w:r>
        <w:t>线路</w:t>
      </w:r>
      <w:r>
        <w:rPr>
          <w:rFonts w:hint="eastAsia"/>
        </w:rPr>
        <w:t>通</w:t>
      </w:r>
      <w:r>
        <w:t>过</w:t>
      </w:r>
      <w:r>
        <w:rPr>
          <w:rFonts w:hint="eastAsia"/>
        </w:rPr>
        <w:t>地带</w:t>
      </w:r>
      <w:r>
        <w:t>设立矿</w:t>
      </w:r>
      <w:r>
        <w:rPr>
          <w:rFonts w:hint="eastAsia"/>
        </w:rPr>
        <w:t>权，</w:t>
      </w:r>
      <w:r>
        <w:t>严格禁止在这些</w:t>
      </w:r>
      <w:r>
        <w:rPr>
          <w:rFonts w:hint="eastAsia"/>
        </w:rPr>
        <w:t>地带的</w:t>
      </w:r>
      <w:r>
        <w:t>安全</w:t>
      </w:r>
      <w:r>
        <w:rPr>
          <w:rFonts w:hint="eastAsia"/>
        </w:rPr>
        <w:t>区</w:t>
      </w:r>
      <w:r>
        <w:t>内</w:t>
      </w:r>
      <w:r>
        <w:rPr>
          <w:rFonts w:hint="eastAsia"/>
        </w:rPr>
        <w:t>实施矿</w:t>
      </w:r>
      <w:r>
        <w:t>产探</w:t>
      </w:r>
      <w:r>
        <w:rPr>
          <w:rFonts w:hint="eastAsia"/>
        </w:rPr>
        <w:t>勘和</w:t>
      </w:r>
      <w:r>
        <w:t>采矿</w:t>
      </w:r>
      <w:r>
        <w:rPr>
          <w:rFonts w:hint="eastAsia"/>
        </w:rPr>
        <w:t>作业</w:t>
      </w:r>
      <w:r>
        <w:t>。</w:t>
      </w:r>
    </w:p>
    <w:p w14:paraId="264688A8">
      <w:pPr>
        <w:ind w:firstLine="643"/>
        <w:rPr>
          <w:b/>
        </w:rPr>
      </w:pPr>
      <w:r>
        <w:rPr>
          <w:rFonts w:hint="eastAsia"/>
          <w:b/>
        </w:rPr>
        <w:t>限制勘查矿种：</w:t>
      </w:r>
    </w:p>
    <w:p w14:paraId="7EF694E5">
      <w:pPr>
        <w:ind w:firstLine="640"/>
      </w:pPr>
      <w:r>
        <w:rPr>
          <w:rFonts w:hint="eastAsia"/>
        </w:rPr>
        <w:t>(1)省级规划划定的威西盐田限制开采区中的岩盐；</w:t>
      </w:r>
    </w:p>
    <w:p w14:paraId="7923C6DE">
      <w:pPr>
        <w:ind w:firstLine="640"/>
      </w:pPr>
      <w:r>
        <w:rPr>
          <w:rFonts w:hint="eastAsia"/>
        </w:rPr>
        <w:t>(2)省级规划划定的瓦山－乐山大佛－峨眉山限制开采区中所有矿种</w:t>
      </w:r>
      <w:r>
        <w:t>(</w:t>
      </w:r>
      <w:r>
        <w:rPr>
          <w:rFonts w:hint="eastAsia"/>
        </w:rPr>
        <w:t>地</w:t>
      </w:r>
      <w:r>
        <w:t>热和矿</w:t>
      </w:r>
      <w:r>
        <w:rPr>
          <w:rFonts w:hint="eastAsia"/>
        </w:rPr>
        <w:t>泉</w:t>
      </w:r>
      <w:r>
        <w:t>水除外)</w:t>
      </w:r>
      <w:r>
        <w:rPr>
          <w:rFonts w:hint="eastAsia"/>
        </w:rPr>
        <w:t>。</w:t>
      </w:r>
    </w:p>
    <w:p w14:paraId="519C3D84">
      <w:pPr>
        <w:ind w:firstLine="640"/>
      </w:pPr>
      <w:r>
        <w:rPr>
          <w:rFonts w:hint="eastAsia"/>
        </w:rPr>
        <w:t>在对限制勘查矿种进行勘查之前，必须严格规划论证，按照“主体整合、总量控制、采储平衡、保护严格、依法管矿、绿色发展”的思路，科学论证总量调控指标。采取必要的资源保护和环境保护措施，编制环境影响评价和矿山地质环境恢复治理方案等。</w:t>
      </w:r>
    </w:p>
    <w:p w14:paraId="25B017D2">
      <w:pPr>
        <w:ind w:firstLine="643"/>
        <w:rPr>
          <w:b/>
        </w:rPr>
      </w:pPr>
      <w:r>
        <w:rPr>
          <w:rFonts w:hint="eastAsia"/>
          <w:b/>
        </w:rPr>
        <w:t>限制勘查区：</w:t>
      </w:r>
    </w:p>
    <w:p w14:paraId="2FDFD09C">
      <w:pPr>
        <w:ind w:firstLine="640"/>
      </w:pPr>
      <w:r>
        <w:rPr>
          <w:rFonts w:hint="eastAsia"/>
        </w:rPr>
        <w:t>全</w:t>
      </w:r>
      <w:r>
        <w:t>市区其划定15个限制</w:t>
      </w:r>
      <w:r>
        <w:rPr>
          <w:rFonts w:hint="eastAsia"/>
        </w:rPr>
        <w:t>勘查区</w:t>
      </w:r>
      <w:r>
        <w:t>，</w:t>
      </w:r>
      <w:r>
        <w:rPr>
          <w:rFonts w:hint="eastAsia"/>
        </w:rPr>
        <w:t>其</w:t>
      </w:r>
      <w:r>
        <w:t>中，</w:t>
      </w:r>
      <w:r>
        <w:rPr>
          <w:rFonts w:hint="eastAsia"/>
        </w:rPr>
        <w:t>落实省规划</w:t>
      </w:r>
      <w:r>
        <w:t>的限制</w:t>
      </w:r>
      <w:r>
        <w:rPr>
          <w:rFonts w:hint="eastAsia"/>
        </w:rPr>
        <w:t>勘查区</w:t>
      </w:r>
      <w:r>
        <w:t>2个(</w:t>
      </w:r>
      <w:r>
        <w:rPr>
          <w:rFonts w:hint="eastAsia"/>
        </w:rPr>
        <w:t>含6</w:t>
      </w:r>
      <w:r>
        <w:t>个市</w:t>
      </w:r>
      <w:r>
        <w:rPr>
          <w:rFonts w:hint="eastAsia"/>
        </w:rPr>
        <w:t>级</w:t>
      </w:r>
      <w:r>
        <w:t>规划限制勘查区)，</w:t>
      </w:r>
      <w:r>
        <w:rPr>
          <w:rFonts w:hint="eastAsia"/>
        </w:rPr>
        <w:t>其余</w:t>
      </w:r>
      <w:r>
        <w:t>为</w:t>
      </w:r>
      <w:r>
        <w:rPr>
          <w:rFonts w:hint="eastAsia"/>
        </w:rPr>
        <w:t>国</w:t>
      </w:r>
      <w:r>
        <w:t>家级、省级等自然保护区。详</w:t>
      </w:r>
      <w:r>
        <w:rPr>
          <w:rFonts w:hint="eastAsia"/>
        </w:rPr>
        <w:t>见</w:t>
      </w:r>
      <w:r>
        <w:t>专栏</w:t>
      </w:r>
      <w:r>
        <w:rPr>
          <w:rFonts w:hint="eastAsia"/>
        </w:rPr>
        <w:t>3</w:t>
      </w:r>
      <w:r>
        <w:t>。</w:t>
      </w:r>
    </w:p>
    <w:p w14:paraId="65C79FE8">
      <w:pPr>
        <w:pStyle w:val="34"/>
        <w:spacing w:before="120"/>
      </w:pPr>
      <w:r>
        <w:rPr>
          <w:rFonts w:hint="eastAsia"/>
        </w:rPr>
        <w:t>专栏3</w:t>
      </w:r>
      <w:r>
        <w:t xml:space="preserve"> 乐山市规划</w:t>
      </w:r>
      <w:r>
        <w:rPr>
          <w:rFonts w:hint="eastAsia"/>
        </w:rPr>
        <w:t>限制勘查</w:t>
      </w:r>
      <w:r>
        <w:t>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4CD1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58" w:type="dxa"/>
            <w:shd w:val="clear" w:color="auto" w:fill="auto"/>
          </w:tcPr>
          <w:p w14:paraId="5F0A04BD">
            <w:pPr>
              <w:pStyle w:val="37"/>
            </w:pPr>
            <w:r>
              <w:t>1</w:t>
            </w:r>
            <w:r>
              <w:rPr>
                <w:rFonts w:hint="eastAsia"/>
              </w:rPr>
              <w:t>、(K</w:t>
            </w:r>
            <w:r>
              <w:t>X01)</w:t>
            </w:r>
            <w:r>
              <w:rPr>
                <w:rFonts w:hint="eastAsia"/>
              </w:rPr>
              <w:t>峨眉山－乐山地热、矿泉水限制勘查区</w:t>
            </w:r>
          </w:p>
          <w:p w14:paraId="1B346AB4">
            <w:pPr>
              <w:pStyle w:val="37"/>
            </w:pPr>
            <w:r>
              <w:rPr>
                <w:rFonts w:hint="eastAsia"/>
              </w:rPr>
              <w:t>主要为峨眉山景区－乐山大佛景区及周边，大力开发旅游景区和城市周边的地热资源和优质矿泉水资源，以乐山大佛－峨嵋山自然文化双遗产为核心，带动周边景区，打造良好的旅游生态环境，辐射全省。</w:t>
            </w:r>
          </w:p>
          <w:p w14:paraId="79B15EBE">
            <w:pPr>
              <w:pStyle w:val="37"/>
            </w:pPr>
            <w:r>
              <w:t>2</w:t>
            </w:r>
            <w:r>
              <w:rPr>
                <w:rFonts w:hint="eastAsia"/>
              </w:rPr>
              <w:t>、(K</w:t>
            </w:r>
            <w:r>
              <w:t>X02)</w:t>
            </w:r>
            <w:r>
              <w:rPr>
                <w:rFonts w:hint="eastAsia"/>
              </w:rPr>
              <w:t>威西盐矿限制勘查区(乐山部份)</w:t>
            </w:r>
          </w:p>
          <w:p w14:paraId="485E7500">
            <w:pPr>
              <w:pStyle w:val="37"/>
            </w:pPr>
            <w:r>
              <w:rPr>
                <w:rFonts w:hint="eastAsia"/>
              </w:rPr>
              <w:t>包括犍为和井研等县，稳定我市已有的盐卤生产，保障以和邦集团和福华集团为主的盐化工所需的盐卤开采，开发生产适销对路的精细盐化产品。</w:t>
            </w:r>
          </w:p>
          <w:p w14:paraId="135DF2B2">
            <w:pPr>
              <w:pStyle w:val="37"/>
            </w:pPr>
            <w:r>
              <w:t>3</w:t>
            </w:r>
            <w:r>
              <w:rPr>
                <w:rFonts w:hint="eastAsia"/>
              </w:rPr>
              <w:t>、(</w:t>
            </w:r>
            <w:r>
              <w:t>KX03)</w:t>
            </w:r>
            <w:r>
              <w:rPr>
                <w:rFonts w:hint="eastAsia"/>
              </w:rPr>
              <w:t>峨眉山乐都水泥用石灰岩、石膏矿资源限制勘查区</w:t>
            </w:r>
          </w:p>
          <w:p w14:paraId="7B04A737">
            <w:pPr>
              <w:pStyle w:val="37"/>
            </w:pPr>
            <w:r>
              <w:rPr>
                <w:rFonts w:hint="eastAsia"/>
              </w:rPr>
              <w:t>主要为峨眉山市水泥生产基地及乐都周边地区，区内优势矿产有水泥用石灰岩、石膏、粘土等，稳定我市已有的水泥原料生产，为后续发展提供资源保障。</w:t>
            </w:r>
          </w:p>
          <w:p w14:paraId="1E9C7699">
            <w:pPr>
              <w:pStyle w:val="37"/>
            </w:pPr>
            <w:r>
              <w:t>4</w:t>
            </w:r>
            <w:r>
              <w:rPr>
                <w:rFonts w:hint="eastAsia"/>
              </w:rPr>
              <w:t>、(K</w:t>
            </w:r>
            <w:r>
              <w:t>X04)</w:t>
            </w:r>
            <w:r>
              <w:rPr>
                <w:rFonts w:hint="eastAsia"/>
              </w:rPr>
              <w:t>大</w:t>
            </w:r>
            <w:r>
              <w:t>为</w:t>
            </w:r>
            <w:r>
              <w:rPr>
                <w:rFonts w:hint="eastAsia"/>
              </w:rPr>
              <w:t>至永</w:t>
            </w:r>
            <w:r>
              <w:t>福磷</w:t>
            </w:r>
            <w:r>
              <w:rPr>
                <w:rFonts w:hint="eastAsia"/>
              </w:rPr>
              <w:t>及</w:t>
            </w:r>
            <w:r>
              <w:t>多金属</w:t>
            </w:r>
            <w:r>
              <w:rPr>
                <w:rFonts w:hint="eastAsia"/>
              </w:rPr>
              <w:t>限制</w:t>
            </w:r>
            <w:r>
              <w:t>勘查</w:t>
            </w:r>
            <w:r>
              <w:rPr>
                <w:rFonts w:hint="eastAsia"/>
              </w:rPr>
              <w:t>区</w:t>
            </w:r>
          </w:p>
          <w:p w14:paraId="5BAE3776">
            <w:pPr>
              <w:pStyle w:val="37"/>
            </w:pPr>
            <w:r>
              <w:rPr>
                <w:rFonts w:hint="eastAsia"/>
              </w:rPr>
              <w:t>本区有多</w:t>
            </w:r>
            <w:r>
              <w:t>个磷及</w:t>
            </w:r>
            <w:r>
              <w:rPr>
                <w:rFonts w:hint="eastAsia"/>
              </w:rPr>
              <w:t>铜</w:t>
            </w:r>
            <w:r>
              <w:t>铅</w:t>
            </w:r>
            <w:r>
              <w:rPr>
                <w:rFonts w:hint="eastAsia"/>
              </w:rPr>
              <w:t>锌</w:t>
            </w:r>
            <w:r>
              <w:t>多金属矿</w:t>
            </w:r>
            <w:r>
              <w:rPr>
                <w:rFonts w:hint="eastAsia"/>
              </w:rPr>
              <w:t>探矿</w:t>
            </w:r>
            <w:r>
              <w:t>权及采矿权，</w:t>
            </w:r>
            <w:r>
              <w:rPr>
                <w:rFonts w:hint="eastAsia"/>
              </w:rPr>
              <w:t>应加</w:t>
            </w:r>
            <w:r>
              <w:t>大投入，</w:t>
            </w:r>
            <w:r>
              <w:rPr>
                <w:rFonts w:hint="eastAsia"/>
              </w:rPr>
              <w:t>摸清资源情况。</w:t>
            </w:r>
          </w:p>
          <w:p w14:paraId="2E9FA5C2">
            <w:pPr>
              <w:pStyle w:val="37"/>
            </w:pPr>
            <w:r>
              <w:rPr>
                <w:rFonts w:hint="eastAsia"/>
              </w:rPr>
              <w:t>以下</w:t>
            </w:r>
            <w:r>
              <w:t>为各类自然保护区，均</w:t>
            </w:r>
            <w:r>
              <w:rPr>
                <w:rFonts w:hint="eastAsia"/>
              </w:rPr>
              <w:t>划</w:t>
            </w:r>
            <w:r>
              <w:t>定为限制勘查区</w:t>
            </w:r>
          </w:p>
          <w:p w14:paraId="5C48F847">
            <w:pPr>
              <w:pStyle w:val="37"/>
            </w:pPr>
            <w:r>
              <w:t>5</w:t>
            </w:r>
            <w:r>
              <w:rPr>
                <w:rFonts w:hint="eastAsia"/>
              </w:rPr>
              <w:t>、(K</w:t>
            </w:r>
            <w:r>
              <w:t>X05)</w:t>
            </w:r>
            <w:r>
              <w:rPr>
                <w:rFonts w:hint="eastAsia"/>
              </w:rPr>
              <w:t>乐</w:t>
            </w:r>
            <w:r>
              <w:t>山大佛风景名胜保护区</w:t>
            </w:r>
          </w:p>
          <w:p w14:paraId="611A72FA">
            <w:pPr>
              <w:pStyle w:val="37"/>
            </w:pPr>
            <w:r>
              <w:t>6</w:t>
            </w:r>
            <w:r>
              <w:rPr>
                <w:rFonts w:hint="eastAsia"/>
              </w:rPr>
              <w:t>、(K</w:t>
            </w:r>
            <w:r>
              <w:t>X06)</w:t>
            </w:r>
            <w:r>
              <w:rPr>
                <w:rFonts w:hint="eastAsia"/>
              </w:rPr>
              <w:t>峨眉山风景名胜保护区</w:t>
            </w:r>
          </w:p>
          <w:p w14:paraId="4BE50C53">
            <w:pPr>
              <w:pStyle w:val="37"/>
            </w:pPr>
            <w:r>
              <w:t>7</w:t>
            </w:r>
            <w:r>
              <w:rPr>
                <w:rFonts w:hint="eastAsia"/>
              </w:rPr>
              <w:t>、(K</w:t>
            </w:r>
            <w:r>
              <w:t>X07)</w:t>
            </w:r>
            <w:r>
              <w:rPr>
                <w:rFonts w:hint="eastAsia"/>
              </w:rPr>
              <w:t>四川大瓦山天池国家湿地公园</w:t>
            </w:r>
          </w:p>
          <w:p w14:paraId="79E20698">
            <w:pPr>
              <w:pStyle w:val="37"/>
            </w:pPr>
            <w:r>
              <w:t>8</w:t>
            </w:r>
            <w:r>
              <w:rPr>
                <w:rFonts w:hint="eastAsia"/>
              </w:rPr>
              <w:t>、(K</w:t>
            </w:r>
            <w:r>
              <w:t>X08)</w:t>
            </w:r>
            <w:r>
              <w:rPr>
                <w:rFonts w:hint="eastAsia"/>
              </w:rPr>
              <w:t>沙湾美女峰石林风景保护区</w:t>
            </w:r>
          </w:p>
          <w:p w14:paraId="1E44AD6F">
            <w:pPr>
              <w:pStyle w:val="37"/>
            </w:pPr>
            <w:r>
              <w:t>9</w:t>
            </w:r>
            <w:r>
              <w:rPr>
                <w:rFonts w:hint="eastAsia"/>
              </w:rPr>
              <w:t>、(K</w:t>
            </w:r>
            <w:r>
              <w:t>X09)</w:t>
            </w:r>
            <w:r>
              <w:rPr>
                <w:rFonts w:hint="eastAsia"/>
              </w:rPr>
              <w:t>峨边黑竹沟自然保护区</w:t>
            </w:r>
          </w:p>
          <w:p w14:paraId="7FC9E7CE">
            <w:pPr>
              <w:pStyle w:val="37"/>
            </w:pPr>
            <w:r>
              <w:t>10</w:t>
            </w:r>
            <w:r>
              <w:rPr>
                <w:rFonts w:hint="eastAsia"/>
              </w:rPr>
              <w:t>、(K</w:t>
            </w:r>
            <w:r>
              <w:t>X10)</w:t>
            </w:r>
            <w:r>
              <w:rPr>
                <w:rFonts w:hint="eastAsia"/>
              </w:rPr>
              <w:t>马边大风顶自然保护区</w:t>
            </w:r>
          </w:p>
          <w:p w14:paraId="6087A886">
            <w:pPr>
              <w:pStyle w:val="37"/>
            </w:pPr>
            <w:r>
              <w:t>11</w:t>
            </w:r>
            <w:r>
              <w:rPr>
                <w:rFonts w:hint="eastAsia"/>
              </w:rPr>
              <w:t>、(K</w:t>
            </w:r>
            <w:r>
              <w:t>X11)</w:t>
            </w:r>
            <w:r>
              <w:rPr>
                <w:rFonts w:hint="eastAsia"/>
              </w:rPr>
              <w:t xml:space="preserve">夹江千佛岩遗址保护区 </w:t>
            </w:r>
          </w:p>
          <w:p w14:paraId="2BD949D7">
            <w:pPr>
              <w:pStyle w:val="37"/>
            </w:pPr>
            <w:r>
              <w:t>12、</w:t>
            </w:r>
            <w:r>
              <w:rPr>
                <w:rFonts w:hint="eastAsia"/>
              </w:rPr>
              <w:t>(</w:t>
            </w:r>
            <w:r>
              <w:t>KX12)峨边八月</w:t>
            </w:r>
            <w:r>
              <w:rPr>
                <w:rFonts w:hint="eastAsia"/>
              </w:rPr>
              <w:t>林</w:t>
            </w:r>
            <w:r>
              <w:t>自然保护区</w:t>
            </w:r>
          </w:p>
          <w:p w14:paraId="469EFE0A">
            <w:pPr>
              <w:pStyle w:val="37"/>
            </w:pPr>
            <w:r>
              <w:t>13、</w:t>
            </w:r>
            <w:r>
              <w:rPr>
                <w:rFonts w:hint="eastAsia"/>
              </w:rPr>
              <w:t>(K</w:t>
            </w:r>
            <w:r>
              <w:t>X13)沐川芹菜</w:t>
            </w:r>
            <w:r>
              <w:rPr>
                <w:rFonts w:hint="eastAsia"/>
              </w:rPr>
              <w:t>坪</w:t>
            </w:r>
            <w:r>
              <w:t>自然保护区</w:t>
            </w:r>
          </w:p>
          <w:p w14:paraId="678E3158">
            <w:pPr>
              <w:pStyle w:val="37"/>
            </w:pPr>
            <w:r>
              <w:t>14、</w:t>
            </w:r>
            <w:r>
              <w:rPr>
                <w:rFonts w:hint="eastAsia"/>
              </w:rPr>
              <w:t>(K</w:t>
            </w:r>
            <w:r>
              <w:t>X14)</w:t>
            </w:r>
            <w:r>
              <w:rPr>
                <w:rFonts w:hint="eastAsia"/>
              </w:rPr>
              <w:t>金口</w:t>
            </w:r>
            <w:r>
              <w:t>河</w:t>
            </w:r>
            <w:r>
              <w:rPr>
                <w:rFonts w:hint="eastAsia"/>
              </w:rPr>
              <w:t>大渡</w:t>
            </w:r>
            <w:r>
              <w:t>河峡谷自然保护区</w:t>
            </w:r>
          </w:p>
          <w:p w14:paraId="128CECD7">
            <w:pPr>
              <w:pStyle w:val="37"/>
              <w:rPr>
                <w:rFonts w:ascii="仿宋" w:hAnsi="仿宋"/>
                <w:szCs w:val="32"/>
              </w:rPr>
            </w:pPr>
            <w:r>
              <w:t>15、</w:t>
            </w:r>
            <w:r>
              <w:rPr>
                <w:rFonts w:hint="eastAsia"/>
              </w:rPr>
              <w:t>(K</w:t>
            </w:r>
            <w:r>
              <w:t>X15)犍为</w:t>
            </w:r>
            <w:r>
              <w:rPr>
                <w:rFonts w:hint="eastAsia"/>
              </w:rPr>
              <w:t>桫椤湖国</w:t>
            </w:r>
            <w:r>
              <w:t>家湿地</w:t>
            </w:r>
            <w:r>
              <w:rPr>
                <w:rFonts w:hint="eastAsia"/>
              </w:rPr>
              <w:t>公园</w:t>
            </w:r>
          </w:p>
        </w:tc>
      </w:tr>
    </w:tbl>
    <w:p w14:paraId="1A19C5F6">
      <w:pPr>
        <w:ind w:firstLine="640"/>
      </w:pPr>
      <w:r>
        <w:rPr>
          <w:rFonts w:hint="eastAsia"/>
        </w:rPr>
        <w:t>限制勘查区还包括乐山市境内或途经乐山境内的成昆铁路、绵阳－</w:t>
      </w:r>
      <w:r>
        <w:t>乐山</w:t>
      </w:r>
      <w:r>
        <w:rPr>
          <w:rFonts w:hint="eastAsia"/>
        </w:rPr>
        <w:t>城际高速、环城高速、</w:t>
      </w:r>
      <w:r>
        <w:t>乐宜</w:t>
      </w:r>
      <w:r>
        <w:rPr>
          <w:rFonts w:hint="eastAsia"/>
        </w:rPr>
        <w:t>高速</w:t>
      </w:r>
      <w:r>
        <w:t>、乐</w:t>
      </w:r>
      <w:r>
        <w:rPr>
          <w:rFonts w:hint="eastAsia"/>
        </w:rPr>
        <w:t>自</w:t>
      </w:r>
      <w:r>
        <w:t>高速</w:t>
      </w:r>
      <w:r>
        <w:rPr>
          <w:rFonts w:hint="eastAsia"/>
        </w:rPr>
        <w:t>等重要交通以及岷江、大渡</w:t>
      </w:r>
      <w:r>
        <w:t>河、青衣江、</w:t>
      </w:r>
      <w:r>
        <w:rPr>
          <w:rFonts w:hint="eastAsia"/>
        </w:rPr>
        <w:t>各大水库、电站等重要水利、水电、重要供水、供电、供气、供油管道设施两侧、重要桥梁以及重大工程、城镇规划区、重要军事设施、机场、港口、学校、医院建设区外墙周边500—1000米范围。</w:t>
      </w:r>
    </w:p>
    <w:p w14:paraId="305E9828">
      <w:pPr>
        <w:ind w:firstLine="640"/>
      </w:pPr>
      <w:r>
        <w:rPr>
          <w:rFonts w:hint="eastAsia"/>
        </w:rPr>
        <w:t>限制</w:t>
      </w:r>
      <w:r>
        <w:t>勘查</w:t>
      </w:r>
      <w:r>
        <w:rPr>
          <w:rFonts w:hint="eastAsia"/>
        </w:rPr>
        <w:t>区内原则上不再进行商业性勘查开采活动，但在不影响禁止区主体功能，并征得相关管理部门同意的情况下，可以进行地热、矿泉水等清洁能源矿产资源的勘查开发。由于</w:t>
      </w:r>
      <w:r>
        <w:t>历史原因</w:t>
      </w:r>
      <w:r>
        <w:rPr>
          <w:rFonts w:hint="eastAsia"/>
        </w:rPr>
        <w:t>已有的探、采矿权按照差别化对待政策，根据情况续存或退出。</w:t>
      </w:r>
    </w:p>
    <w:p w14:paraId="1C0936F2">
      <w:pPr>
        <w:pStyle w:val="3"/>
        <w:ind w:firstLine="723"/>
      </w:pPr>
      <w:bookmarkStart w:id="22" w:name="_Toc482798165"/>
      <w:r>
        <w:rPr>
          <w:rFonts w:hint="eastAsia"/>
        </w:rPr>
        <w:t>矿产资源产业重点发展区域</w:t>
      </w:r>
      <w:bookmarkEnd w:id="22"/>
    </w:p>
    <w:p w14:paraId="3570C67E">
      <w:pPr>
        <w:ind w:firstLine="640"/>
      </w:pPr>
      <w:r>
        <w:rPr>
          <w:rFonts w:hint="eastAsia"/>
        </w:rPr>
        <w:t>充分发挥矿产资源特色和优势，加强矿产资源开发利用的区域统筹、优势互补和协作互助，</w:t>
      </w:r>
      <w:r>
        <w:t>明确</w:t>
      </w:r>
      <w:r>
        <w:rPr>
          <w:rFonts w:hint="eastAsia"/>
        </w:rPr>
        <w:t>勘查</w:t>
      </w:r>
      <w:r>
        <w:t>开发方向，控制</w:t>
      </w:r>
      <w:r>
        <w:rPr>
          <w:rFonts w:hint="eastAsia"/>
        </w:rPr>
        <w:t>勘查</w:t>
      </w:r>
      <w:r>
        <w:t>开发强度，规范</w:t>
      </w:r>
      <w:r>
        <w:rPr>
          <w:rFonts w:hint="eastAsia"/>
        </w:rPr>
        <w:t>勘查</w:t>
      </w:r>
      <w:r>
        <w:t>开发秩序</w:t>
      </w:r>
      <w:r>
        <w:rPr>
          <w:rFonts w:hint="eastAsia"/>
        </w:rPr>
        <w:t>，形成与区域经济发展相适应、与主体功能分区相协调的勘查开发区域布局。</w:t>
      </w:r>
    </w:p>
    <w:p w14:paraId="66FC1E74">
      <w:pPr>
        <w:pStyle w:val="4"/>
        <w:ind w:firstLine="643"/>
      </w:pPr>
      <w:bookmarkStart w:id="23" w:name="_Toc479584494"/>
      <w:bookmarkStart w:id="24" w:name="_Toc482798166"/>
      <w:r>
        <w:rPr>
          <w:rFonts w:hint="eastAsia"/>
        </w:rPr>
        <w:t>规划</w:t>
      </w:r>
      <w:r>
        <w:t>重点开发区</w:t>
      </w:r>
      <w:r>
        <w:rPr>
          <w:rFonts w:hint="eastAsia"/>
        </w:rPr>
        <w:t>和</w:t>
      </w:r>
      <w:r>
        <w:t>重点工程</w:t>
      </w:r>
      <w:bookmarkEnd w:id="23"/>
      <w:bookmarkEnd w:id="24"/>
    </w:p>
    <w:p w14:paraId="7296C065">
      <w:pPr>
        <w:ind w:firstLine="640"/>
      </w:pPr>
      <w:r>
        <w:rPr>
          <w:rFonts w:hint="eastAsia"/>
        </w:rPr>
        <w:t>稳定我市已有的磷</w:t>
      </w:r>
      <w:r>
        <w:t>、</w:t>
      </w:r>
      <w:r>
        <w:rPr>
          <w:rFonts w:hint="eastAsia"/>
        </w:rPr>
        <w:t>盐卤生产，保障以和邦集团和福华集团为主的磷</w:t>
      </w:r>
      <w:r>
        <w:t>化工和</w:t>
      </w:r>
      <w:r>
        <w:rPr>
          <w:rFonts w:hint="eastAsia"/>
        </w:rPr>
        <w:t>盐化工所需的原料供应，开发生产适销对路的精细磷盐化工产品。稳定夹</w:t>
      </w:r>
      <w:r>
        <w:t>江建筑陶瓷生产</w:t>
      </w:r>
      <w:r>
        <w:rPr>
          <w:rFonts w:hint="eastAsia"/>
        </w:rPr>
        <w:t>基地</w:t>
      </w:r>
      <w:r>
        <w:t>的原料供应，</w:t>
      </w:r>
      <w:r>
        <w:rPr>
          <w:rFonts w:hint="eastAsia"/>
        </w:rPr>
        <w:t>加</w:t>
      </w:r>
      <w:r>
        <w:t>大</w:t>
      </w:r>
      <w:r>
        <w:rPr>
          <w:rFonts w:hint="eastAsia"/>
        </w:rPr>
        <w:t>有</w:t>
      </w:r>
      <w:r>
        <w:t>色金属矿产资源的勘查和开发。</w:t>
      </w:r>
      <w:r>
        <w:rPr>
          <w:rFonts w:hint="eastAsia"/>
        </w:rPr>
        <w:t>详见</w:t>
      </w:r>
      <w:r>
        <w:t>专栏4。</w:t>
      </w:r>
    </w:p>
    <w:p w14:paraId="40B7BF1C">
      <w:pPr>
        <w:pStyle w:val="34"/>
        <w:spacing w:before="120"/>
      </w:pPr>
      <w:r>
        <w:rPr>
          <w:rFonts w:hint="eastAsia"/>
        </w:rPr>
        <w:t>专栏4</w:t>
      </w:r>
      <w:r>
        <w:t>　</w:t>
      </w:r>
      <w:r>
        <w:rPr>
          <w:rFonts w:hint="eastAsia"/>
        </w:rPr>
        <w:t>乐</w:t>
      </w:r>
      <w:r>
        <w:t>山市</w:t>
      </w:r>
      <w:r>
        <w:rPr>
          <w:rFonts w:hint="eastAsia"/>
        </w:rPr>
        <w:t>规划重</w:t>
      </w:r>
      <w:r>
        <w:t>点开发</w:t>
      </w:r>
      <w:r>
        <w:rPr>
          <w:rFonts w:hint="eastAsia"/>
        </w:rPr>
        <w:t>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1459A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4" w:type="dxa"/>
            <w:shd w:val="clear" w:color="auto" w:fill="auto"/>
          </w:tcPr>
          <w:p w14:paraId="19804133">
            <w:pPr>
              <w:pStyle w:val="37"/>
            </w:pPr>
            <w:r>
              <w:rPr>
                <w:rFonts w:hint="eastAsia"/>
              </w:rPr>
              <w:t>1</w:t>
            </w:r>
            <w:r>
              <w:t>、</w:t>
            </w:r>
            <w:r>
              <w:rPr>
                <w:rFonts w:hint="eastAsia"/>
              </w:rPr>
              <w:t>国家</w:t>
            </w:r>
            <w:r>
              <w:t>级德阳－马边－</w:t>
            </w:r>
            <w:r>
              <w:rPr>
                <w:rFonts w:hint="eastAsia"/>
              </w:rPr>
              <w:t>雷</w:t>
            </w:r>
            <w:r>
              <w:t>波磷矿</w:t>
            </w:r>
            <w:r>
              <w:rPr>
                <w:rFonts w:hint="eastAsia"/>
              </w:rPr>
              <w:t>规划</w:t>
            </w:r>
            <w:r>
              <w:t>矿区</w:t>
            </w:r>
            <w:r>
              <w:rPr>
                <w:rFonts w:hint="eastAsia"/>
              </w:rPr>
              <w:t>Z</w:t>
            </w:r>
            <w:r>
              <w:t>KS007</w:t>
            </w:r>
            <w:r>
              <w:rPr>
                <w:rFonts w:hint="eastAsia"/>
              </w:rPr>
              <w:t>(乐</w:t>
            </w:r>
            <w:r>
              <w:t>山</w:t>
            </w:r>
            <w:r>
              <w:rPr>
                <w:rFonts w:hint="eastAsia"/>
              </w:rPr>
              <w:t>部</w:t>
            </w:r>
            <w:r>
              <w:t>份</w:t>
            </w:r>
            <w:r>
              <w:rPr>
                <w:rFonts w:hint="eastAsia"/>
              </w:rPr>
              <w:t>，含乐</w:t>
            </w:r>
            <w:r>
              <w:t>山境内的马边磷矿区、峨</w:t>
            </w:r>
            <w:r>
              <w:rPr>
                <w:rFonts w:hint="eastAsia"/>
              </w:rPr>
              <w:t>边</w:t>
            </w:r>
            <w:r>
              <w:t>磷矿区和金口河磷矿区)</w:t>
            </w:r>
          </w:p>
          <w:p w14:paraId="0FABB4D2">
            <w:pPr>
              <w:pStyle w:val="37"/>
            </w:pPr>
            <w:r>
              <w:t>2、</w:t>
            </w:r>
            <w:r>
              <w:rPr>
                <w:rFonts w:hint="eastAsia"/>
              </w:rPr>
              <w:t>省</w:t>
            </w:r>
            <w:r>
              <w:t>级</w:t>
            </w:r>
            <w:r>
              <w:rPr>
                <w:rFonts w:hint="eastAsia"/>
              </w:rPr>
              <w:t>威西</w:t>
            </w:r>
            <w:r>
              <w:t>盐矿限制开采区</w:t>
            </w:r>
            <w:r>
              <w:rPr>
                <w:rFonts w:hint="eastAsia"/>
              </w:rPr>
              <w:t>C</w:t>
            </w:r>
            <w:r>
              <w:t>X009(</w:t>
            </w:r>
            <w:r>
              <w:rPr>
                <w:rFonts w:hint="eastAsia"/>
              </w:rPr>
              <w:t>乐</w:t>
            </w:r>
            <w:r>
              <w:t>山部</w:t>
            </w:r>
            <w:bookmarkStart w:id="246" w:name="_GoBack"/>
            <w:bookmarkEnd w:id="246"/>
            <w:r>
              <w:t>份)(</w:t>
            </w:r>
            <w:r>
              <w:rPr>
                <w:rFonts w:hint="eastAsia"/>
              </w:rPr>
              <w:t>KF009</w:t>
            </w:r>
            <w:r>
              <w:t>)</w:t>
            </w:r>
          </w:p>
          <w:p w14:paraId="1E99D2D9">
            <w:pPr>
              <w:pStyle w:val="37"/>
            </w:pPr>
            <w:r>
              <w:rPr>
                <w:rFonts w:hint="eastAsia"/>
              </w:rPr>
              <w:t>稳定我市已有的盐卤生产，保障以和邦集团和福华集团为主的盐化工所需的盐卤开采，开发生产适销对路的精细盐化工产品。</w:t>
            </w:r>
          </w:p>
          <w:p w14:paraId="43936CA4">
            <w:pPr>
              <w:pStyle w:val="37"/>
            </w:pPr>
            <w:r>
              <w:rPr>
                <w:rFonts w:hint="eastAsia"/>
              </w:rPr>
              <w:t>省</w:t>
            </w:r>
            <w:r>
              <w:t>级</w:t>
            </w:r>
            <w:r>
              <w:rPr>
                <w:rFonts w:hint="eastAsia"/>
              </w:rPr>
              <w:t>川</w:t>
            </w:r>
            <w:r>
              <w:t>南</w:t>
            </w:r>
            <w:r>
              <w:rPr>
                <w:rFonts w:hint="eastAsia"/>
              </w:rPr>
              <w:t>页岩</w:t>
            </w:r>
            <w:r>
              <w:t>气</w:t>
            </w:r>
            <w:r>
              <w:rPr>
                <w:rFonts w:hint="eastAsia"/>
              </w:rPr>
              <w:t>产</w:t>
            </w:r>
            <w:r>
              <w:t>业</w:t>
            </w:r>
            <w:r>
              <w:rPr>
                <w:rFonts w:hint="eastAsia"/>
              </w:rPr>
              <w:t>基地</w:t>
            </w:r>
            <w:r>
              <w:t>K</w:t>
            </w:r>
            <w:r>
              <w:rPr>
                <w:rFonts w:hint="eastAsia"/>
              </w:rPr>
              <w:t>F</w:t>
            </w:r>
            <w:r>
              <w:t>003(</w:t>
            </w:r>
            <w:r>
              <w:rPr>
                <w:rFonts w:hint="eastAsia"/>
              </w:rPr>
              <w:t>乐</w:t>
            </w:r>
            <w:r>
              <w:t>山部</w:t>
            </w:r>
            <w:r>
              <w:rPr>
                <w:rFonts w:hint="eastAsia"/>
              </w:rPr>
              <w:t>份</w:t>
            </w:r>
            <w:r>
              <w:t>)</w:t>
            </w:r>
          </w:p>
          <w:p w14:paraId="6D323D7F">
            <w:pPr>
              <w:pStyle w:val="37"/>
            </w:pPr>
            <w:r>
              <w:rPr>
                <w:rFonts w:hint="eastAsia"/>
              </w:rPr>
              <w:t>4</w:t>
            </w:r>
            <w:r>
              <w:t>、</w:t>
            </w:r>
            <w:r>
              <w:rPr>
                <w:rFonts w:hint="eastAsia"/>
              </w:rPr>
              <w:t>省</w:t>
            </w:r>
            <w:r>
              <w:t>级马边</w:t>
            </w:r>
            <w:r>
              <w:rPr>
                <w:rFonts w:hint="eastAsia"/>
              </w:rPr>
              <w:t>-</w:t>
            </w:r>
            <w:r>
              <w:t>雷波磷矿基地KF008</w:t>
            </w:r>
            <w:r>
              <w:rPr>
                <w:rFonts w:hint="eastAsia"/>
              </w:rPr>
              <w:t>(乐</w:t>
            </w:r>
            <w:r>
              <w:t>山</w:t>
            </w:r>
            <w:r>
              <w:rPr>
                <w:rFonts w:hint="eastAsia"/>
              </w:rPr>
              <w:t>部份)</w:t>
            </w:r>
          </w:p>
          <w:p w14:paraId="5E94EA2C">
            <w:pPr>
              <w:pStyle w:val="37"/>
            </w:pPr>
            <w:r>
              <w:rPr>
                <w:rFonts w:hint="eastAsia"/>
              </w:rPr>
              <w:t>5</w:t>
            </w:r>
            <w:r>
              <w:t>、</w:t>
            </w:r>
            <w:r>
              <w:rPr>
                <w:rFonts w:hint="eastAsia"/>
              </w:rPr>
              <w:t>马</w:t>
            </w:r>
            <w:r>
              <w:t>边老河</w:t>
            </w:r>
            <w:r>
              <w:rPr>
                <w:rFonts w:hint="eastAsia"/>
              </w:rPr>
              <w:t>坝</w:t>
            </w:r>
            <w:r>
              <w:t>磷矿</w:t>
            </w:r>
            <w:r>
              <w:rPr>
                <w:rFonts w:hint="eastAsia"/>
              </w:rPr>
              <w:t>重</w:t>
            </w:r>
            <w:r>
              <w:t>点矿区ZK001</w:t>
            </w:r>
          </w:p>
          <w:p w14:paraId="2739C397">
            <w:pPr>
              <w:pStyle w:val="37"/>
            </w:pPr>
            <w:r>
              <w:rPr>
                <w:rFonts w:hint="eastAsia"/>
              </w:rPr>
              <w:t>重点加强马边老河坝现有矿山改造，稳定磷矿开采能力，按照“精细磷产品为主、优质磷复肥配套”的发展思路，努力壮大磷化工主导产业，全力打造磷化工产业集约发展的载体和平台。杜绝采富弃贫的现象，通过科技进步和技术创新提高对磷矿资源的综合利用水平。</w:t>
            </w:r>
          </w:p>
          <w:p w14:paraId="4200509F">
            <w:pPr>
              <w:pStyle w:val="37"/>
            </w:pPr>
            <w:r>
              <w:rPr>
                <w:rFonts w:hint="eastAsia"/>
              </w:rPr>
              <w:t>6、峨</w:t>
            </w:r>
            <w:r>
              <w:t>边平</w:t>
            </w:r>
            <w:r>
              <w:rPr>
                <w:rFonts w:hint="eastAsia"/>
              </w:rPr>
              <w:t>等</w:t>
            </w:r>
            <w:r>
              <w:t>磷矿</w:t>
            </w:r>
            <w:r>
              <w:rPr>
                <w:rFonts w:hint="eastAsia"/>
              </w:rPr>
              <w:t>基地</w:t>
            </w:r>
            <w:r>
              <w:t>KF001</w:t>
            </w:r>
          </w:p>
          <w:p w14:paraId="6F0551E9">
            <w:pPr>
              <w:pStyle w:val="37"/>
            </w:pPr>
            <w:r>
              <w:rPr>
                <w:rFonts w:hint="eastAsia"/>
              </w:rPr>
              <w:t>加</w:t>
            </w:r>
            <w:r>
              <w:t>大</w:t>
            </w:r>
            <w:r>
              <w:rPr>
                <w:rFonts w:hint="eastAsia"/>
              </w:rPr>
              <w:t>勘查</w:t>
            </w:r>
            <w:r>
              <w:t>投入，稳定现有</w:t>
            </w:r>
            <w:r>
              <w:rPr>
                <w:rFonts w:hint="eastAsia"/>
              </w:rPr>
              <w:t>矿</w:t>
            </w:r>
            <w:r>
              <w:t>山生产，提高采选能力，并</w:t>
            </w:r>
            <w:r>
              <w:rPr>
                <w:rFonts w:hint="eastAsia"/>
              </w:rPr>
              <w:t>积</w:t>
            </w:r>
            <w:r>
              <w:t>极实</w:t>
            </w:r>
            <w:r>
              <w:rPr>
                <w:rFonts w:hint="eastAsia"/>
              </w:rPr>
              <w:t>现</w:t>
            </w:r>
            <w:r>
              <w:t>就地深</w:t>
            </w:r>
            <w:r>
              <w:rPr>
                <w:rFonts w:hint="eastAsia"/>
              </w:rPr>
              <w:t>加工</w:t>
            </w:r>
            <w:r>
              <w:t>，扩大产业链。</w:t>
            </w:r>
          </w:p>
          <w:p w14:paraId="06B3DE4F">
            <w:pPr>
              <w:pStyle w:val="37"/>
            </w:pPr>
            <w:r>
              <w:rPr>
                <w:rFonts w:hint="eastAsia"/>
              </w:rPr>
              <w:t>7、夹</w:t>
            </w:r>
            <w:r>
              <w:t>江中兴建陶</w:t>
            </w:r>
            <w:r>
              <w:rPr>
                <w:rFonts w:hint="eastAsia"/>
              </w:rPr>
              <w:t>原料基地</w:t>
            </w:r>
            <w:r>
              <w:t>(</w:t>
            </w:r>
            <w:r>
              <w:rPr>
                <w:rFonts w:hint="eastAsia"/>
              </w:rPr>
              <w:t>KF004</w:t>
            </w:r>
            <w:r>
              <w:t>)</w:t>
            </w:r>
          </w:p>
          <w:p w14:paraId="2DFC478D">
            <w:pPr>
              <w:pStyle w:val="37"/>
            </w:pPr>
            <w:r>
              <w:rPr>
                <w:rFonts w:hint="eastAsia"/>
              </w:rPr>
              <w:t>8、犍</w:t>
            </w:r>
            <w:r>
              <w:t>为罗</w:t>
            </w:r>
            <w:r>
              <w:rPr>
                <w:rFonts w:hint="eastAsia"/>
              </w:rPr>
              <w:t>城</w:t>
            </w:r>
            <w:r>
              <w:t>－沐</w:t>
            </w:r>
            <w:r>
              <w:rPr>
                <w:rFonts w:hint="eastAsia"/>
              </w:rPr>
              <w:t>川煤炭基地(KF007</w:t>
            </w:r>
            <w:r>
              <w:t>)</w:t>
            </w:r>
          </w:p>
          <w:p w14:paraId="6DA91292">
            <w:pPr>
              <w:pStyle w:val="37"/>
            </w:pPr>
            <w:r>
              <w:rPr>
                <w:rFonts w:hint="eastAsia"/>
              </w:rPr>
              <w:t>9、沙</w:t>
            </w:r>
            <w:r>
              <w:t>湾</w:t>
            </w:r>
            <w:r>
              <w:rPr>
                <w:rFonts w:hint="eastAsia"/>
              </w:rPr>
              <w:t>牛石</w:t>
            </w:r>
            <w:r>
              <w:t>－峨边平</w:t>
            </w:r>
            <w:r>
              <w:rPr>
                <w:rFonts w:hint="eastAsia"/>
              </w:rPr>
              <w:t>等</w:t>
            </w:r>
            <w:r>
              <w:t>有色金属</w:t>
            </w:r>
            <w:r>
              <w:rPr>
                <w:rFonts w:hint="eastAsia"/>
              </w:rPr>
              <w:t>基地</w:t>
            </w:r>
            <w:r>
              <w:t>(</w:t>
            </w:r>
            <w:r>
              <w:rPr>
                <w:rFonts w:hint="eastAsia"/>
              </w:rPr>
              <w:t>KF006</w:t>
            </w:r>
            <w:r>
              <w:t>)</w:t>
            </w:r>
          </w:p>
          <w:p w14:paraId="1709A301">
            <w:pPr>
              <w:pStyle w:val="37"/>
            </w:pPr>
            <w:r>
              <w:rPr>
                <w:rFonts w:hint="eastAsia"/>
              </w:rPr>
              <w:t>10、沐川</w:t>
            </w:r>
            <w:r>
              <w:t>喻家</w:t>
            </w:r>
            <w:r>
              <w:rPr>
                <w:rFonts w:hint="eastAsia"/>
              </w:rPr>
              <w:t>坪</w:t>
            </w:r>
            <w:r>
              <w:t>－</w:t>
            </w:r>
            <w:r>
              <w:rPr>
                <w:rFonts w:hint="eastAsia"/>
              </w:rPr>
              <w:t>周</w:t>
            </w:r>
            <w:r>
              <w:t>沟铜多</w:t>
            </w:r>
            <w:r>
              <w:rPr>
                <w:rFonts w:hint="eastAsia"/>
              </w:rPr>
              <w:t>金属基地</w:t>
            </w:r>
            <w:r>
              <w:t>(</w:t>
            </w:r>
            <w:r>
              <w:rPr>
                <w:rFonts w:hint="eastAsia"/>
              </w:rPr>
              <w:t>KF005</w:t>
            </w:r>
            <w:r>
              <w:t>)</w:t>
            </w:r>
          </w:p>
          <w:p w14:paraId="0754FA14">
            <w:pPr>
              <w:pStyle w:val="37"/>
            </w:pPr>
            <w:r>
              <w:rPr>
                <w:rFonts w:hint="eastAsia"/>
              </w:rPr>
              <w:t>11、峨</w:t>
            </w:r>
            <w:r>
              <w:t>边</w:t>
            </w:r>
            <w:r>
              <w:rPr>
                <w:rFonts w:hint="eastAsia"/>
              </w:rPr>
              <w:t>五</w:t>
            </w:r>
            <w:r>
              <w:t>渡长</w:t>
            </w:r>
            <w:r>
              <w:rPr>
                <w:rFonts w:hint="eastAsia"/>
              </w:rPr>
              <w:t>石矿基地</w:t>
            </w:r>
            <w:r>
              <w:t>(</w:t>
            </w:r>
            <w:r>
              <w:rPr>
                <w:rFonts w:hint="eastAsia"/>
              </w:rPr>
              <w:t>KF003</w:t>
            </w:r>
            <w:r>
              <w:t>)</w:t>
            </w:r>
          </w:p>
        </w:tc>
      </w:tr>
    </w:tbl>
    <w:p w14:paraId="7907F51E">
      <w:pPr>
        <w:pStyle w:val="4"/>
        <w:ind w:firstLine="643"/>
      </w:pPr>
      <w:bookmarkStart w:id="25" w:name="_Toc479584495"/>
      <w:bookmarkStart w:id="26" w:name="_Toc482798167"/>
      <w:r>
        <w:rPr>
          <w:rFonts w:hint="eastAsia"/>
        </w:rPr>
        <w:t>勘查开</w:t>
      </w:r>
      <w:r>
        <w:t>发</w:t>
      </w:r>
      <w:r>
        <w:rPr>
          <w:rFonts w:hint="eastAsia"/>
        </w:rPr>
        <w:t>规划区划分</w:t>
      </w:r>
      <w:bookmarkEnd w:id="25"/>
      <w:bookmarkEnd w:id="26"/>
    </w:p>
    <w:p w14:paraId="1DEA58C3">
      <w:pPr>
        <w:pStyle w:val="5"/>
        <w:ind w:firstLine="643"/>
      </w:pPr>
      <w:r>
        <w:rPr>
          <w:rFonts w:hint="eastAsia"/>
        </w:rPr>
        <w:t>勘查规划区</w:t>
      </w:r>
      <w:r>
        <w:t>划分</w:t>
      </w:r>
    </w:p>
    <w:p w14:paraId="15FCF69C">
      <w:pPr>
        <w:ind w:firstLine="640"/>
      </w:pPr>
      <w:r>
        <w:rPr>
          <w:rFonts w:hint="eastAsia"/>
        </w:rPr>
        <w:t>充分考虑已知勘查信息、勘查程度、自然地理条件、已设矿业权的影响和规划布局要求的基础上，划定勘查开</w:t>
      </w:r>
      <w:r>
        <w:t>发</w:t>
      </w:r>
      <w:r>
        <w:rPr>
          <w:rFonts w:hint="eastAsia"/>
        </w:rPr>
        <w:t>规划区块，对拟设置探矿权的勘查范围、勘查矿种、勘查级别(预查、普查、详查、勘探等)、主体资质、出让方式、出让时间、转让方式以及查明矿产地的开发方式、储备方式等准入条件提出规划建议。</w:t>
      </w:r>
    </w:p>
    <w:p w14:paraId="33864D8E">
      <w:pPr>
        <w:ind w:firstLine="640"/>
      </w:pPr>
      <w:r>
        <w:rPr>
          <w:rFonts w:hint="eastAsia"/>
        </w:rPr>
        <w:t>规划区划分要有利于科学合理地勘查、开采和保护矿产资源。重点找矿靶区、大型矿山外围及深部地区勘查规划区块划分要坚持整体勘查的原则，新划定的勘查规划区块勘查程度不得低于原有工作程度。在对国民经济发展中紧缺矿种的找矿前景区和具有矿产资源潜力的老少边穷地区，优先考虑划分勘查规划区块。鼓励探采一体化、为采而探，避免盲目勘查形成呆矿。</w:t>
      </w:r>
    </w:p>
    <w:p w14:paraId="6595F047">
      <w:pPr>
        <w:ind w:firstLine="640"/>
      </w:pPr>
      <w:r>
        <w:rPr>
          <w:rFonts w:hint="eastAsia"/>
        </w:rPr>
        <w:t>全市范围内划分勘查规划区</w:t>
      </w:r>
      <w:r>
        <w:t>9</w:t>
      </w:r>
      <w:r>
        <w:rPr>
          <w:rFonts w:hint="eastAsia"/>
        </w:rPr>
        <w:t>个，其中：空白区新设勘查规划区</w:t>
      </w:r>
      <w:r>
        <w:t>6</w:t>
      </w:r>
      <w:r>
        <w:rPr>
          <w:rFonts w:hint="eastAsia"/>
        </w:rPr>
        <w:t>个，保留原有省</w:t>
      </w:r>
      <w:r>
        <w:t>级</w:t>
      </w:r>
      <w:r>
        <w:rPr>
          <w:rFonts w:hint="eastAsia"/>
        </w:rPr>
        <w:t>勘查规划区</w:t>
      </w:r>
      <w:r>
        <w:t>2</w:t>
      </w:r>
      <w:r>
        <w:rPr>
          <w:rFonts w:hint="eastAsia"/>
        </w:rPr>
        <w:t>个，新</w:t>
      </w:r>
      <w:r>
        <w:t>增省级勘查规划区1个</w:t>
      </w:r>
      <w:r>
        <w:rPr>
          <w:rFonts w:hint="eastAsia"/>
        </w:rPr>
        <w:t>(其中</w:t>
      </w:r>
      <w:r>
        <w:t>攀</w:t>
      </w:r>
      <w:r>
        <w:rPr>
          <w:rFonts w:hint="eastAsia"/>
        </w:rPr>
        <w:t>西</w:t>
      </w:r>
      <w:r>
        <w:t>重点</w:t>
      </w:r>
      <w:r>
        <w:rPr>
          <w:rFonts w:hint="eastAsia"/>
        </w:rPr>
        <w:t>调查</w:t>
      </w:r>
      <w:r>
        <w:t>评价区与勘查区范围相同</w:t>
      </w:r>
      <w:r>
        <w:rPr>
          <w:rFonts w:hint="eastAsia"/>
        </w:rPr>
        <w:t>，</w:t>
      </w:r>
      <w:r>
        <w:t>马边-</w:t>
      </w:r>
      <w:r>
        <w:rPr>
          <w:rFonts w:hint="eastAsia"/>
        </w:rPr>
        <w:t>雷</w:t>
      </w:r>
      <w:r>
        <w:t>波</w:t>
      </w:r>
      <w:r>
        <w:rPr>
          <w:rFonts w:hint="eastAsia"/>
        </w:rPr>
        <w:t>磷</w:t>
      </w:r>
      <w:r>
        <w:t>矿重点勘查区与德阳-马边-雷波磷矿重点勘查区大部重叠)</w:t>
      </w:r>
      <w:r>
        <w:rPr>
          <w:rFonts w:hint="eastAsia"/>
        </w:rPr>
        <w:t>。勘查的主要矿种为地热、磷矿、铜矿、铅锌</w:t>
      </w:r>
      <w:r>
        <w:t>矿、</w:t>
      </w:r>
      <w:r>
        <w:rPr>
          <w:rFonts w:hint="eastAsia"/>
        </w:rPr>
        <w:t>水泥用灰岩、石膏</w:t>
      </w:r>
      <w:r>
        <w:t>矿、</w:t>
      </w:r>
      <w:r>
        <w:rPr>
          <w:rFonts w:hint="eastAsia"/>
        </w:rPr>
        <w:t>盐矿、</w:t>
      </w:r>
      <w:r>
        <w:t>煤矿</w:t>
      </w:r>
      <w:r>
        <w:rPr>
          <w:rFonts w:hint="eastAsia"/>
        </w:rPr>
        <w:t>、</w:t>
      </w:r>
      <w:r>
        <w:t>陶瓷用粘</w:t>
      </w:r>
      <w:r>
        <w:rPr>
          <w:rFonts w:hint="eastAsia"/>
        </w:rPr>
        <w:t>土</w:t>
      </w:r>
      <w:r>
        <w:t>矿</w:t>
      </w:r>
      <w:r>
        <w:rPr>
          <w:rFonts w:hint="eastAsia"/>
        </w:rPr>
        <w:t>等。</w:t>
      </w:r>
    </w:p>
    <w:p w14:paraId="40778FA5">
      <w:pPr>
        <w:ind w:firstLine="640"/>
      </w:pPr>
      <w:r>
        <w:rPr>
          <w:rFonts w:hint="eastAsia"/>
        </w:rPr>
        <w:t>全市范围内共划分勘查区块137个，其中保留77个,调整4个,空白区新设56个。勘查的主要矿种有：磷、煤、铅、锌、铜、锰、铼、硫铁矿、长石、石膏、方解石、石灰岩、砂岩、水泥配料用砂岩、陶瓷土、伊利石粘土、优质玄武岩、地热等。</w:t>
      </w:r>
    </w:p>
    <w:p w14:paraId="4DDCD43B">
      <w:pPr>
        <w:ind w:firstLine="640"/>
      </w:pPr>
      <w:r>
        <w:rPr>
          <w:rFonts w:hint="eastAsia"/>
        </w:rPr>
        <w:t>详见</w:t>
      </w:r>
      <w:r>
        <w:t>专栏5。</w:t>
      </w:r>
    </w:p>
    <w:p w14:paraId="2E768D3C">
      <w:pPr>
        <w:pStyle w:val="34"/>
        <w:spacing w:before="120"/>
      </w:pPr>
      <w:r>
        <w:rPr>
          <w:rFonts w:hint="eastAsia"/>
        </w:rPr>
        <w:t>专栏</w:t>
      </w:r>
      <w:r>
        <w:t>5　乐山市勘查规划</w:t>
      </w:r>
      <w:r>
        <w:rPr>
          <w:rFonts w:hint="eastAsia"/>
        </w:rPr>
        <w:t>分区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20E3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8" w:type="dxa"/>
            <w:shd w:val="clear" w:color="auto" w:fill="auto"/>
          </w:tcPr>
          <w:p w14:paraId="0B997B7C">
            <w:pPr>
              <w:pStyle w:val="37"/>
            </w:pPr>
            <w:r>
              <w:rPr>
                <w:rFonts w:hint="eastAsia"/>
              </w:rPr>
              <w:t>1、省级</w:t>
            </w:r>
            <w:r>
              <w:t>规划</w:t>
            </w:r>
            <w:r>
              <w:rPr>
                <w:rFonts w:hint="eastAsia"/>
              </w:rPr>
              <w:t>(Ⅲ</w:t>
            </w:r>
            <w:r>
              <w:t>)</w:t>
            </w:r>
            <w:r>
              <w:rPr>
                <w:rFonts w:hint="eastAsia"/>
              </w:rPr>
              <w:t>攀西重点勘查区暨攀西重点调查评价区(乐山部份)</w:t>
            </w:r>
          </w:p>
          <w:p w14:paraId="2DABA5BF">
            <w:pPr>
              <w:pStyle w:val="37"/>
            </w:pPr>
            <w:r>
              <w:rPr>
                <w:rFonts w:hint="eastAsia"/>
              </w:rPr>
              <w:t>2、省</w:t>
            </w:r>
            <w:r>
              <w:t>级规划</w:t>
            </w:r>
            <w:r>
              <w:rPr>
                <w:rFonts w:hint="eastAsia"/>
              </w:rPr>
              <w:t>(K</w:t>
            </w:r>
            <w:r>
              <w:t>Z006)</w:t>
            </w:r>
            <w:r>
              <w:rPr>
                <w:rFonts w:hint="eastAsia"/>
              </w:rPr>
              <w:t>马边－雷波磷矿重点勘查区(乐山部份)</w:t>
            </w:r>
          </w:p>
          <w:p w14:paraId="421A1EBD">
            <w:pPr>
              <w:pStyle w:val="37"/>
            </w:pPr>
            <w:r>
              <w:rPr>
                <w:rFonts w:hint="eastAsia"/>
              </w:rPr>
              <w:t>与德阳－马边－雷波磷矿专项勘查区大部重叠。</w:t>
            </w:r>
          </w:p>
          <w:p w14:paraId="7B63B620">
            <w:pPr>
              <w:pStyle w:val="37"/>
            </w:pPr>
            <w:r>
              <w:rPr>
                <w:rFonts w:hint="eastAsia"/>
              </w:rPr>
              <w:t>3、省</w:t>
            </w:r>
            <w:r>
              <w:t>级规划(</w:t>
            </w:r>
            <w:r>
              <w:rPr>
                <w:rFonts w:hint="eastAsia"/>
              </w:rPr>
              <w:t>Z</w:t>
            </w:r>
            <w:r>
              <w:t>K</w:t>
            </w:r>
            <w:r>
              <w:rPr>
                <w:rFonts w:hint="eastAsia"/>
              </w:rPr>
              <w:t>007</w:t>
            </w:r>
            <w:r>
              <w:t>)</w:t>
            </w:r>
            <w:r>
              <w:rPr>
                <w:rFonts w:hint="eastAsia"/>
              </w:rPr>
              <w:t>德阳－马边－雷波磷矿专项勘查区(乐山部份)</w:t>
            </w:r>
          </w:p>
          <w:p w14:paraId="443D5576">
            <w:pPr>
              <w:pStyle w:val="37"/>
            </w:pPr>
            <w:r>
              <w:rPr>
                <w:rFonts w:hint="eastAsia"/>
              </w:rPr>
              <w:t>全市</w:t>
            </w:r>
            <w:r>
              <w:t>划定6个勘查区：</w:t>
            </w:r>
          </w:p>
          <w:p w14:paraId="4F687F07">
            <w:pPr>
              <w:pStyle w:val="37"/>
            </w:pPr>
            <w:r>
              <w:t>1</w:t>
            </w:r>
            <w:r>
              <w:rPr>
                <w:rFonts w:hint="eastAsia"/>
              </w:rPr>
              <w:t>、(K</w:t>
            </w:r>
            <w:r>
              <w:t>Z01)</w:t>
            </w:r>
            <w:r>
              <w:rPr>
                <w:rFonts w:hint="eastAsia"/>
              </w:rPr>
              <w:t>夹江中兴建筑陶瓷用粘土岩资源勘查区</w:t>
            </w:r>
          </w:p>
          <w:p w14:paraId="77B0992F">
            <w:pPr>
              <w:pStyle w:val="37"/>
            </w:pPr>
            <w:r>
              <w:rPr>
                <w:rFonts w:hint="eastAsia"/>
              </w:rPr>
              <w:t>主要为夹江西部瓷都及周边范围，区内优势矿产主要为陶瓷用粘土，保障“西部瓷都”的原料供应，并为持续发展提供资源保障。</w:t>
            </w:r>
          </w:p>
          <w:p w14:paraId="32789FE7">
            <w:pPr>
              <w:pStyle w:val="37"/>
            </w:pPr>
            <w:r>
              <w:rPr>
                <w:rFonts w:hint="eastAsia"/>
              </w:rPr>
              <w:t>另有部份探矿权分布在沙湾、沐川、峨边等区县。</w:t>
            </w:r>
          </w:p>
          <w:p w14:paraId="653325A2">
            <w:pPr>
              <w:pStyle w:val="37"/>
            </w:pPr>
            <w:r>
              <w:t>2</w:t>
            </w:r>
            <w:r>
              <w:rPr>
                <w:rFonts w:hint="eastAsia"/>
              </w:rPr>
              <w:t>、(K</w:t>
            </w:r>
            <w:r>
              <w:t>Z02)</w:t>
            </w:r>
            <w:r>
              <w:rPr>
                <w:rFonts w:hint="eastAsia"/>
              </w:rPr>
              <w:t>犍为罗城至沐川永福煤炭资源勘查区</w:t>
            </w:r>
          </w:p>
          <w:p w14:paraId="0260402C">
            <w:pPr>
              <w:pStyle w:val="37"/>
            </w:pPr>
            <w:r>
              <w:rPr>
                <w:rFonts w:hint="eastAsia"/>
              </w:rPr>
              <w:t>包括犍为、沙湾、五通桥、沐川等区县，区内优势矿产有烟煤和无烟煤。稳步推进有条件的煤矿实行采煤采气综合利用一体化，合理布局煤炭勘查；推进犍为敖家－寿保新增煤炭资源区的进一步勘查和开发利用；促进五通-沫江一带的K1煤层的勘查，为将来的煤业生产作后续储备。</w:t>
            </w:r>
          </w:p>
          <w:p w14:paraId="486FCBE8">
            <w:pPr>
              <w:pStyle w:val="37"/>
            </w:pPr>
            <w:r>
              <w:t>3</w:t>
            </w:r>
            <w:r>
              <w:rPr>
                <w:rFonts w:hint="eastAsia"/>
              </w:rPr>
              <w:t>、(K</w:t>
            </w:r>
            <w:r>
              <w:t>Z03)</w:t>
            </w:r>
            <w:r>
              <w:rPr>
                <w:rFonts w:hint="eastAsia"/>
              </w:rPr>
              <w:t>沙湾牛石至峨边平等有色金属及稀有金属勘查区</w:t>
            </w:r>
          </w:p>
          <w:p w14:paraId="7EF479B2">
            <w:pPr>
              <w:pStyle w:val="37"/>
            </w:pPr>
            <w:r>
              <w:rPr>
                <w:rFonts w:hint="eastAsia"/>
              </w:rPr>
              <w:t>包括峨边、沙湾等区县，按照“点上开发，面上保护”的原则有序推进铜、铅、锌等矿产资源的勘查和开发利用。</w:t>
            </w:r>
          </w:p>
          <w:p w14:paraId="14FCB16E">
            <w:pPr>
              <w:pStyle w:val="37"/>
            </w:pPr>
            <w:r>
              <w:rPr>
                <w:rFonts w:hint="eastAsia"/>
              </w:rPr>
              <w:t>根据有关资料，在宣威组粘土岩及贫铁岩层中发现有铌、钽、钪、钛等元素的富集带，并且已有选矿实验结果表明这类矿石可选。宣威组在我市广为出露，沙湾和峨边一带埋深较浅，可以作为新增矿种的勘查靶区，并有望成为我市矿产经济新的增长点。</w:t>
            </w:r>
          </w:p>
          <w:p w14:paraId="5C7871A5">
            <w:pPr>
              <w:pStyle w:val="37"/>
            </w:pPr>
            <w:r>
              <w:t>4</w:t>
            </w:r>
            <w:r>
              <w:rPr>
                <w:rFonts w:hint="eastAsia"/>
              </w:rPr>
              <w:t>、(K</w:t>
            </w:r>
            <w:r>
              <w:t>Z04)</w:t>
            </w:r>
            <w:r>
              <w:rPr>
                <w:rFonts w:hint="eastAsia"/>
              </w:rPr>
              <w:t>沐川喻家坪至周沟铜多金属勘查区</w:t>
            </w:r>
          </w:p>
          <w:p w14:paraId="1A40D484">
            <w:pPr>
              <w:pStyle w:val="37"/>
            </w:pPr>
            <w:r>
              <w:rPr>
                <w:rFonts w:hint="eastAsia"/>
              </w:rPr>
              <w:t>该区已经形成一定规模的砂岩型铜矿中型矿山，并有正在勘探中的矿区，应加强勘探投入，有望成为我市铜矿开采加工的基地。</w:t>
            </w:r>
          </w:p>
          <w:p w14:paraId="1FD91AD6">
            <w:pPr>
              <w:pStyle w:val="37"/>
            </w:pPr>
            <w:r>
              <w:rPr>
                <w:rFonts w:hint="eastAsia"/>
              </w:rPr>
              <w:t>5</w:t>
            </w:r>
            <w:r>
              <w:t>、</w:t>
            </w:r>
            <w:r>
              <w:rPr>
                <w:rFonts w:hint="eastAsia"/>
              </w:rPr>
              <w:t>(K</w:t>
            </w:r>
            <w:r>
              <w:t>Z05)马边老河坝磷矿勘查区</w:t>
            </w:r>
          </w:p>
          <w:p w14:paraId="6FC8D3C3">
            <w:pPr>
              <w:pStyle w:val="37"/>
            </w:pPr>
            <w:r>
              <w:rPr>
                <w:rFonts w:hint="eastAsia"/>
              </w:rPr>
              <w:t>重点加强马边老</w:t>
            </w:r>
            <w:r>
              <w:t>河坝</w:t>
            </w:r>
            <w:r>
              <w:rPr>
                <w:rFonts w:hint="eastAsia"/>
              </w:rPr>
              <w:t>磷矿的现有探矿权的投入，加快勘查进程，稳定磷矿资源储备和开发能力，按照“精细磷产品为主、优质磷复合肥配套”的发展思路，努力壮大磷化工主导产业，实行统一规划、统一布局、统一管理，完善配套相关基础设施，全力打造磷化工产业集约发展的载体和平台。通过科技进步和技术创新提高对磷矿资源的综合利用水平。</w:t>
            </w:r>
          </w:p>
          <w:p w14:paraId="10B0C9C2">
            <w:pPr>
              <w:pStyle w:val="37"/>
            </w:pPr>
            <w:r>
              <w:rPr>
                <w:rFonts w:hint="eastAsia"/>
              </w:rPr>
              <w:t>6</w:t>
            </w:r>
            <w:r>
              <w:t>、</w:t>
            </w:r>
            <w:r>
              <w:rPr>
                <w:rFonts w:hint="eastAsia"/>
              </w:rPr>
              <w:t>(K</w:t>
            </w:r>
            <w:r>
              <w:t>X06)</w:t>
            </w:r>
            <w:r>
              <w:rPr>
                <w:rFonts w:hint="eastAsia"/>
              </w:rPr>
              <w:t>峨</w:t>
            </w:r>
            <w:r>
              <w:t>边平等磷矿勘查区</w:t>
            </w:r>
          </w:p>
          <w:p w14:paraId="383F5899">
            <w:pPr>
              <w:pStyle w:val="37"/>
            </w:pPr>
            <w:r>
              <w:rPr>
                <w:rFonts w:hint="eastAsia"/>
              </w:rPr>
              <w:t>加强峨边平等磷矿区的现有探矿权的投入，加快勘查进程，稳定磷矿资源开发能力，努力壮大磷化工主导产业，通过科技进步和技术创新提高对磷矿资源的综合利用水平。</w:t>
            </w:r>
          </w:p>
        </w:tc>
      </w:tr>
    </w:tbl>
    <w:p w14:paraId="51D70728">
      <w:pPr>
        <w:pStyle w:val="5"/>
        <w:ind w:firstLine="643"/>
      </w:pPr>
      <w:r>
        <w:rPr>
          <w:rFonts w:hint="eastAsia"/>
        </w:rPr>
        <w:t>开</w:t>
      </w:r>
      <w:r>
        <w:t>采</w:t>
      </w:r>
      <w:r>
        <w:rPr>
          <w:rFonts w:hint="eastAsia"/>
        </w:rPr>
        <w:t>规划</w:t>
      </w:r>
      <w:r>
        <w:t>区划</w:t>
      </w:r>
    </w:p>
    <w:p w14:paraId="2B46C3B5">
      <w:pPr>
        <w:ind w:firstLine="640"/>
      </w:pPr>
      <w:r>
        <w:rPr>
          <w:rFonts w:hint="eastAsia"/>
        </w:rPr>
        <w:t>本次规划拟设全市保留采矿权302个，新设采矿权</w:t>
      </w:r>
      <w:r>
        <w:t>5</w:t>
      </w:r>
      <w:r>
        <w:rPr>
          <w:rFonts w:hint="eastAsia"/>
        </w:rPr>
        <w:t>7个，探转采6个，采矿权调整99个，采矿权整合3个,采矿权总数4</w:t>
      </w:r>
      <w:r>
        <w:t>6</w:t>
      </w:r>
      <w:r>
        <w:rPr>
          <w:rFonts w:hint="eastAsia"/>
        </w:rPr>
        <w:t>7个，较2015年基期的483个减少了16个。其中大型</w:t>
      </w:r>
      <w:r>
        <w:t>12</w:t>
      </w:r>
      <w:r>
        <w:rPr>
          <w:rFonts w:hint="eastAsia"/>
        </w:rPr>
        <w:t>个，中型</w:t>
      </w:r>
      <w:r>
        <w:t>41</w:t>
      </w:r>
      <w:r>
        <w:rPr>
          <w:rFonts w:hint="eastAsia"/>
        </w:rPr>
        <w:t>个，大中型所占比例为</w:t>
      </w:r>
      <w:r>
        <w:t>11%</w:t>
      </w:r>
      <w:r>
        <w:rPr>
          <w:rFonts w:hint="eastAsia"/>
        </w:rPr>
        <w:t>。</w:t>
      </w:r>
    </w:p>
    <w:p w14:paraId="3CAFC7EC">
      <w:pPr>
        <w:ind w:firstLine="640"/>
      </w:pPr>
      <w:r>
        <w:rPr>
          <w:rFonts w:hint="eastAsia"/>
        </w:rPr>
        <w:t>由于境内采矿权分布范围广，包含现已开发的所有</w:t>
      </w:r>
      <w:r>
        <w:t>39</w:t>
      </w:r>
      <w:r>
        <w:rPr>
          <w:rFonts w:hint="eastAsia"/>
        </w:rPr>
        <w:t>个矿种(注：由于命名的原因，部份矿种有重叠)，且分布极不均匀，采矿权与探矿权难以按区分列，考虑到从</w:t>
      </w:r>
      <w:r>
        <w:t>2016</w:t>
      </w:r>
      <w:r>
        <w:rPr>
          <w:rFonts w:hint="eastAsia"/>
        </w:rPr>
        <w:t>－</w:t>
      </w:r>
      <w:r>
        <w:t>2020</w:t>
      </w:r>
      <w:r>
        <w:rPr>
          <w:rFonts w:hint="eastAsia"/>
        </w:rPr>
        <w:t>－</w:t>
      </w:r>
      <w:r>
        <w:t>2025</w:t>
      </w:r>
      <w:r>
        <w:rPr>
          <w:rFonts w:hint="eastAsia"/>
        </w:rPr>
        <w:t>期间，绝大部</w:t>
      </w:r>
      <w:r>
        <w:rPr>
          <w:rFonts w:hint="eastAsia"/>
          <w:lang w:val="en-US" w:eastAsia="zh-CN"/>
        </w:rPr>
        <w:t>分</w:t>
      </w:r>
      <w:r>
        <w:rPr>
          <w:rFonts w:hint="eastAsia"/>
        </w:rPr>
        <w:t>探矿权将完成勘探并转为采矿权，因此本次规划的所设采矿矿区划与勘查区划基本一致，勘查区即为开采区，限制勘查区即为限制开采区，共设开采规划区</w:t>
      </w:r>
      <w:r>
        <w:t>23</w:t>
      </w:r>
      <w:r>
        <w:rPr>
          <w:rFonts w:hint="eastAsia"/>
        </w:rPr>
        <w:t>个(其中限制开采区</w:t>
      </w:r>
      <w:r>
        <w:t>5</w:t>
      </w:r>
      <w:r>
        <w:rPr>
          <w:rFonts w:hint="eastAsia"/>
        </w:rPr>
        <w:t>个，禁止开采区</w:t>
      </w:r>
      <w:r>
        <w:t>12</w:t>
      </w:r>
      <w:r>
        <w:rPr>
          <w:rFonts w:hint="eastAsia"/>
        </w:rPr>
        <w:t>个)。详见专栏</w:t>
      </w:r>
      <w:r>
        <w:t>6</w:t>
      </w:r>
      <w:r>
        <w:rPr>
          <w:rFonts w:hint="eastAsia"/>
        </w:rPr>
        <w:t>、</w:t>
      </w:r>
      <w:r>
        <w:t>专栏7</w:t>
      </w:r>
      <w:r>
        <w:rPr>
          <w:rFonts w:hint="eastAsia"/>
        </w:rPr>
        <w:t>、</w:t>
      </w:r>
      <w:r>
        <w:t>专栏8。</w:t>
      </w:r>
    </w:p>
    <w:p w14:paraId="33D846E2">
      <w:pPr>
        <w:pStyle w:val="34"/>
        <w:spacing w:before="120"/>
      </w:pPr>
      <w:r>
        <w:rPr>
          <w:rFonts w:hint="eastAsia"/>
        </w:rPr>
        <w:t>专栏</w:t>
      </w:r>
      <w:r>
        <w:t>6　乐山市开</w:t>
      </w:r>
      <w:r>
        <w:rPr>
          <w:rFonts w:hint="eastAsia"/>
        </w:rPr>
        <w:t>采</w:t>
      </w:r>
      <w:r>
        <w:t>规划分区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2A485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58" w:type="dxa"/>
            <w:shd w:val="clear" w:color="auto" w:fill="auto"/>
          </w:tcPr>
          <w:p w14:paraId="104ACE08">
            <w:pPr>
              <w:pStyle w:val="37"/>
            </w:pPr>
            <w:r>
              <w:rPr>
                <w:rFonts w:hint="eastAsia"/>
              </w:rPr>
              <w:t>1</w:t>
            </w:r>
            <w:r>
              <w:t>、</w:t>
            </w:r>
            <w:r>
              <w:rPr>
                <w:rFonts w:hint="eastAsia"/>
              </w:rPr>
              <w:t>(C</w:t>
            </w:r>
            <w:r>
              <w:t>Y01)</w:t>
            </w:r>
            <w:r>
              <w:rPr>
                <w:rFonts w:hint="eastAsia"/>
              </w:rPr>
              <w:t>马边老</w:t>
            </w:r>
            <w:r>
              <w:t>河</w:t>
            </w:r>
            <w:r>
              <w:rPr>
                <w:rFonts w:hint="eastAsia"/>
              </w:rPr>
              <w:t>坝磷矿允许开采(勘查)区</w:t>
            </w:r>
          </w:p>
          <w:p w14:paraId="46DD5BCE">
            <w:pPr>
              <w:pStyle w:val="37"/>
            </w:pPr>
            <w:r>
              <w:rPr>
                <w:rFonts w:hint="eastAsia"/>
              </w:rPr>
              <w:t>重点加强马边老河</w:t>
            </w:r>
            <w:r>
              <w:t>坝现有</w:t>
            </w:r>
            <w:r>
              <w:rPr>
                <w:rFonts w:hint="eastAsia"/>
              </w:rPr>
              <w:t>矿山改造，稳定磷矿开采能力，按照“精细磷产品为主、优质磷复肥配套”的发展思路，努力壮大磷化工主导产业，实行统一规划、统一布局、统一管理，完善配套相关基础设施，全力打造磷化工产业集约发展的载体和平台。杜绝采</w:t>
            </w:r>
            <w:r>
              <w:t>富弃贫的现象</w:t>
            </w:r>
            <w:r>
              <w:rPr>
                <w:rFonts w:hint="eastAsia"/>
              </w:rPr>
              <w:t>，通过科技进步和技术创新提高对磷矿资源的综合利用水平。要不断延伸产业链，实现资源的优化配置、就地加工增值，吸纳就业人群，将资源优势转化为经济优势，转化为群众受益的成果。</w:t>
            </w:r>
          </w:p>
          <w:p w14:paraId="535D0AE8">
            <w:pPr>
              <w:pStyle w:val="37"/>
            </w:pPr>
            <w:r>
              <w:rPr>
                <w:rFonts w:hint="eastAsia"/>
              </w:rPr>
              <w:t>2、(C</w:t>
            </w:r>
            <w:r>
              <w:t>Y02)峨边平等磷矿</w:t>
            </w:r>
            <w:r>
              <w:rPr>
                <w:rFonts w:hint="eastAsia"/>
              </w:rPr>
              <w:t>允许开</w:t>
            </w:r>
            <w:r>
              <w:t>采(</w:t>
            </w:r>
            <w:r>
              <w:rPr>
                <w:rFonts w:hint="eastAsia"/>
              </w:rPr>
              <w:t>勘查</w:t>
            </w:r>
            <w:r>
              <w:t>)</w:t>
            </w:r>
            <w:r>
              <w:rPr>
                <w:rFonts w:hint="eastAsia"/>
              </w:rPr>
              <w:t>区</w:t>
            </w:r>
          </w:p>
          <w:p w14:paraId="296E3701">
            <w:pPr>
              <w:pStyle w:val="37"/>
            </w:pPr>
            <w:r>
              <w:rPr>
                <w:rFonts w:hint="eastAsia"/>
              </w:rPr>
              <w:t>重点加强峨边老河坝现有矿山改造，稳定磷矿开采能力和</w:t>
            </w:r>
            <w:r>
              <w:t>洗选能力</w:t>
            </w:r>
            <w:r>
              <w:rPr>
                <w:rFonts w:hint="eastAsia"/>
              </w:rPr>
              <w:t>，按照“精细磷产品为主、优质磷复肥配套”的发展思路，努力壮大磷化工主导产业，完善配套相关基础设施，打造磷化工产业集约发展的载体和平台。杜绝采富弃贫的现象，通过科技进步和技术创新提高对磷矿资源的综合利用水平。</w:t>
            </w:r>
          </w:p>
          <w:p w14:paraId="1148CB68">
            <w:pPr>
              <w:pStyle w:val="37"/>
            </w:pPr>
            <w:r>
              <w:t>3</w:t>
            </w:r>
            <w:r>
              <w:rPr>
                <w:rFonts w:hint="eastAsia"/>
              </w:rPr>
              <w:t>、(C</w:t>
            </w:r>
            <w:r>
              <w:t>Y03)</w:t>
            </w:r>
            <w:r>
              <w:rPr>
                <w:rFonts w:hint="eastAsia"/>
              </w:rPr>
              <w:t>夹江中兴至</w:t>
            </w:r>
            <w:r>
              <w:t>黄土</w:t>
            </w:r>
            <w:r>
              <w:rPr>
                <w:rFonts w:hint="eastAsia"/>
              </w:rPr>
              <w:t>建筑陶瓷用粘土岩资源允许开采区</w:t>
            </w:r>
          </w:p>
          <w:p w14:paraId="14C95221">
            <w:pPr>
              <w:pStyle w:val="37"/>
            </w:pPr>
            <w:r>
              <w:rPr>
                <w:rFonts w:hint="eastAsia"/>
              </w:rPr>
              <w:t>主要为夹江西部瓷都及周边范围，区内优势矿产主要为陶瓷用粘土，保障“西部瓷都”的原料供应，并为持续发展提供资源保障。</w:t>
            </w:r>
          </w:p>
          <w:p w14:paraId="4F617B4A">
            <w:pPr>
              <w:pStyle w:val="37"/>
            </w:pPr>
            <w:r>
              <w:rPr>
                <w:rFonts w:hint="eastAsia"/>
              </w:rPr>
              <w:t>另有部份矿权分布在沙湾、沐川、峨边等区县。</w:t>
            </w:r>
          </w:p>
          <w:p w14:paraId="545072F6">
            <w:pPr>
              <w:pStyle w:val="37"/>
            </w:pPr>
            <w:r>
              <w:t>4</w:t>
            </w:r>
            <w:r>
              <w:rPr>
                <w:rFonts w:hint="eastAsia"/>
              </w:rPr>
              <w:t>、(C</w:t>
            </w:r>
            <w:r>
              <w:t>Y04)</w:t>
            </w:r>
            <w:r>
              <w:rPr>
                <w:rFonts w:hint="eastAsia"/>
              </w:rPr>
              <w:t>犍为罗城至沐川永福煤炭资源允许开采区</w:t>
            </w:r>
          </w:p>
          <w:p w14:paraId="46AAD388">
            <w:pPr>
              <w:pStyle w:val="37"/>
            </w:pPr>
            <w:r>
              <w:rPr>
                <w:rFonts w:hint="eastAsia"/>
              </w:rPr>
              <w:t>包括犍为、沙湾、五通桥、沐川等区县，区内优势矿产有烟煤和无烟煤。稳步推进有条件的煤矿进行煤层气勘探开发，提升煤层气产量，实现采煤采气综合利用一体化；推进犍为敖家－寿保和</w:t>
            </w:r>
            <w:r>
              <w:t>寿保南</w:t>
            </w:r>
            <w:r>
              <w:rPr>
                <w:rFonts w:hint="eastAsia"/>
              </w:rPr>
              <w:t>新增煤炭资源区的开发利用。</w:t>
            </w:r>
          </w:p>
          <w:p w14:paraId="5F7CB772">
            <w:pPr>
              <w:pStyle w:val="37"/>
            </w:pPr>
            <w:r>
              <w:t>5</w:t>
            </w:r>
            <w:r>
              <w:rPr>
                <w:rFonts w:hint="eastAsia"/>
              </w:rPr>
              <w:t>、(C</w:t>
            </w:r>
            <w:r>
              <w:t>Y05)</w:t>
            </w:r>
            <w:r>
              <w:rPr>
                <w:rFonts w:hint="eastAsia"/>
              </w:rPr>
              <w:t>沙湾牛石至峨边平等有色金属及稀有金属允许开采区</w:t>
            </w:r>
          </w:p>
          <w:p w14:paraId="6443AB45">
            <w:pPr>
              <w:pStyle w:val="37"/>
            </w:pPr>
            <w:r>
              <w:rPr>
                <w:rFonts w:hint="eastAsia"/>
              </w:rPr>
              <w:t>包括峨边、沙湾等区县，按照“点上开发，面上保护”的原则有序推进铜、铅、锌等矿产资源的勘查</w:t>
            </w:r>
            <w:r>
              <w:t>和</w:t>
            </w:r>
            <w:r>
              <w:rPr>
                <w:rFonts w:hint="eastAsia"/>
              </w:rPr>
              <w:t>开发利用。</w:t>
            </w:r>
          </w:p>
          <w:p w14:paraId="6218E876">
            <w:pPr>
              <w:pStyle w:val="37"/>
            </w:pPr>
            <w:r>
              <w:t>6</w:t>
            </w:r>
            <w:r>
              <w:rPr>
                <w:rFonts w:hint="eastAsia"/>
              </w:rPr>
              <w:t>、(C</w:t>
            </w:r>
            <w:r>
              <w:t>Y06)</w:t>
            </w:r>
            <w:r>
              <w:rPr>
                <w:rFonts w:hint="eastAsia"/>
              </w:rPr>
              <w:t>沐川喻家坪至周沟铜多金属允许开采(勘查)区</w:t>
            </w:r>
          </w:p>
          <w:p w14:paraId="29C83BCF">
            <w:pPr>
              <w:pStyle w:val="37"/>
            </w:pPr>
            <w:r>
              <w:rPr>
                <w:rFonts w:hint="eastAsia"/>
              </w:rPr>
              <w:t>该区已经形成一定规模的砂岩型铜矿中型矿山，并有正在勘探中的矿区，应加强勘探投入，有望成为我市铜矿开采加工的基地。</w:t>
            </w:r>
          </w:p>
        </w:tc>
      </w:tr>
    </w:tbl>
    <w:p w14:paraId="1B94410D">
      <w:pPr>
        <w:ind w:firstLine="640"/>
      </w:pPr>
    </w:p>
    <w:p w14:paraId="00572901">
      <w:pPr>
        <w:pStyle w:val="34"/>
        <w:spacing w:before="120"/>
      </w:pPr>
      <w:r>
        <w:rPr>
          <w:rFonts w:hint="eastAsia"/>
        </w:rPr>
        <w:t>专栏</w:t>
      </w:r>
      <w:r>
        <w:t>7　乐山市限制开采</w:t>
      </w:r>
      <w:r>
        <w:rPr>
          <w:rFonts w:hint="eastAsia"/>
        </w:rPr>
        <w:t>规划分区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171DE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8" w:type="dxa"/>
            <w:shd w:val="clear" w:color="auto" w:fill="auto"/>
          </w:tcPr>
          <w:p w14:paraId="20E4238D">
            <w:pPr>
              <w:pStyle w:val="37"/>
            </w:pPr>
            <w:r>
              <w:t>1</w:t>
            </w:r>
            <w:r>
              <w:rPr>
                <w:rFonts w:hint="eastAsia"/>
              </w:rPr>
              <w:t>、(C</w:t>
            </w:r>
            <w:r>
              <w:t>X01)</w:t>
            </w:r>
            <w:r>
              <w:rPr>
                <w:rFonts w:hint="eastAsia"/>
              </w:rPr>
              <w:t>峨眉山－乐山地热、矿泉水限制开采区</w:t>
            </w:r>
          </w:p>
          <w:p w14:paraId="2C86E4DD">
            <w:pPr>
              <w:pStyle w:val="37"/>
            </w:pPr>
            <w:r>
              <w:rPr>
                <w:rFonts w:hint="eastAsia"/>
              </w:rPr>
              <w:t>主要为峨眉山景区－乐山大佛景区及周边，大力开发旅游景区和城市周边的地热资源和优质矿泉水资源，以乐山大佛－峨嵋山自然文化双遗产为核心，带动周边景区，打造良好的旅游生态环境，辐射全省。</w:t>
            </w:r>
          </w:p>
          <w:p w14:paraId="7CFC693E">
            <w:pPr>
              <w:pStyle w:val="37"/>
            </w:pPr>
            <w:r>
              <w:t>2</w:t>
            </w:r>
            <w:r>
              <w:rPr>
                <w:rFonts w:hint="eastAsia"/>
              </w:rPr>
              <w:t>、</w:t>
            </w:r>
            <w:r>
              <w:rPr>
                <w:rFonts w:hint="eastAsia"/>
              </w:rPr>
              <w:tab/>
            </w:r>
            <w:r>
              <w:rPr>
                <w:rFonts w:hint="eastAsia"/>
              </w:rPr>
              <w:t>(C</w:t>
            </w:r>
            <w:r>
              <w:t>X02)</w:t>
            </w:r>
            <w:r>
              <w:rPr>
                <w:rFonts w:hint="eastAsia"/>
              </w:rPr>
              <w:t>威西盐矿限制开采区(乐山部份)</w:t>
            </w:r>
          </w:p>
          <w:p w14:paraId="6D9DA53E">
            <w:pPr>
              <w:pStyle w:val="37"/>
            </w:pPr>
            <w:r>
              <w:rPr>
                <w:rFonts w:hint="eastAsia"/>
              </w:rPr>
              <w:t>包括犍为和井研等县，稳定我市已有的盐卤生产，保障以和邦集团和福华集团为主的盐化工所需的盐卤开采，开发生产适销对路的精细盐化产品。</w:t>
            </w:r>
          </w:p>
          <w:p w14:paraId="572F4ECF">
            <w:pPr>
              <w:pStyle w:val="37"/>
            </w:pPr>
            <w:r>
              <w:t>3</w:t>
            </w:r>
            <w:r>
              <w:rPr>
                <w:rFonts w:hint="eastAsia"/>
              </w:rPr>
              <w:t>、(</w:t>
            </w:r>
            <w:r>
              <w:t>CX03)</w:t>
            </w:r>
            <w:r>
              <w:rPr>
                <w:rFonts w:hint="eastAsia"/>
              </w:rPr>
              <w:t>峨眉山乐都建材资源限制开采(勘查</w:t>
            </w:r>
            <w:r>
              <w:t>)</w:t>
            </w:r>
            <w:r>
              <w:rPr>
                <w:rFonts w:hint="eastAsia"/>
              </w:rPr>
              <w:t>区</w:t>
            </w:r>
          </w:p>
          <w:p w14:paraId="4568F22A">
            <w:pPr>
              <w:pStyle w:val="37"/>
            </w:pPr>
            <w:r>
              <w:rPr>
                <w:rFonts w:hint="eastAsia"/>
              </w:rPr>
              <w:t>主要为峨眉山市水泥生产基地及乐都周边地区，区内优势矿产有水泥用石灰岩、石膏、粘土等，稳定我市已有的水泥原料生产，推</w:t>
            </w:r>
            <w:r>
              <w:t>进现</w:t>
            </w:r>
            <w:r>
              <w:rPr>
                <w:rFonts w:hint="eastAsia"/>
              </w:rPr>
              <w:t>有</w:t>
            </w:r>
            <w:r>
              <w:t>探矿权的勘查</w:t>
            </w:r>
            <w:r>
              <w:rPr>
                <w:rFonts w:hint="eastAsia"/>
              </w:rPr>
              <w:t>进</w:t>
            </w:r>
            <w:r>
              <w:t>程，</w:t>
            </w:r>
            <w:r>
              <w:rPr>
                <w:rFonts w:hint="eastAsia"/>
              </w:rPr>
              <w:t>为后续发展提供资源保障。</w:t>
            </w:r>
          </w:p>
          <w:p w14:paraId="2D0EA25D">
            <w:pPr>
              <w:pStyle w:val="37"/>
            </w:pPr>
            <w:r>
              <w:t>4、</w:t>
            </w:r>
            <w:r>
              <w:rPr>
                <w:rFonts w:hint="eastAsia"/>
              </w:rPr>
              <w:t>(</w:t>
            </w:r>
            <w:r>
              <w:t>CX04)大为至永福磷及多金属</w:t>
            </w:r>
            <w:r>
              <w:rPr>
                <w:rFonts w:hint="eastAsia"/>
              </w:rPr>
              <w:t>限制开</w:t>
            </w:r>
            <w:r>
              <w:t>采</w:t>
            </w:r>
            <w:r>
              <w:rPr>
                <w:rFonts w:hint="eastAsia"/>
              </w:rPr>
              <w:t>(</w:t>
            </w:r>
            <w:r>
              <w:t>勘查)</w:t>
            </w:r>
            <w:r>
              <w:rPr>
                <w:rFonts w:hint="eastAsia"/>
              </w:rPr>
              <w:t>区</w:t>
            </w:r>
          </w:p>
          <w:p w14:paraId="40CF0037">
            <w:pPr>
              <w:pStyle w:val="37"/>
            </w:pPr>
            <w:r>
              <w:rPr>
                <w:rFonts w:hint="eastAsia"/>
              </w:rPr>
              <w:t>包括峨眉</w:t>
            </w:r>
            <w:r>
              <w:t>山</w:t>
            </w:r>
            <w:r>
              <w:rPr>
                <w:rFonts w:hint="eastAsia"/>
              </w:rPr>
              <w:t>、</w:t>
            </w:r>
            <w:r>
              <w:t>峨边</w:t>
            </w:r>
            <w:r>
              <w:rPr>
                <w:rFonts w:hint="eastAsia"/>
              </w:rPr>
              <w:t>、</w:t>
            </w:r>
            <w:r>
              <w:t>金口</w:t>
            </w:r>
            <w:r>
              <w:rPr>
                <w:rFonts w:hint="eastAsia"/>
              </w:rPr>
              <w:t>河</w:t>
            </w:r>
            <w:r>
              <w:t>等区</w:t>
            </w:r>
            <w:r>
              <w:rPr>
                <w:rFonts w:hint="eastAsia"/>
              </w:rPr>
              <w:t>市</w:t>
            </w:r>
            <w:r>
              <w:t>县，</w:t>
            </w:r>
            <w:r>
              <w:rPr>
                <w:rFonts w:hint="eastAsia"/>
              </w:rPr>
              <w:t>有序推进磷</w:t>
            </w:r>
            <w:r>
              <w:t>、</w:t>
            </w:r>
            <w:r>
              <w:rPr>
                <w:rFonts w:hint="eastAsia"/>
              </w:rPr>
              <w:t>铜、铅、锌等矿产资源的勘查</w:t>
            </w:r>
            <w:r>
              <w:t>和</w:t>
            </w:r>
            <w:r>
              <w:rPr>
                <w:rFonts w:hint="eastAsia"/>
              </w:rPr>
              <w:t>开发利用。</w:t>
            </w:r>
          </w:p>
          <w:p w14:paraId="094BC16D">
            <w:pPr>
              <w:pStyle w:val="37"/>
            </w:pPr>
            <w:r>
              <w:rPr>
                <w:rFonts w:hint="eastAsia"/>
              </w:rPr>
              <w:t>5、(</w:t>
            </w:r>
            <w:r>
              <w:t>CX05)峨边黑竹</w:t>
            </w:r>
            <w:r>
              <w:rPr>
                <w:rFonts w:hint="eastAsia"/>
              </w:rPr>
              <w:t>沟</w:t>
            </w:r>
            <w:r>
              <w:t>森林</w:t>
            </w:r>
            <w:r>
              <w:rPr>
                <w:rFonts w:hint="eastAsia"/>
              </w:rPr>
              <w:t>公园限制</w:t>
            </w:r>
            <w:r>
              <w:t>开采(</w:t>
            </w:r>
            <w:r>
              <w:rPr>
                <w:rFonts w:hint="eastAsia"/>
              </w:rPr>
              <w:t>勘查</w:t>
            </w:r>
            <w:r>
              <w:t>)</w:t>
            </w:r>
            <w:r>
              <w:rPr>
                <w:rFonts w:hint="eastAsia"/>
              </w:rPr>
              <w:t>区</w:t>
            </w:r>
          </w:p>
          <w:p w14:paraId="781EC50B">
            <w:pPr>
              <w:pStyle w:val="37"/>
            </w:pPr>
            <w:r>
              <w:rPr>
                <w:rFonts w:hint="eastAsia"/>
              </w:rPr>
              <w:t>仅允许</w:t>
            </w:r>
            <w:r>
              <w:t>地热勘查与开采，其他</w:t>
            </w:r>
            <w:r>
              <w:rPr>
                <w:rFonts w:hint="eastAsia"/>
              </w:rPr>
              <w:t>矿</w:t>
            </w:r>
            <w:r>
              <w:t>种禁止开采。</w:t>
            </w:r>
          </w:p>
        </w:tc>
      </w:tr>
    </w:tbl>
    <w:p w14:paraId="03F4821B">
      <w:pPr>
        <w:ind w:firstLine="640"/>
      </w:pPr>
    </w:p>
    <w:p w14:paraId="2BE64687">
      <w:pPr>
        <w:pStyle w:val="34"/>
        <w:spacing w:before="120"/>
      </w:pPr>
      <w:r>
        <w:rPr>
          <w:rFonts w:hint="eastAsia"/>
        </w:rPr>
        <w:t>专栏</w:t>
      </w:r>
      <w:r>
        <w:t>8　乐山市禁开采规划</w:t>
      </w:r>
      <w:r>
        <w:rPr>
          <w:rFonts w:hint="eastAsia"/>
        </w:rPr>
        <w:t>分</w:t>
      </w:r>
      <w:r>
        <w:t>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5058A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8" w:type="dxa"/>
            <w:shd w:val="clear" w:color="auto" w:fill="auto"/>
          </w:tcPr>
          <w:p w14:paraId="6CBFC4B8">
            <w:pPr>
              <w:pStyle w:val="37"/>
            </w:pPr>
            <w:r>
              <w:t>1</w:t>
            </w:r>
            <w:r>
              <w:rPr>
                <w:rFonts w:hint="eastAsia"/>
              </w:rPr>
              <w:t>、(</w:t>
            </w:r>
            <w:r>
              <w:t>CJ01</w:t>
            </w:r>
            <w:r>
              <w:rPr>
                <w:rFonts w:hint="eastAsia"/>
              </w:rPr>
              <w:t>)乐山大佛风景名胜保护区</w:t>
            </w:r>
          </w:p>
          <w:p w14:paraId="490BA7EF">
            <w:pPr>
              <w:pStyle w:val="37"/>
            </w:pPr>
            <w:r>
              <w:t>2</w:t>
            </w:r>
            <w:r>
              <w:rPr>
                <w:rFonts w:hint="eastAsia"/>
              </w:rPr>
              <w:t>、(</w:t>
            </w:r>
            <w:r>
              <w:t>CJ02</w:t>
            </w:r>
            <w:r>
              <w:rPr>
                <w:rFonts w:hint="eastAsia"/>
              </w:rPr>
              <w:t>)峨眉山风景名胜保护区</w:t>
            </w:r>
          </w:p>
          <w:p w14:paraId="4EC448F0">
            <w:pPr>
              <w:pStyle w:val="37"/>
            </w:pPr>
            <w:r>
              <w:t>3</w:t>
            </w:r>
            <w:r>
              <w:rPr>
                <w:rFonts w:hint="eastAsia"/>
              </w:rPr>
              <w:t>、(</w:t>
            </w:r>
            <w:r>
              <w:t>CJ03</w:t>
            </w:r>
            <w:r>
              <w:rPr>
                <w:rFonts w:hint="eastAsia"/>
              </w:rPr>
              <w:t>)四川大瓦山天池国家湿地公园</w:t>
            </w:r>
          </w:p>
          <w:p w14:paraId="3D2FFDA5">
            <w:pPr>
              <w:pStyle w:val="37"/>
            </w:pPr>
            <w:r>
              <w:t>4</w:t>
            </w:r>
            <w:r>
              <w:rPr>
                <w:rFonts w:hint="eastAsia"/>
              </w:rPr>
              <w:t>、(</w:t>
            </w:r>
            <w:r>
              <w:t>CJ04</w:t>
            </w:r>
            <w:r>
              <w:rPr>
                <w:rFonts w:hint="eastAsia"/>
              </w:rPr>
              <w:t>)沙湾美女峰石林风景保护区</w:t>
            </w:r>
          </w:p>
          <w:p w14:paraId="33615B0D">
            <w:pPr>
              <w:pStyle w:val="37"/>
            </w:pPr>
            <w:r>
              <w:t>5</w:t>
            </w:r>
            <w:r>
              <w:rPr>
                <w:rFonts w:hint="eastAsia"/>
              </w:rPr>
              <w:t>、(</w:t>
            </w:r>
            <w:r>
              <w:t>CJ05</w:t>
            </w:r>
            <w:r>
              <w:rPr>
                <w:rFonts w:hint="eastAsia"/>
              </w:rPr>
              <w:t>)峨边黑竹沟森林公园</w:t>
            </w:r>
          </w:p>
          <w:p w14:paraId="40F5534F">
            <w:pPr>
              <w:pStyle w:val="37"/>
            </w:pPr>
            <w:r>
              <w:t>6</w:t>
            </w:r>
            <w:r>
              <w:rPr>
                <w:rFonts w:hint="eastAsia"/>
              </w:rPr>
              <w:t>、(</w:t>
            </w:r>
            <w:r>
              <w:t>CJ06</w:t>
            </w:r>
            <w:r>
              <w:rPr>
                <w:rFonts w:hint="eastAsia"/>
              </w:rPr>
              <w:t>)马边大风顶自然保护区</w:t>
            </w:r>
          </w:p>
          <w:p w14:paraId="4F5A7340">
            <w:pPr>
              <w:pStyle w:val="37"/>
            </w:pPr>
            <w:r>
              <w:t>7</w:t>
            </w:r>
            <w:r>
              <w:rPr>
                <w:rFonts w:hint="eastAsia"/>
              </w:rPr>
              <w:t>、(</w:t>
            </w:r>
            <w:r>
              <w:t>CJ07</w:t>
            </w:r>
            <w:r>
              <w:rPr>
                <w:rFonts w:hint="eastAsia"/>
              </w:rPr>
              <w:t xml:space="preserve">)夹江千佛岩遗址保护区 </w:t>
            </w:r>
          </w:p>
          <w:p w14:paraId="083A37ED">
            <w:pPr>
              <w:pStyle w:val="37"/>
            </w:pPr>
            <w:r>
              <w:t>8</w:t>
            </w:r>
            <w:r>
              <w:rPr>
                <w:rFonts w:hint="eastAsia"/>
              </w:rPr>
              <w:t>、(</w:t>
            </w:r>
            <w:r>
              <w:t>CJ08</w:t>
            </w:r>
            <w:r>
              <w:rPr>
                <w:rFonts w:hint="eastAsia"/>
              </w:rPr>
              <w:t>)峨边八月林自然保护区</w:t>
            </w:r>
          </w:p>
          <w:p w14:paraId="28221875">
            <w:pPr>
              <w:pStyle w:val="37"/>
            </w:pPr>
            <w:r>
              <w:t>9</w:t>
            </w:r>
            <w:r>
              <w:rPr>
                <w:rFonts w:hint="eastAsia"/>
              </w:rPr>
              <w:t>、(</w:t>
            </w:r>
            <w:r>
              <w:t>CJ09</w:t>
            </w:r>
            <w:r>
              <w:rPr>
                <w:rFonts w:hint="eastAsia"/>
              </w:rPr>
              <w:t>)峨</w:t>
            </w:r>
            <w:r>
              <w:t>边黑</w:t>
            </w:r>
            <w:r>
              <w:rPr>
                <w:rFonts w:hint="eastAsia"/>
              </w:rPr>
              <w:t>竹沟</w:t>
            </w:r>
            <w:r>
              <w:t>自然保护区</w:t>
            </w:r>
          </w:p>
          <w:p w14:paraId="4E4C3CB4">
            <w:pPr>
              <w:pStyle w:val="37"/>
            </w:pPr>
            <w:r>
              <w:t>10</w:t>
            </w:r>
            <w:r>
              <w:rPr>
                <w:rFonts w:hint="eastAsia"/>
              </w:rPr>
              <w:t>、(</w:t>
            </w:r>
            <w:r>
              <w:t>CJ010</w:t>
            </w:r>
            <w:r>
              <w:rPr>
                <w:rFonts w:hint="eastAsia"/>
              </w:rPr>
              <w:t>)金口河大渡河峡谷自然保护区</w:t>
            </w:r>
          </w:p>
          <w:p w14:paraId="119CB855">
            <w:pPr>
              <w:pStyle w:val="37"/>
            </w:pPr>
            <w:r>
              <w:rPr>
                <w:rFonts w:hint="eastAsia"/>
              </w:rPr>
              <w:t>1</w:t>
            </w:r>
            <w:r>
              <w:t>1</w:t>
            </w:r>
            <w:r>
              <w:rPr>
                <w:rFonts w:hint="eastAsia"/>
              </w:rPr>
              <w:t>、(</w:t>
            </w:r>
            <w:r>
              <w:t>CJ011</w:t>
            </w:r>
            <w:r>
              <w:rPr>
                <w:rFonts w:hint="eastAsia"/>
              </w:rPr>
              <w:t>)沐川芹菜坪自然保护区</w:t>
            </w:r>
          </w:p>
          <w:p w14:paraId="1207C98E">
            <w:pPr>
              <w:pStyle w:val="37"/>
            </w:pPr>
            <w:r>
              <w:t>12、</w:t>
            </w:r>
            <w:r>
              <w:rPr>
                <w:rFonts w:hint="eastAsia"/>
              </w:rPr>
              <w:t>(</w:t>
            </w:r>
            <w:r>
              <w:t>CJ012</w:t>
            </w:r>
            <w:r>
              <w:rPr>
                <w:rFonts w:hint="eastAsia"/>
              </w:rPr>
              <w:t>)犍为桫椤湖国家湿地公园</w:t>
            </w:r>
          </w:p>
        </w:tc>
      </w:tr>
    </w:tbl>
    <w:p w14:paraId="7DE0AD77">
      <w:pPr>
        <w:ind w:firstLine="640"/>
      </w:pPr>
      <w:r>
        <w:rPr>
          <w:rFonts w:hint="eastAsia"/>
        </w:rPr>
        <w:t>禁止开</w:t>
      </w:r>
      <w:r>
        <w:t>采</w:t>
      </w:r>
      <w:r>
        <w:rPr>
          <w:rFonts w:hint="eastAsia"/>
        </w:rPr>
        <w:t>区还包括乐山市第一水厂饮用水新水源保护区，乐山市苏稽水口片区集中供水工程饮用水水源保护区，乐山市境内或途经乐山境内的成昆铁路、绵阳－</w:t>
      </w:r>
      <w:r>
        <w:t>乐山</w:t>
      </w:r>
      <w:r>
        <w:rPr>
          <w:rFonts w:hint="eastAsia"/>
        </w:rPr>
        <w:t>城际高速、环城高速、</w:t>
      </w:r>
      <w:r>
        <w:t>乐宜</w:t>
      </w:r>
      <w:r>
        <w:rPr>
          <w:rFonts w:hint="eastAsia"/>
        </w:rPr>
        <w:t>高速</w:t>
      </w:r>
      <w:r>
        <w:t>、乐</w:t>
      </w:r>
      <w:r>
        <w:rPr>
          <w:rFonts w:hint="eastAsia"/>
        </w:rPr>
        <w:t>自</w:t>
      </w:r>
      <w:r>
        <w:t>高速</w:t>
      </w:r>
      <w:r>
        <w:rPr>
          <w:rFonts w:hint="eastAsia"/>
        </w:rPr>
        <w:t>等重要交通以及岷江、大渡</w:t>
      </w:r>
      <w:r>
        <w:t>河、青衣江、</w:t>
      </w:r>
      <w:r>
        <w:rPr>
          <w:rFonts w:hint="eastAsia"/>
        </w:rPr>
        <w:t>各大水库、电站等重要水利、水电、重要供水、供电、供气、供油管道设施两侧、重要桥梁以及重大工程、城镇规划区、重要军事设施、机场、港口、学校、医院建设区外墙周边500—1000米范围。</w:t>
      </w:r>
    </w:p>
    <w:p w14:paraId="37C2E98C">
      <w:pPr>
        <w:ind w:firstLine="640"/>
      </w:pPr>
      <w:r>
        <w:rPr>
          <w:rFonts w:hint="eastAsia"/>
        </w:rPr>
        <w:t>禁止开</w:t>
      </w:r>
      <w:r>
        <w:t>采区</w:t>
      </w:r>
      <w:r>
        <w:rPr>
          <w:rFonts w:hint="eastAsia"/>
        </w:rPr>
        <w:t>内原则上不再进行商业性勘查开采活动，但在不影响禁止区主体功能，并征得相关管理部门同意的情况下，可以进行地热、矿泉水等清洁能源矿产资源的勘查开发。由于</w:t>
      </w:r>
      <w:r>
        <w:t>历史原因</w:t>
      </w:r>
      <w:r>
        <w:rPr>
          <w:rFonts w:hint="eastAsia"/>
        </w:rPr>
        <w:t>已有的探、采矿权按照差别化对待政策，根据情况续存或退出。</w:t>
      </w:r>
    </w:p>
    <w:p w14:paraId="34F2F862">
      <w:pPr>
        <w:pStyle w:val="4"/>
        <w:ind w:firstLine="643"/>
      </w:pPr>
      <w:bookmarkStart w:id="27" w:name="_Toc479584496"/>
      <w:bookmarkStart w:id="28" w:name="_Toc482798168"/>
      <w:r>
        <w:rPr>
          <w:rFonts w:hint="eastAsia"/>
        </w:rPr>
        <w:t>勘查规划区块管理</w:t>
      </w:r>
      <w:bookmarkEnd w:id="27"/>
      <w:bookmarkEnd w:id="28"/>
    </w:p>
    <w:p w14:paraId="0E458C13">
      <w:pPr>
        <w:ind w:firstLine="640"/>
      </w:pPr>
      <w:r>
        <w:rPr>
          <w:rFonts w:hint="eastAsia"/>
        </w:rPr>
        <w:t>勘查开</w:t>
      </w:r>
      <w:r>
        <w:t>发</w:t>
      </w:r>
      <w:r>
        <w:rPr>
          <w:rFonts w:hint="eastAsia"/>
        </w:rPr>
        <w:t>区块一经划定，不得擅自更改勘查规划区块。探矿权的设立、延续、变更、保留和整合，应以划定的勘查规划区块为依据，并符合规划准入条件。规划中已设勘查区块范围调整或者新设勘查规划区块，应经省级国土资源主管部门同意后对市级矿产资源规划的探矿权设置区划进行调整，划定新的勘查规划区块，并经市级国土资源主管部门组织专家论证后报省级国土资源主管部门批复后纳入规划。包含或切割已设矿业权勘查开采范围的勘查规划区块，划定前应征求相关矿业权人的意见，维护其合法权益。</w:t>
      </w:r>
    </w:p>
    <w:p w14:paraId="461683FA">
      <w:pPr>
        <w:pStyle w:val="3"/>
        <w:ind w:firstLine="723"/>
      </w:pPr>
      <w:bookmarkStart w:id="29" w:name="_Toc482798169"/>
      <w:r>
        <w:rPr>
          <w:rFonts w:hint="eastAsia"/>
        </w:rPr>
        <w:t>矿业布局优化调整与转型升级</w:t>
      </w:r>
      <w:bookmarkEnd w:id="29"/>
    </w:p>
    <w:p w14:paraId="38CFECF6">
      <w:pPr>
        <w:pStyle w:val="4"/>
        <w:ind w:firstLine="643"/>
      </w:pPr>
      <w:bookmarkStart w:id="30" w:name="_Toc479584498"/>
      <w:bookmarkStart w:id="31" w:name="_Toc482798170"/>
      <w:r>
        <w:rPr>
          <w:rFonts w:hint="eastAsia"/>
        </w:rPr>
        <w:t>开发利用结构调整</w:t>
      </w:r>
      <w:bookmarkEnd w:id="30"/>
      <w:bookmarkEnd w:id="31"/>
    </w:p>
    <w:p w14:paraId="48D40108">
      <w:pPr>
        <w:ind w:firstLine="640"/>
      </w:pPr>
      <w:r>
        <w:rPr>
          <w:rFonts w:hint="eastAsia"/>
        </w:rPr>
        <w:t>优化产品结构，按照供给侧重改革的要求，在矿业生产领域加强优质供给，减少无效供给，尽快改变中低端产品过剩，高端产品供给不足的现状。以市场化手段推动对落后产能兼并重组，转型转产，做大做强优质企业。</w:t>
      </w:r>
    </w:p>
    <w:p w14:paraId="6A96C2F5">
      <w:pPr>
        <w:ind w:firstLine="640"/>
      </w:pPr>
      <w:r>
        <w:rPr>
          <w:rFonts w:hint="eastAsia"/>
        </w:rPr>
        <w:t>延长矿业产业链，实现上中下游产业链一体化整合，走探、采、选、加工之路，促进矿山企业从生产原矿向资源高效利用发展。鼓励相关矿山企业在磷矿、</w:t>
      </w:r>
      <w:r>
        <w:t>盐矿</w:t>
      </w:r>
      <w:r>
        <w:rPr>
          <w:rFonts w:hint="eastAsia"/>
        </w:rPr>
        <w:t>化工产品向精细化、高端化发展，开辟资源综合利用新空间。</w:t>
      </w:r>
    </w:p>
    <w:p w14:paraId="07885CC4">
      <w:pPr>
        <w:pStyle w:val="4"/>
        <w:ind w:firstLine="640"/>
      </w:pPr>
      <w:r>
        <w:rPr>
          <w:rStyle w:val="30"/>
          <w:rFonts w:hint="eastAsia" w:eastAsia="仿宋"/>
          <w:b w:val="0"/>
          <w:bCs w:val="0"/>
          <w:sz w:val="32"/>
          <w:szCs w:val="30"/>
        </w:rPr>
        <w:t xml:space="preserve"> </w:t>
      </w:r>
      <w:bookmarkStart w:id="32" w:name="_Toc479584499"/>
      <w:bookmarkStart w:id="33" w:name="_Toc482798171"/>
      <w:r>
        <w:rPr>
          <w:rStyle w:val="30"/>
          <w:rFonts w:hint="eastAsia" w:eastAsia="仿宋"/>
          <w:b w:val="0"/>
          <w:bCs w:val="0"/>
          <w:sz w:val="32"/>
          <w:szCs w:val="30"/>
        </w:rPr>
        <w:t>优化矿山规模结构</w:t>
      </w:r>
      <w:bookmarkEnd w:id="32"/>
      <w:bookmarkEnd w:id="33"/>
    </w:p>
    <w:p w14:paraId="6A6985A9">
      <w:pPr>
        <w:ind w:firstLine="640"/>
      </w:pPr>
      <w:r>
        <w:t>严格实行</w:t>
      </w:r>
      <w:r>
        <w:rPr>
          <w:rFonts w:hint="eastAsia"/>
        </w:rPr>
        <w:t>矿区(床)矿产资源开发集约经营、规模开采的规划准入要求，达不到矿山最低开采规模、最低服务年限等规划准入条件的矿产资源开采项目，不得新设立采矿权。已有采矿权在变更和延续时要逐步达到规划要求，达不到规划要求的将逐渐退出。</w:t>
      </w:r>
      <w:r>
        <w:t>按照集约高效的原则整合各类矿山</w:t>
      </w:r>
      <w:r>
        <w:rPr>
          <w:rFonts w:hint="eastAsia"/>
        </w:rPr>
        <w:t>，</w:t>
      </w:r>
      <w:r>
        <w:t>促进矿山规模化</w:t>
      </w:r>
      <w:r>
        <w:rPr>
          <w:rFonts w:hint="eastAsia"/>
        </w:rPr>
        <w:t>、</w:t>
      </w:r>
      <w:r>
        <w:t>集约化经营</w:t>
      </w:r>
      <w:r>
        <w:rPr>
          <w:rFonts w:hint="eastAsia"/>
        </w:rPr>
        <w:t>，</w:t>
      </w:r>
      <w:r>
        <w:t>提高大中型矿山的比例</w:t>
      </w:r>
      <w:r>
        <w:rPr>
          <w:rFonts w:hint="eastAsia"/>
        </w:rPr>
        <w:t>，</w:t>
      </w:r>
      <w:r>
        <w:t>提升矿业权集中度和规模效益</w:t>
      </w:r>
      <w:r>
        <w:rPr>
          <w:rFonts w:hint="eastAsia"/>
        </w:rPr>
        <w:t>。到2020年，大中型矿山比例达到</w:t>
      </w:r>
      <w:r>
        <w:t>15</w:t>
      </w:r>
      <w:r>
        <w:rPr>
          <w:rFonts w:hint="eastAsia"/>
        </w:rPr>
        <w:t>%以上，重要矿产生产矿山的规模开采和集约经营水平明显提高，大中小型矿山进一步协调发展。</w:t>
      </w:r>
    </w:p>
    <w:p w14:paraId="130D25CF">
      <w:pPr>
        <w:ind w:firstLine="640"/>
      </w:pPr>
      <w:r>
        <w:rPr>
          <w:rFonts w:hint="eastAsia"/>
        </w:rPr>
        <w:t>优化矿山生产要素结构。引导、支持矿山企业进行生产要素重组，升级矿山开采、选矿、加工工艺、技术装备，推动大数据、物联网等新一代信息技术与矿产勘查、矿业开发等产业的融合，大力开展“数字矿山”建设，提高劳动力素质，高效利用矿产资源，形成以大型矿业集团为主体，大中小型矿山协调发展的矿产开发新格局。</w:t>
      </w:r>
    </w:p>
    <w:p w14:paraId="40785A43">
      <w:pPr>
        <w:ind w:firstLine="640"/>
      </w:pPr>
      <w:r>
        <w:rPr>
          <w:rFonts w:hint="eastAsia"/>
        </w:rPr>
        <w:t>在马边和</w:t>
      </w:r>
      <w:r>
        <w:t>峨边两个主要磷矿产</w:t>
      </w:r>
      <w:r>
        <w:rPr>
          <w:rFonts w:hint="eastAsia"/>
        </w:rPr>
        <w:t>地</w:t>
      </w:r>
      <w:r>
        <w:t>实行采</w:t>
      </w:r>
      <w:r>
        <w:rPr>
          <w:rFonts w:hint="eastAsia"/>
        </w:rPr>
        <w:t>、</w:t>
      </w:r>
      <w:r>
        <w:t>选</w:t>
      </w:r>
      <w:r>
        <w:rPr>
          <w:rFonts w:hint="eastAsia"/>
        </w:rPr>
        <w:t>、</w:t>
      </w:r>
      <w:r>
        <w:t>深加工</w:t>
      </w:r>
      <w:r>
        <w:rPr>
          <w:rFonts w:hint="eastAsia"/>
        </w:rPr>
        <w:t>一</w:t>
      </w:r>
      <w:r>
        <w:t>体化的道路，</w:t>
      </w:r>
      <w:r>
        <w:rPr>
          <w:rFonts w:hint="eastAsia"/>
        </w:rPr>
        <w:t>到</w:t>
      </w:r>
      <w:r>
        <w:t>2020年初步实</w:t>
      </w:r>
      <w:r>
        <w:rPr>
          <w:rFonts w:hint="eastAsia"/>
        </w:rPr>
        <w:t>现</w:t>
      </w:r>
      <w:r>
        <w:t>对外不再销售</w:t>
      </w:r>
      <w:r>
        <w:rPr>
          <w:rFonts w:hint="eastAsia"/>
        </w:rPr>
        <w:t>中低</w:t>
      </w:r>
      <w:r>
        <w:t>品位原矿</w:t>
      </w:r>
      <w:r>
        <w:rPr>
          <w:rFonts w:hint="eastAsia"/>
        </w:rPr>
        <w:t>，</w:t>
      </w:r>
      <w:r>
        <w:t>实现低品位磷</w:t>
      </w:r>
      <w:r>
        <w:rPr>
          <w:rFonts w:hint="eastAsia"/>
        </w:rPr>
        <w:t>矿</w:t>
      </w:r>
      <w:r>
        <w:t>的</w:t>
      </w:r>
      <w:r>
        <w:rPr>
          <w:rFonts w:hint="eastAsia"/>
        </w:rPr>
        <w:t>就</w:t>
      </w:r>
      <w:r>
        <w:t>地选矿</w:t>
      </w:r>
      <w:r>
        <w:rPr>
          <w:rFonts w:hint="eastAsia"/>
        </w:rPr>
        <w:t>。</w:t>
      </w:r>
    </w:p>
    <w:p w14:paraId="1C2537BD">
      <w:pPr>
        <w:pStyle w:val="4"/>
        <w:ind w:firstLine="643"/>
        <w:rPr>
          <w:szCs w:val="30"/>
        </w:rPr>
      </w:pPr>
      <w:bookmarkStart w:id="34" w:name="_Toc453684671"/>
      <w:r>
        <w:rPr>
          <w:rFonts w:hint="eastAsia"/>
        </w:rPr>
        <w:t xml:space="preserve"> </w:t>
      </w:r>
      <w:bookmarkStart w:id="35" w:name="_Toc479584500"/>
      <w:bookmarkStart w:id="36" w:name="_Toc482798172"/>
      <w:r>
        <w:rPr>
          <w:rFonts w:hint="eastAsia"/>
        </w:rPr>
        <w:t>矿产资源节约与综合利用</w:t>
      </w:r>
      <w:bookmarkEnd w:id="34"/>
      <w:bookmarkEnd w:id="35"/>
      <w:bookmarkEnd w:id="36"/>
    </w:p>
    <w:p w14:paraId="3F874526">
      <w:pPr>
        <w:ind w:firstLine="640"/>
      </w:pPr>
      <w:r>
        <w:rPr>
          <w:rFonts w:hint="eastAsia"/>
        </w:rPr>
        <w:t>加强矿产资源节约与综合利用技术研究。开展难选矿、低品位矿、共伴生矿、新类型矿的选矿、综合利用与深加工关键技术研究。引导完善多元化投入格局，建立产学研联合攻关的矿产资源节约与综合利用技术研发体系，强化技术创新及应用转化能力建设，以提高“三率”水平为重点，提高矿产资源勘查、开采、选矿技术及深加工的整体水平。</w:t>
      </w:r>
    </w:p>
    <w:p w14:paraId="44E99534">
      <w:pPr>
        <w:ind w:firstLine="640"/>
      </w:pPr>
      <w:r>
        <w:rPr>
          <w:rFonts w:hint="eastAsia"/>
        </w:rPr>
        <w:t>明确矿产资源节约与综合利用主要方向。重点加强磷</w:t>
      </w:r>
      <w:r>
        <w:t>矿、</w:t>
      </w:r>
      <w:r>
        <w:rPr>
          <w:rFonts w:hint="eastAsia"/>
        </w:rPr>
        <w:t>有色多金属、稀有金属等矿产在开采、选矿和加工过程中对共伴生有益组份的分离提取和综合利用。合理开发利用低热值煤、锰、铜、铅、锌、磷等大宗矿产的贫矿和难选冶矿。加强矿山固体废物、尾矿资源和废水利用，鼓励矿山企业内部或不同企业之间的原料、产品、排放物合理循环，充分利用矿山固体废物和尾矿资源中的有用成分，通过废物的减量化、无害化和资源化，促进资源环境协调发展。重点开展煤矸石、多金属矿山固体废物和尾矿、非金属矿山固体废物的综合利用。</w:t>
      </w:r>
    </w:p>
    <w:p w14:paraId="27E02998">
      <w:pPr>
        <w:pStyle w:val="4"/>
        <w:ind w:firstLine="643"/>
      </w:pPr>
      <w:r>
        <w:t xml:space="preserve"> </w:t>
      </w:r>
      <w:bookmarkStart w:id="37" w:name="_Toc482798173"/>
      <w:bookmarkStart w:id="38" w:name="_Toc479584501"/>
      <w:r>
        <w:rPr>
          <w:rFonts w:hint="eastAsia"/>
        </w:rPr>
        <w:t>推广矿产资源节约与综合利用先进适用技术</w:t>
      </w:r>
      <w:bookmarkEnd w:id="37"/>
      <w:bookmarkEnd w:id="38"/>
    </w:p>
    <w:p w14:paraId="38F1F4AD">
      <w:pPr>
        <w:ind w:firstLine="640"/>
        <w:rPr>
          <w:b/>
          <w:sz w:val="24"/>
          <w:szCs w:val="24"/>
        </w:rPr>
      </w:pPr>
      <w:r>
        <w:rPr>
          <w:rFonts w:hint="eastAsia"/>
        </w:rPr>
        <w:t>鼓励企业采用国土资源部发布的《矿产资源节约与综合利用先进适用技术》，制定符合本市实际的《矿产资源节约与综合利用先进适用技术推广目录》，全面推广安全高效采矿、矿产资源高效利用、尾矿及固体废物综合利用、矿山环境修复等技术，引导矿山企业在能源矿产、黑色金属、有色金属、非金属、稀有稀土、矿山尾矿和废弃物综合利用等方面积极采取先进技术、工艺和设备，淘汰落后技术设备与落后产能，促进矿产资源领域节能减排和节约与综合利用。</w:t>
      </w:r>
    </w:p>
    <w:p w14:paraId="39C8C6AA">
      <w:pPr>
        <w:pStyle w:val="34"/>
        <w:spacing w:before="120"/>
      </w:pPr>
      <w:r>
        <w:rPr>
          <w:rFonts w:hint="eastAsia"/>
        </w:rPr>
        <w:t>专栏</w:t>
      </w:r>
      <w:r>
        <w:t>9</w:t>
      </w:r>
      <w:r>
        <w:rPr>
          <w:rFonts w:hint="eastAsia"/>
        </w:rPr>
        <w:t>　矿产资源节约与综合利用的先进适用关键技术及适用范围</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230E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5000" w:type="pct"/>
            <w:shd w:val="clear" w:color="auto" w:fill="auto"/>
            <w:vAlign w:val="center"/>
          </w:tcPr>
          <w:p w14:paraId="0889E170">
            <w:pPr>
              <w:pStyle w:val="37"/>
            </w:pPr>
            <w:r>
              <w:t>1</w:t>
            </w:r>
            <w:r>
              <w:rPr>
                <w:rFonts w:hint="eastAsia"/>
              </w:rPr>
              <w:t>、金属、非金属矿石超细破碎技术：金属、非金属矿山矿石破碎；</w:t>
            </w:r>
          </w:p>
          <w:p w14:paraId="2446A718">
            <w:pPr>
              <w:pStyle w:val="37"/>
            </w:pPr>
            <w:r>
              <w:t>2</w:t>
            </w:r>
            <w:r>
              <w:rPr>
                <w:rFonts w:hint="eastAsia"/>
              </w:rPr>
              <w:t>、中低品位胶磷矿正反浮选工艺：中低品位混合型胶磷矿；中低品位硅(钙)镁质磷矿选矿新技术：中低品位硅(钙)镁质磷矿；</w:t>
            </w:r>
          </w:p>
          <w:p w14:paraId="42B1A332">
            <w:pPr>
              <w:pStyle w:val="37"/>
            </w:pPr>
            <w:r>
              <w:t>3</w:t>
            </w:r>
            <w:r>
              <w:rPr>
                <w:rFonts w:hint="eastAsia"/>
              </w:rPr>
              <w:t>、局部胶结充填与空场组合采矿技术：水平-缓倾斜、薄-中厚矿体；</w:t>
            </w:r>
          </w:p>
          <w:p w14:paraId="67C2A2FE">
            <w:pPr>
              <w:pStyle w:val="37"/>
            </w:pPr>
            <w:r>
              <w:t>4</w:t>
            </w:r>
            <w:r>
              <w:rPr>
                <w:rFonts w:hint="eastAsia"/>
              </w:rPr>
              <w:t>、低品位制黄磷技术：低品位磷矿富化制磷；</w:t>
            </w:r>
          </w:p>
          <w:p w14:paraId="6CAF05AC">
            <w:pPr>
              <w:pStyle w:val="37"/>
            </w:pPr>
            <w:r>
              <w:t>5</w:t>
            </w:r>
            <w:r>
              <w:rPr>
                <w:rFonts w:hint="eastAsia"/>
              </w:rPr>
              <w:t>、铅锌多金属共伴</w:t>
            </w:r>
            <w:r>
              <w:t>生矿产</w:t>
            </w:r>
            <w:r>
              <w:rPr>
                <w:rFonts w:hint="eastAsia"/>
              </w:rPr>
              <w:t>资源高效开发与综合利用关键技术：适用于铜、铅锌等有色金属矿的高效开发与其伴生元素的综合利用，并适用于矿山尾矿、废石、废水“三废”的资源化利用；</w:t>
            </w:r>
          </w:p>
          <w:p w14:paraId="321A8EF2">
            <w:pPr>
              <w:pStyle w:val="37"/>
            </w:pPr>
            <w:r>
              <w:t>6</w:t>
            </w:r>
            <w:r>
              <w:rPr>
                <w:rFonts w:hint="eastAsia"/>
              </w:rPr>
              <w:t>、铅锌硫多金属矿选别及回水利用；</w:t>
            </w:r>
          </w:p>
          <w:p w14:paraId="7B01A60F">
            <w:pPr>
              <w:pStyle w:val="37"/>
            </w:pPr>
            <w:r>
              <w:t>7</w:t>
            </w:r>
            <w:r>
              <w:rPr>
                <w:rFonts w:hint="eastAsia"/>
              </w:rPr>
              <w:t>、金属矿山选矿尾砂、干渣和冶炼废渣膏体充填技术：金属非金属矿山充填法开采，井下具备一定的干式运输充填系统，结合膏体胶结充填使充填效果达到最佳。</w:t>
            </w:r>
          </w:p>
        </w:tc>
      </w:tr>
    </w:tbl>
    <w:p w14:paraId="79E89743">
      <w:pPr>
        <w:pStyle w:val="4"/>
        <w:ind w:firstLine="643"/>
      </w:pPr>
      <w:r>
        <w:rPr>
          <w:rFonts w:hint="eastAsia"/>
        </w:rPr>
        <w:t xml:space="preserve"> </w:t>
      </w:r>
      <w:bookmarkStart w:id="39" w:name="_Toc479584502"/>
      <w:bookmarkStart w:id="40" w:name="_Toc482798174"/>
      <w:r>
        <w:rPr>
          <w:rFonts w:hint="eastAsia"/>
        </w:rPr>
        <w:t>健全矿产资源节约与综合利用激励约束机制</w:t>
      </w:r>
      <w:bookmarkEnd w:id="39"/>
      <w:bookmarkEnd w:id="40"/>
    </w:p>
    <w:p w14:paraId="4B6743EB">
      <w:pPr>
        <w:ind w:firstLine="640"/>
      </w:pPr>
      <w:r>
        <w:rPr>
          <w:rFonts w:hint="eastAsia"/>
        </w:rPr>
        <w:t>以国土资源部发布的矿产资源开发利用“三率”指标要求为管理依据，落实市、县国土资源监督管理职责，强化对采选企业“三率”的监测、监管与考核，形成基本覆盖全省主要地区的矿产综合利用考核监督管理体系。加大政策支持力度，充分利用国家鼓励提高矿产资源利用水平的财税和经济政策，为资源利用效率高、技术先进、实施综合勘查开发的矿山企业提供优先供地和其它优惠政策。</w:t>
      </w:r>
    </w:p>
    <w:p w14:paraId="66C7DAE8">
      <w:pPr>
        <w:pStyle w:val="4"/>
        <w:ind w:firstLine="640"/>
      </w:pPr>
      <w:r>
        <w:rPr>
          <w:rStyle w:val="30"/>
          <w:rFonts w:hint="eastAsia" w:eastAsia="仿宋"/>
          <w:b w:val="0"/>
          <w:bCs w:val="0"/>
          <w:sz w:val="32"/>
          <w:szCs w:val="30"/>
        </w:rPr>
        <w:t xml:space="preserve"> </w:t>
      </w:r>
      <w:bookmarkStart w:id="41" w:name="_Toc482798175"/>
      <w:bookmarkStart w:id="42" w:name="_Toc479584503"/>
      <w:r>
        <w:rPr>
          <w:rStyle w:val="30"/>
          <w:rFonts w:hint="eastAsia" w:eastAsia="仿宋"/>
          <w:b w:val="0"/>
          <w:bCs w:val="0"/>
          <w:sz w:val="32"/>
          <w:szCs w:val="30"/>
        </w:rPr>
        <w:t>严格开采规划准入管理</w:t>
      </w:r>
      <w:bookmarkEnd w:id="41"/>
      <w:bookmarkEnd w:id="42"/>
    </w:p>
    <w:p w14:paraId="0D4016DD">
      <w:pPr>
        <w:pStyle w:val="5"/>
        <w:ind w:firstLine="643"/>
      </w:pPr>
      <w:r>
        <w:rPr>
          <w:rFonts w:hint="eastAsia"/>
        </w:rPr>
        <w:t>办矿资质的准入条件</w:t>
      </w:r>
    </w:p>
    <w:p w14:paraId="00537F73">
      <w:pPr>
        <w:ind w:firstLine="640"/>
        <w:rPr>
          <w:rFonts w:ascii="仿宋" w:hAnsi="仿宋"/>
          <w:szCs w:val="32"/>
        </w:rPr>
      </w:pPr>
      <w:r>
        <w:rPr>
          <w:rFonts w:hint="eastAsia" w:ascii="仿宋" w:hAnsi="仿宋"/>
          <w:szCs w:val="32"/>
        </w:rPr>
        <w:t>具备独立企业法人资格，要生产规模相适应的资金以及先进的工艺技术和设备，具备与矿山开采规模相适应的人才、技术和管理制度。</w:t>
      </w:r>
    </w:p>
    <w:p w14:paraId="472D354A">
      <w:pPr>
        <w:pStyle w:val="5"/>
        <w:ind w:firstLine="643"/>
      </w:pPr>
      <w:r>
        <w:rPr>
          <w:rFonts w:hint="eastAsia"/>
        </w:rPr>
        <w:t>开采规模准入条件</w:t>
      </w:r>
    </w:p>
    <w:p w14:paraId="02322023">
      <w:pPr>
        <w:ind w:firstLine="640"/>
        <w:rPr>
          <w:rFonts w:ascii="仿宋" w:hAnsi="仿宋"/>
          <w:szCs w:val="32"/>
        </w:rPr>
      </w:pPr>
      <w:r>
        <w:rPr>
          <w:rFonts w:hint="eastAsia" w:ascii="仿宋" w:hAnsi="仿宋"/>
          <w:szCs w:val="32"/>
        </w:rPr>
        <w:t>严格执行四川省矿产资源总体规划要求和川安监[2014]17号《关于进一步做好金属非金属矿山整顿工作的通知》中有关“四川省主要矿产矿山最低开采规模”规定设置矿山最低生产规模。</w:t>
      </w:r>
    </w:p>
    <w:p w14:paraId="72C145C8">
      <w:pPr>
        <w:pStyle w:val="5"/>
        <w:ind w:firstLine="643"/>
      </w:pPr>
      <w:r>
        <w:rPr>
          <w:rFonts w:hint="eastAsia"/>
        </w:rPr>
        <w:t>矿山范围准入条件</w:t>
      </w:r>
    </w:p>
    <w:p w14:paraId="7325CF6C">
      <w:pPr>
        <w:ind w:firstLine="640"/>
        <w:rPr>
          <w:rFonts w:ascii="仿宋" w:hAnsi="仿宋"/>
          <w:szCs w:val="32"/>
        </w:rPr>
      </w:pPr>
      <w:r>
        <w:rPr>
          <w:rFonts w:hint="eastAsia" w:ascii="仿宋" w:hAnsi="仿宋"/>
          <w:szCs w:val="32"/>
        </w:rPr>
        <w:t>矿山范围不能超越方案确定的准许开采范围。</w:t>
      </w:r>
    </w:p>
    <w:p w14:paraId="334150C9">
      <w:pPr>
        <w:pStyle w:val="5"/>
        <w:ind w:firstLine="643"/>
      </w:pPr>
      <w:r>
        <w:rPr>
          <w:rFonts w:hint="eastAsia"/>
        </w:rPr>
        <w:t>资源准入条件</w:t>
      </w:r>
    </w:p>
    <w:p w14:paraId="494D8F33">
      <w:pPr>
        <w:ind w:firstLine="640"/>
        <w:rPr>
          <w:rFonts w:ascii="仿宋" w:hAnsi="仿宋"/>
          <w:szCs w:val="32"/>
        </w:rPr>
      </w:pPr>
      <w:r>
        <w:rPr>
          <w:rFonts w:hint="eastAsia" w:ascii="仿宋" w:hAnsi="仿宋"/>
          <w:szCs w:val="32"/>
        </w:rPr>
        <w:t>要有与矿山服务年限内开采规模相适应的资源储量规模，资源储量评价报告要有相应主管部门批准的地质勘查报告，服务年限不能低于5年。</w:t>
      </w:r>
    </w:p>
    <w:p w14:paraId="673107BE">
      <w:pPr>
        <w:pStyle w:val="5"/>
        <w:ind w:firstLine="643"/>
      </w:pPr>
      <w:r>
        <w:rPr>
          <w:rFonts w:hint="eastAsia"/>
        </w:rPr>
        <w:t>权属争议条件</w:t>
      </w:r>
    </w:p>
    <w:p w14:paraId="6A953216">
      <w:pPr>
        <w:ind w:firstLine="640"/>
        <w:rPr>
          <w:rFonts w:ascii="仿宋" w:hAnsi="仿宋"/>
          <w:szCs w:val="32"/>
        </w:rPr>
      </w:pPr>
      <w:r>
        <w:rPr>
          <w:rFonts w:hint="eastAsia" w:ascii="仿宋" w:hAnsi="仿宋"/>
          <w:szCs w:val="32"/>
        </w:rPr>
        <w:t>依法取得土地使用权、矿山范围内无权属争议、</w:t>
      </w:r>
    </w:p>
    <w:p w14:paraId="3AF0B724">
      <w:pPr>
        <w:pStyle w:val="5"/>
        <w:ind w:firstLine="643"/>
      </w:pPr>
      <w:r>
        <w:rPr>
          <w:rFonts w:hint="eastAsia"/>
        </w:rPr>
        <w:t>三率准入条件</w:t>
      </w:r>
    </w:p>
    <w:p w14:paraId="66DD9995">
      <w:pPr>
        <w:ind w:firstLine="640"/>
        <w:rPr>
          <w:rFonts w:ascii="仿宋" w:hAnsi="仿宋"/>
          <w:szCs w:val="32"/>
        </w:rPr>
      </w:pPr>
      <w:r>
        <w:rPr>
          <w:rFonts w:hint="eastAsia" w:ascii="仿宋" w:hAnsi="仿宋"/>
          <w:szCs w:val="32"/>
        </w:rPr>
        <w:t>矿山采矿回收率、采矿贫化率、选矿回收率和综合利用率要达到规划要求。</w:t>
      </w:r>
    </w:p>
    <w:p w14:paraId="44E889B5">
      <w:pPr>
        <w:pStyle w:val="5"/>
        <w:ind w:firstLine="643"/>
      </w:pPr>
      <w:r>
        <w:rPr>
          <w:rFonts w:hint="eastAsia"/>
        </w:rPr>
        <w:t>其它准入条件</w:t>
      </w:r>
    </w:p>
    <w:p w14:paraId="56AF7022">
      <w:pPr>
        <w:ind w:firstLine="640"/>
        <w:rPr>
          <w:rFonts w:ascii="仿宋" w:hAnsi="仿宋"/>
          <w:szCs w:val="32"/>
        </w:rPr>
      </w:pPr>
      <w:r>
        <w:rPr>
          <w:rFonts w:hint="eastAsia" w:ascii="仿宋" w:hAnsi="仿宋"/>
          <w:szCs w:val="32"/>
        </w:rPr>
        <w:t>符合国家规定的矿产资源开发利用方案和矿山建设管理制度；经相关部门审批的环境影响评价报告、安全评价报告、矿山地质环境保护与治理恢复方案、水土保持治理方案土地复垦方案等切实可行的矿山生产安全措施。</w:t>
      </w:r>
    </w:p>
    <w:p w14:paraId="6B419338">
      <w:pPr>
        <w:widowControl/>
        <w:adjustRightInd/>
        <w:snapToGrid/>
        <w:spacing w:line="240" w:lineRule="auto"/>
        <w:ind w:firstLine="0" w:firstLineChars="0"/>
        <w:jc w:val="left"/>
        <w:rPr>
          <w:rFonts w:ascii="仿宋" w:hAnsi="仿宋"/>
          <w:szCs w:val="32"/>
        </w:rPr>
      </w:pPr>
      <w:r>
        <w:rPr>
          <w:rFonts w:ascii="仿宋" w:hAnsi="仿宋"/>
          <w:szCs w:val="32"/>
        </w:rPr>
        <w:br w:type="page"/>
      </w:r>
    </w:p>
    <w:p w14:paraId="3C6232FB">
      <w:pPr>
        <w:ind w:firstLine="640"/>
      </w:pPr>
    </w:p>
    <w:p w14:paraId="71AA96E3">
      <w:pPr>
        <w:pStyle w:val="2"/>
        <w:rPr>
          <w:kern w:val="0"/>
        </w:rPr>
      </w:pPr>
      <w:bookmarkStart w:id="43" w:name="_Toc482798176"/>
      <w:r>
        <w:rPr>
          <w:rFonts w:hint="eastAsia"/>
          <w:kern w:val="0"/>
        </w:rPr>
        <w:t>严格规范砂石粘土／小型非金属矿产资源开发管理</w:t>
      </w:r>
      <w:bookmarkEnd w:id="43"/>
    </w:p>
    <w:p w14:paraId="107497E5">
      <w:pPr>
        <w:ind w:firstLine="640"/>
      </w:pPr>
      <w:r>
        <w:rPr>
          <w:rFonts w:hint="eastAsia"/>
        </w:rPr>
        <w:t>我市砂石粘土／小型非金属矿山主要有：建筑用灰岩、白云岩、玄武岩、砂岩、砖瓦用粘土岩等，具有数量多、规模小、分布广、均为露天开采等特点，绝大部</w:t>
      </w:r>
      <w:r>
        <w:rPr>
          <w:rFonts w:hint="eastAsia"/>
          <w:lang w:val="en-US" w:eastAsia="zh-CN"/>
        </w:rPr>
        <w:t>分</w:t>
      </w:r>
      <w:r>
        <w:rPr>
          <w:rFonts w:hint="eastAsia"/>
        </w:rPr>
        <w:t>矿山不仅在开采规模上达不到最低标准，实际开采量更是远低于颁证规定的开采规模。这些矿山均为当地居民或附近城镇建设所需，提供建筑用混凝土骨料，浆砌条石，砖混结构房屋所需砖瓦，由于受市场成本的控制，辐射范围小，产量也受市场影响，波动较大。</w:t>
      </w:r>
    </w:p>
    <w:p w14:paraId="29CEBE28">
      <w:pPr>
        <w:pStyle w:val="3"/>
        <w:ind w:firstLine="723"/>
      </w:pPr>
      <w:bookmarkStart w:id="44" w:name="_Toc482798177"/>
      <w:r>
        <w:rPr>
          <w:rFonts w:hint="eastAsia"/>
        </w:rPr>
        <w:t>合理调控开采总量</w:t>
      </w:r>
      <w:bookmarkEnd w:id="44"/>
    </w:p>
    <w:p w14:paraId="5C43DFB3">
      <w:pPr>
        <w:pStyle w:val="4"/>
        <w:ind w:firstLine="643"/>
      </w:pPr>
      <w:bookmarkStart w:id="45" w:name="_Toc479584505"/>
      <w:bookmarkStart w:id="46" w:name="_Toc482798178"/>
      <w:r>
        <w:rPr>
          <w:rFonts w:hint="eastAsia"/>
        </w:rPr>
        <w:t>采矿权数量</w:t>
      </w:r>
      <w:bookmarkEnd w:id="45"/>
      <w:bookmarkEnd w:id="46"/>
    </w:p>
    <w:p w14:paraId="0C7F7399">
      <w:pPr>
        <w:ind w:firstLine="640"/>
      </w:pPr>
      <w:r>
        <w:rPr>
          <w:rFonts w:hint="eastAsia"/>
        </w:rPr>
        <w:t>本</w:t>
      </w:r>
      <w:r>
        <w:t>市</w:t>
      </w:r>
      <w:r>
        <w:rPr>
          <w:rFonts w:hint="eastAsia"/>
        </w:rPr>
        <w:t>境内砂石粘土/小型非金属矿山具有数量多、分布广、开采规模小、产品销售的地域范围窄的特点。在县(区)级规划的基础上，不作调整，汇总各县(区)设置的采矿权数量作为市级规划采矿权规划总量。全市共设置砂石粘土/小型非金属矿采矿权343个，其中，已设采矿权保留193个，新设54个，调整95个，整合1个，共19个矿种。详见表</w:t>
      </w:r>
      <w:r>
        <w:t>7</w:t>
      </w:r>
      <w:r>
        <w:rPr>
          <w:rFonts w:hint="eastAsia"/>
        </w:rPr>
        <w:t>。</w:t>
      </w:r>
    </w:p>
    <w:p w14:paraId="32EDF872">
      <w:pPr>
        <w:pStyle w:val="4"/>
        <w:ind w:firstLine="643"/>
      </w:pPr>
      <w:bookmarkStart w:id="47" w:name="_Toc472321036"/>
      <w:bookmarkStart w:id="48" w:name="_Toc475349506"/>
      <w:r>
        <w:t xml:space="preserve"> </w:t>
      </w:r>
      <w:bookmarkStart w:id="49" w:name="_Toc479584506"/>
      <w:bookmarkStart w:id="50" w:name="_Toc482798179"/>
      <w:r>
        <w:rPr>
          <w:rFonts w:hint="eastAsia"/>
        </w:rPr>
        <w:t>矿产资源开采总量控制</w:t>
      </w:r>
      <w:bookmarkEnd w:id="47"/>
      <w:bookmarkEnd w:id="48"/>
      <w:bookmarkEnd w:id="49"/>
      <w:bookmarkEnd w:id="50"/>
    </w:p>
    <w:p w14:paraId="7756DD5D">
      <w:pPr>
        <w:pStyle w:val="5"/>
        <w:ind w:firstLine="643"/>
      </w:pPr>
      <w:r>
        <w:rPr>
          <w:rFonts w:hint="eastAsia"/>
        </w:rPr>
        <w:t xml:space="preserve"> 动态调控采矿权数量</w:t>
      </w:r>
    </w:p>
    <w:p w14:paraId="5E5BBCEB">
      <w:pPr>
        <w:ind w:firstLine="640"/>
      </w:pPr>
      <w:r>
        <w:rPr>
          <w:rFonts w:hint="eastAsia"/>
        </w:rPr>
        <w:t>按照由市场配置资源的原则，动态调整采矿权数量。依据部、省、市、县颁布的有关采矿权管理的法律、法规和管理办法，逐步对长期处于停产的、开采规模小于批准的开采规模的、采矿回收率未达设计标准的、资源量枯竭的、矿山地质环境破坏严重的以及存在违法违规行为的砂石粘土/小型非金属矿山实行限期整改，整改不力的依法予以关闭。鼓励相邻矿山在自愿的基础上兼并重组，以形成规模化开发利用，合理布局一批资源量大、开采技术条件好、采矿回收率高、对矿山地质环境影响小的矿山，控制矿山数量，促使本市的砂石粘土/小型非金属矿山数量维持在既满足社会经济发展的需求、又对矿山地质环境的影响较小的合理的范围内。</w:t>
      </w:r>
    </w:p>
    <w:p w14:paraId="739BFE60">
      <w:pPr>
        <w:pStyle w:val="5"/>
        <w:ind w:firstLine="643"/>
      </w:pPr>
      <w:r>
        <w:rPr>
          <w:rFonts w:hint="eastAsia"/>
        </w:rPr>
        <w:t xml:space="preserve"> 合理规划开采总量</w:t>
      </w:r>
    </w:p>
    <w:p w14:paraId="1A306E71">
      <w:pPr>
        <w:ind w:firstLine="640"/>
      </w:pPr>
      <w:r>
        <w:rPr>
          <w:rFonts w:hint="eastAsia"/>
        </w:rPr>
        <w:t>截止2015年底，全市范围内砂石粘土/小型非金属矿山资源开发利用现状详见下表。</w:t>
      </w:r>
    </w:p>
    <w:p w14:paraId="6B57AA7F">
      <w:pPr>
        <w:pStyle w:val="34"/>
        <w:spacing w:before="120"/>
      </w:pPr>
      <w:r>
        <w:rPr>
          <w:rFonts w:hint="eastAsia"/>
        </w:rPr>
        <w:t>砂石粘土/小型非金属矿山现状表</w:t>
      </w:r>
    </w:p>
    <w:tbl>
      <w:tblPr>
        <w:tblStyle w:val="18"/>
        <w:tblW w:w="5000" w:type="pct"/>
        <w:tblInd w:w="0" w:type="dxa"/>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Layout w:type="autofit"/>
        <w:tblCellMar>
          <w:top w:w="0" w:type="dxa"/>
          <w:left w:w="108" w:type="dxa"/>
          <w:bottom w:w="0" w:type="dxa"/>
          <w:right w:w="108" w:type="dxa"/>
        </w:tblCellMar>
      </w:tblPr>
      <w:tblGrid>
        <w:gridCol w:w="894"/>
        <w:gridCol w:w="2207"/>
        <w:gridCol w:w="1797"/>
        <w:gridCol w:w="1534"/>
        <w:gridCol w:w="1304"/>
        <w:gridCol w:w="1222"/>
      </w:tblGrid>
      <w:tr w14:paraId="2246F54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rPr>
          <w:tblHeader/>
        </w:trPr>
        <w:tc>
          <w:tcPr>
            <w:tcW w:w="499" w:type="pct"/>
            <w:shd w:val="clear" w:color="auto" w:fill="auto"/>
            <w:vAlign w:val="center"/>
          </w:tcPr>
          <w:p w14:paraId="7DF7CA5B">
            <w:pPr>
              <w:pStyle w:val="39"/>
            </w:pPr>
            <w:r>
              <w:rPr>
                <w:rFonts w:hint="eastAsia"/>
              </w:rPr>
              <w:t>序号</w:t>
            </w:r>
          </w:p>
        </w:tc>
        <w:tc>
          <w:tcPr>
            <w:tcW w:w="1232" w:type="pct"/>
            <w:shd w:val="clear" w:color="auto" w:fill="auto"/>
            <w:vAlign w:val="center"/>
          </w:tcPr>
          <w:p w14:paraId="772F9595">
            <w:pPr>
              <w:pStyle w:val="39"/>
            </w:pPr>
            <w:r>
              <w:rPr>
                <w:rFonts w:hint="eastAsia"/>
              </w:rPr>
              <w:t>矿种</w:t>
            </w:r>
          </w:p>
        </w:tc>
        <w:tc>
          <w:tcPr>
            <w:tcW w:w="1003" w:type="pct"/>
            <w:shd w:val="clear" w:color="auto" w:fill="auto"/>
            <w:vAlign w:val="center"/>
          </w:tcPr>
          <w:p w14:paraId="7459F36D">
            <w:pPr>
              <w:pStyle w:val="39"/>
            </w:pPr>
            <w:r>
              <w:rPr>
                <w:rFonts w:hint="eastAsia"/>
              </w:rPr>
              <w:t>占用</w:t>
            </w:r>
          </w:p>
          <w:p w14:paraId="36E9BFE1">
            <w:pPr>
              <w:pStyle w:val="39"/>
            </w:pPr>
            <w:r>
              <w:rPr>
                <w:rFonts w:hint="eastAsia"/>
              </w:rPr>
              <w:t>资源量</w:t>
            </w:r>
          </w:p>
          <w:p w14:paraId="1C75E93F">
            <w:pPr>
              <w:pStyle w:val="39"/>
            </w:pPr>
            <w:r>
              <w:rPr>
                <w:rFonts w:hint="eastAsia"/>
              </w:rPr>
              <w:t>(万吨)</w:t>
            </w:r>
          </w:p>
        </w:tc>
        <w:tc>
          <w:tcPr>
            <w:tcW w:w="856" w:type="pct"/>
            <w:shd w:val="clear" w:color="auto" w:fill="auto"/>
            <w:vAlign w:val="center"/>
          </w:tcPr>
          <w:p w14:paraId="4ADD0CC0">
            <w:pPr>
              <w:pStyle w:val="39"/>
            </w:pPr>
            <w:r>
              <w:rPr>
                <w:rFonts w:hint="eastAsia"/>
              </w:rPr>
              <w:t>批准开</w:t>
            </w:r>
          </w:p>
          <w:p w14:paraId="0F113A8A">
            <w:pPr>
              <w:pStyle w:val="39"/>
            </w:pPr>
            <w:r>
              <w:rPr>
                <w:rFonts w:hint="eastAsia"/>
              </w:rPr>
              <w:t>采规模</w:t>
            </w:r>
          </w:p>
          <w:p w14:paraId="1E0F7359">
            <w:pPr>
              <w:pStyle w:val="39"/>
            </w:pPr>
            <w:r>
              <w:rPr>
                <w:rFonts w:hint="eastAsia"/>
              </w:rPr>
              <w:t>(万吨</w:t>
            </w:r>
            <w:r>
              <w:t>/</w:t>
            </w:r>
            <w:r>
              <w:rPr>
                <w:rFonts w:hint="eastAsia"/>
              </w:rPr>
              <w:t>年)</w:t>
            </w:r>
          </w:p>
        </w:tc>
        <w:tc>
          <w:tcPr>
            <w:tcW w:w="728" w:type="pct"/>
            <w:shd w:val="clear" w:color="auto" w:fill="auto"/>
            <w:vAlign w:val="center"/>
          </w:tcPr>
          <w:p w14:paraId="5D759DBA">
            <w:pPr>
              <w:pStyle w:val="39"/>
            </w:pPr>
            <w:r>
              <w:rPr>
                <w:rFonts w:hint="eastAsia"/>
              </w:rPr>
              <w:t>实际</w:t>
            </w:r>
          </w:p>
          <w:p w14:paraId="0BA221DD">
            <w:pPr>
              <w:pStyle w:val="39"/>
            </w:pPr>
            <w:r>
              <w:rPr>
                <w:rFonts w:hint="eastAsia"/>
              </w:rPr>
              <w:t>产能</w:t>
            </w:r>
          </w:p>
          <w:p w14:paraId="4D7DB357">
            <w:pPr>
              <w:pStyle w:val="39"/>
            </w:pPr>
            <w:r>
              <w:rPr>
                <w:rFonts w:hint="eastAsia"/>
              </w:rPr>
              <w:t>(万吨)</w:t>
            </w:r>
          </w:p>
        </w:tc>
        <w:tc>
          <w:tcPr>
            <w:tcW w:w="682" w:type="pct"/>
            <w:shd w:val="clear" w:color="auto" w:fill="auto"/>
            <w:vAlign w:val="center"/>
          </w:tcPr>
          <w:p w14:paraId="03F9A82F">
            <w:pPr>
              <w:pStyle w:val="39"/>
            </w:pPr>
            <w:r>
              <w:rPr>
                <w:rFonts w:hint="eastAsia"/>
              </w:rPr>
              <w:t>采矿权</w:t>
            </w:r>
          </w:p>
          <w:p w14:paraId="27F2EF4C">
            <w:pPr>
              <w:pStyle w:val="39"/>
            </w:pPr>
            <w:r>
              <w:rPr>
                <w:rFonts w:hint="eastAsia"/>
              </w:rPr>
              <w:t>(个)</w:t>
            </w:r>
          </w:p>
        </w:tc>
      </w:tr>
      <w:tr w14:paraId="22211E8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4B56E4F7">
            <w:pPr>
              <w:pStyle w:val="39"/>
            </w:pPr>
            <w:r>
              <w:t>1</w:t>
            </w:r>
          </w:p>
        </w:tc>
        <w:tc>
          <w:tcPr>
            <w:tcW w:w="1232" w:type="pct"/>
            <w:shd w:val="clear" w:color="auto" w:fill="auto"/>
            <w:noWrap/>
            <w:vAlign w:val="center"/>
          </w:tcPr>
          <w:p w14:paraId="03F599DD">
            <w:pPr>
              <w:pStyle w:val="39"/>
            </w:pPr>
            <w:r>
              <w:rPr>
                <w:rFonts w:hint="eastAsia"/>
              </w:rPr>
              <w:t>硬质粘土</w:t>
            </w:r>
          </w:p>
        </w:tc>
        <w:tc>
          <w:tcPr>
            <w:tcW w:w="1003" w:type="pct"/>
            <w:shd w:val="clear" w:color="auto" w:fill="auto"/>
            <w:vAlign w:val="center"/>
          </w:tcPr>
          <w:p w14:paraId="73A1817E">
            <w:pPr>
              <w:pStyle w:val="39"/>
            </w:pPr>
            <w:r>
              <w:t>15.64</w:t>
            </w:r>
          </w:p>
        </w:tc>
        <w:tc>
          <w:tcPr>
            <w:tcW w:w="856" w:type="pct"/>
            <w:shd w:val="clear" w:color="auto" w:fill="auto"/>
            <w:vAlign w:val="center"/>
          </w:tcPr>
          <w:p w14:paraId="1571EBFF">
            <w:pPr>
              <w:pStyle w:val="39"/>
            </w:pPr>
            <w:r>
              <w:t>0.814</w:t>
            </w:r>
          </w:p>
        </w:tc>
        <w:tc>
          <w:tcPr>
            <w:tcW w:w="728" w:type="pct"/>
            <w:shd w:val="clear" w:color="auto" w:fill="auto"/>
            <w:vAlign w:val="center"/>
          </w:tcPr>
          <w:p w14:paraId="0FA41F01">
            <w:pPr>
              <w:pStyle w:val="39"/>
            </w:pPr>
            <w:r>
              <w:t>0.814</w:t>
            </w:r>
          </w:p>
        </w:tc>
        <w:tc>
          <w:tcPr>
            <w:tcW w:w="682" w:type="pct"/>
            <w:shd w:val="clear" w:color="auto" w:fill="auto"/>
            <w:vAlign w:val="center"/>
          </w:tcPr>
          <w:p w14:paraId="452D2AEF">
            <w:pPr>
              <w:pStyle w:val="39"/>
            </w:pPr>
            <w:r>
              <w:rPr>
                <w:rFonts w:hint="eastAsia"/>
              </w:rPr>
              <w:t>8</w:t>
            </w:r>
          </w:p>
        </w:tc>
      </w:tr>
      <w:tr w14:paraId="2195B77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1CC0BAF4">
            <w:pPr>
              <w:pStyle w:val="39"/>
            </w:pPr>
            <w:r>
              <w:t>2</w:t>
            </w:r>
          </w:p>
        </w:tc>
        <w:tc>
          <w:tcPr>
            <w:tcW w:w="1232" w:type="pct"/>
            <w:shd w:val="clear" w:color="auto" w:fill="auto"/>
            <w:vAlign w:val="center"/>
          </w:tcPr>
          <w:p w14:paraId="46A70854">
            <w:pPr>
              <w:pStyle w:val="39"/>
            </w:pPr>
            <w:r>
              <w:rPr>
                <w:rFonts w:hint="eastAsia"/>
              </w:rPr>
              <w:t>水泥用粘土</w:t>
            </w:r>
          </w:p>
        </w:tc>
        <w:tc>
          <w:tcPr>
            <w:tcW w:w="1003" w:type="pct"/>
            <w:shd w:val="clear" w:color="auto" w:fill="auto"/>
            <w:vAlign w:val="center"/>
          </w:tcPr>
          <w:p w14:paraId="699A7771">
            <w:pPr>
              <w:pStyle w:val="39"/>
            </w:pPr>
            <w:r>
              <w:t>58.995</w:t>
            </w:r>
          </w:p>
        </w:tc>
        <w:tc>
          <w:tcPr>
            <w:tcW w:w="856" w:type="pct"/>
            <w:shd w:val="clear" w:color="auto" w:fill="auto"/>
            <w:vAlign w:val="center"/>
          </w:tcPr>
          <w:p w14:paraId="234ED52A">
            <w:pPr>
              <w:pStyle w:val="39"/>
            </w:pPr>
            <w:r>
              <w:t>7.77</w:t>
            </w:r>
          </w:p>
        </w:tc>
        <w:tc>
          <w:tcPr>
            <w:tcW w:w="728" w:type="pct"/>
            <w:shd w:val="clear" w:color="auto" w:fill="auto"/>
            <w:vAlign w:val="center"/>
          </w:tcPr>
          <w:p w14:paraId="1A768D16">
            <w:pPr>
              <w:pStyle w:val="39"/>
            </w:pPr>
            <w:r>
              <w:t>7.77</w:t>
            </w:r>
          </w:p>
        </w:tc>
        <w:tc>
          <w:tcPr>
            <w:tcW w:w="682" w:type="pct"/>
            <w:shd w:val="clear" w:color="auto" w:fill="auto"/>
            <w:vAlign w:val="center"/>
          </w:tcPr>
          <w:p w14:paraId="66AD9FE8">
            <w:pPr>
              <w:pStyle w:val="39"/>
            </w:pPr>
            <w:r>
              <w:t>3</w:t>
            </w:r>
          </w:p>
        </w:tc>
      </w:tr>
      <w:tr w14:paraId="7D6E4B1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20D26616">
            <w:pPr>
              <w:pStyle w:val="39"/>
            </w:pPr>
            <w:r>
              <w:t>3</w:t>
            </w:r>
          </w:p>
        </w:tc>
        <w:tc>
          <w:tcPr>
            <w:tcW w:w="1232" w:type="pct"/>
            <w:shd w:val="clear" w:color="auto" w:fill="auto"/>
            <w:vAlign w:val="center"/>
          </w:tcPr>
          <w:p w14:paraId="5CA0574C">
            <w:pPr>
              <w:pStyle w:val="39"/>
            </w:pPr>
            <w:r>
              <w:rPr>
                <w:rFonts w:hint="eastAsia"/>
              </w:rPr>
              <w:t>玄武岩</w:t>
            </w:r>
          </w:p>
        </w:tc>
        <w:tc>
          <w:tcPr>
            <w:tcW w:w="1003" w:type="pct"/>
            <w:shd w:val="clear" w:color="auto" w:fill="auto"/>
            <w:vAlign w:val="center"/>
          </w:tcPr>
          <w:p w14:paraId="745EC22C">
            <w:pPr>
              <w:pStyle w:val="39"/>
            </w:pPr>
            <w:r>
              <w:t>1867.27</w:t>
            </w:r>
          </w:p>
        </w:tc>
        <w:tc>
          <w:tcPr>
            <w:tcW w:w="856" w:type="pct"/>
            <w:shd w:val="clear" w:color="auto" w:fill="auto"/>
            <w:vAlign w:val="center"/>
          </w:tcPr>
          <w:p w14:paraId="25769872">
            <w:pPr>
              <w:pStyle w:val="39"/>
            </w:pPr>
            <w:r>
              <w:t>116.34</w:t>
            </w:r>
          </w:p>
        </w:tc>
        <w:tc>
          <w:tcPr>
            <w:tcW w:w="728" w:type="pct"/>
            <w:shd w:val="clear" w:color="auto" w:fill="auto"/>
            <w:vAlign w:val="center"/>
          </w:tcPr>
          <w:p w14:paraId="5942DC11">
            <w:pPr>
              <w:pStyle w:val="39"/>
            </w:pPr>
            <w:r>
              <w:t>102.007</w:t>
            </w:r>
          </w:p>
        </w:tc>
        <w:tc>
          <w:tcPr>
            <w:tcW w:w="682" w:type="pct"/>
            <w:shd w:val="clear" w:color="auto" w:fill="auto"/>
            <w:vAlign w:val="center"/>
          </w:tcPr>
          <w:p w14:paraId="6BCA4639">
            <w:pPr>
              <w:pStyle w:val="39"/>
            </w:pPr>
            <w:r>
              <w:rPr>
                <w:rFonts w:hint="eastAsia"/>
              </w:rPr>
              <w:t>45</w:t>
            </w:r>
          </w:p>
        </w:tc>
      </w:tr>
      <w:tr w14:paraId="76DBBC7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3BC9CDB1">
            <w:pPr>
              <w:pStyle w:val="39"/>
            </w:pPr>
            <w:r>
              <w:t>4</w:t>
            </w:r>
          </w:p>
        </w:tc>
        <w:tc>
          <w:tcPr>
            <w:tcW w:w="1232" w:type="pct"/>
            <w:shd w:val="clear" w:color="auto" w:fill="auto"/>
            <w:vAlign w:val="center"/>
          </w:tcPr>
          <w:p w14:paraId="147958C2">
            <w:pPr>
              <w:pStyle w:val="39"/>
            </w:pPr>
            <w:r>
              <w:rPr>
                <w:rFonts w:hint="eastAsia"/>
              </w:rPr>
              <w:t>陶粒用粘土</w:t>
            </w:r>
          </w:p>
        </w:tc>
        <w:tc>
          <w:tcPr>
            <w:tcW w:w="1003" w:type="pct"/>
            <w:shd w:val="clear" w:color="auto" w:fill="auto"/>
            <w:vAlign w:val="center"/>
          </w:tcPr>
          <w:p w14:paraId="52C13418">
            <w:pPr>
              <w:pStyle w:val="39"/>
            </w:pPr>
            <w:r>
              <w:t>50.199</w:t>
            </w:r>
          </w:p>
        </w:tc>
        <w:tc>
          <w:tcPr>
            <w:tcW w:w="856" w:type="pct"/>
            <w:shd w:val="clear" w:color="auto" w:fill="auto"/>
            <w:vAlign w:val="center"/>
          </w:tcPr>
          <w:p w14:paraId="4E936C8D">
            <w:pPr>
              <w:pStyle w:val="39"/>
            </w:pPr>
            <w:r>
              <w:t>5</w:t>
            </w:r>
          </w:p>
        </w:tc>
        <w:tc>
          <w:tcPr>
            <w:tcW w:w="728" w:type="pct"/>
            <w:shd w:val="clear" w:color="auto" w:fill="auto"/>
            <w:vAlign w:val="center"/>
          </w:tcPr>
          <w:p w14:paraId="27479252">
            <w:pPr>
              <w:pStyle w:val="39"/>
            </w:pPr>
            <w:r>
              <w:t>2.87</w:t>
            </w:r>
          </w:p>
        </w:tc>
        <w:tc>
          <w:tcPr>
            <w:tcW w:w="682" w:type="pct"/>
            <w:shd w:val="clear" w:color="auto" w:fill="auto"/>
            <w:vAlign w:val="center"/>
          </w:tcPr>
          <w:p w14:paraId="204A439D">
            <w:pPr>
              <w:pStyle w:val="39"/>
            </w:pPr>
            <w:r>
              <w:t>1</w:t>
            </w:r>
          </w:p>
        </w:tc>
      </w:tr>
      <w:tr w14:paraId="61B0B157">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7F6A6AB7">
            <w:pPr>
              <w:pStyle w:val="39"/>
            </w:pPr>
            <w:r>
              <w:t>5</w:t>
            </w:r>
          </w:p>
        </w:tc>
        <w:tc>
          <w:tcPr>
            <w:tcW w:w="1232" w:type="pct"/>
            <w:shd w:val="clear" w:color="auto" w:fill="auto"/>
            <w:vAlign w:val="center"/>
          </w:tcPr>
          <w:p w14:paraId="3024CC60">
            <w:pPr>
              <w:pStyle w:val="39"/>
            </w:pPr>
            <w:r>
              <w:rPr>
                <w:rFonts w:hint="eastAsia"/>
              </w:rPr>
              <w:t>伊利石粘土</w:t>
            </w:r>
          </w:p>
        </w:tc>
        <w:tc>
          <w:tcPr>
            <w:tcW w:w="1003" w:type="pct"/>
            <w:shd w:val="clear" w:color="auto" w:fill="auto"/>
            <w:vAlign w:val="center"/>
          </w:tcPr>
          <w:p w14:paraId="191B423D">
            <w:pPr>
              <w:pStyle w:val="39"/>
            </w:pPr>
            <w:r>
              <w:t>4107.94383</w:t>
            </w:r>
          </w:p>
        </w:tc>
        <w:tc>
          <w:tcPr>
            <w:tcW w:w="856" w:type="pct"/>
            <w:shd w:val="clear" w:color="auto" w:fill="auto"/>
            <w:vAlign w:val="center"/>
          </w:tcPr>
          <w:p w14:paraId="094B97CA">
            <w:pPr>
              <w:pStyle w:val="39"/>
            </w:pPr>
            <w:r>
              <w:t>124.5</w:t>
            </w:r>
          </w:p>
        </w:tc>
        <w:tc>
          <w:tcPr>
            <w:tcW w:w="728" w:type="pct"/>
            <w:shd w:val="clear" w:color="auto" w:fill="auto"/>
            <w:vAlign w:val="center"/>
          </w:tcPr>
          <w:p w14:paraId="7546ABE6">
            <w:pPr>
              <w:pStyle w:val="39"/>
            </w:pPr>
            <w:r>
              <w:t>97.99</w:t>
            </w:r>
          </w:p>
        </w:tc>
        <w:tc>
          <w:tcPr>
            <w:tcW w:w="682" w:type="pct"/>
            <w:shd w:val="clear" w:color="auto" w:fill="auto"/>
            <w:vAlign w:val="center"/>
          </w:tcPr>
          <w:p w14:paraId="7EDF4321">
            <w:pPr>
              <w:pStyle w:val="39"/>
            </w:pPr>
            <w:r>
              <w:t>29</w:t>
            </w:r>
          </w:p>
        </w:tc>
      </w:tr>
      <w:tr w14:paraId="6ACA0D07">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161818DB">
            <w:pPr>
              <w:pStyle w:val="39"/>
            </w:pPr>
            <w:r>
              <w:t>6</w:t>
            </w:r>
          </w:p>
        </w:tc>
        <w:tc>
          <w:tcPr>
            <w:tcW w:w="1232" w:type="pct"/>
            <w:shd w:val="clear" w:color="auto" w:fill="auto"/>
            <w:noWrap/>
            <w:vAlign w:val="center"/>
          </w:tcPr>
          <w:p w14:paraId="33276F31">
            <w:pPr>
              <w:pStyle w:val="39"/>
            </w:pPr>
            <w:r>
              <w:rPr>
                <w:rFonts w:hint="eastAsia"/>
              </w:rPr>
              <w:t>陶瓷土</w:t>
            </w:r>
          </w:p>
        </w:tc>
        <w:tc>
          <w:tcPr>
            <w:tcW w:w="1003" w:type="pct"/>
            <w:shd w:val="clear" w:color="auto" w:fill="auto"/>
            <w:vAlign w:val="center"/>
          </w:tcPr>
          <w:p w14:paraId="593B7578">
            <w:pPr>
              <w:pStyle w:val="39"/>
            </w:pPr>
            <w:r>
              <w:t>1431.888</w:t>
            </w:r>
          </w:p>
        </w:tc>
        <w:tc>
          <w:tcPr>
            <w:tcW w:w="856" w:type="pct"/>
            <w:shd w:val="clear" w:color="auto" w:fill="auto"/>
            <w:vAlign w:val="center"/>
          </w:tcPr>
          <w:p w14:paraId="53D7D20D">
            <w:pPr>
              <w:pStyle w:val="39"/>
            </w:pPr>
            <w:r>
              <w:t>73.86</w:t>
            </w:r>
          </w:p>
        </w:tc>
        <w:tc>
          <w:tcPr>
            <w:tcW w:w="728" w:type="pct"/>
            <w:shd w:val="clear" w:color="auto" w:fill="auto"/>
            <w:vAlign w:val="center"/>
          </w:tcPr>
          <w:p w14:paraId="771B0559">
            <w:pPr>
              <w:pStyle w:val="39"/>
            </w:pPr>
            <w:r>
              <w:t>55.3</w:t>
            </w:r>
          </w:p>
        </w:tc>
        <w:tc>
          <w:tcPr>
            <w:tcW w:w="682" w:type="pct"/>
            <w:shd w:val="clear" w:color="auto" w:fill="auto"/>
            <w:vAlign w:val="center"/>
          </w:tcPr>
          <w:p w14:paraId="2D95082B">
            <w:pPr>
              <w:pStyle w:val="39"/>
            </w:pPr>
            <w:r>
              <w:t>7</w:t>
            </w:r>
          </w:p>
        </w:tc>
      </w:tr>
      <w:tr w14:paraId="182F9F3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1F1651C9">
            <w:pPr>
              <w:pStyle w:val="39"/>
            </w:pPr>
            <w:r>
              <w:t>7</w:t>
            </w:r>
          </w:p>
        </w:tc>
        <w:tc>
          <w:tcPr>
            <w:tcW w:w="1232" w:type="pct"/>
            <w:shd w:val="clear" w:color="auto" w:fill="auto"/>
            <w:noWrap/>
            <w:vAlign w:val="center"/>
          </w:tcPr>
          <w:p w14:paraId="605A541B">
            <w:pPr>
              <w:pStyle w:val="39"/>
            </w:pPr>
            <w:r>
              <w:rPr>
                <w:rFonts w:hint="eastAsia"/>
              </w:rPr>
              <w:t>玻璃用脉石英</w:t>
            </w:r>
          </w:p>
        </w:tc>
        <w:tc>
          <w:tcPr>
            <w:tcW w:w="1003" w:type="pct"/>
            <w:shd w:val="clear" w:color="auto" w:fill="auto"/>
            <w:vAlign w:val="center"/>
          </w:tcPr>
          <w:p w14:paraId="70220AA5">
            <w:pPr>
              <w:pStyle w:val="39"/>
            </w:pPr>
            <w:r>
              <w:t>110.01</w:t>
            </w:r>
          </w:p>
        </w:tc>
        <w:tc>
          <w:tcPr>
            <w:tcW w:w="856" w:type="pct"/>
            <w:shd w:val="clear" w:color="auto" w:fill="auto"/>
            <w:vAlign w:val="center"/>
          </w:tcPr>
          <w:p w14:paraId="6F1CCDE9">
            <w:pPr>
              <w:pStyle w:val="39"/>
            </w:pPr>
            <w:r>
              <w:t>10</w:t>
            </w:r>
          </w:p>
        </w:tc>
        <w:tc>
          <w:tcPr>
            <w:tcW w:w="728" w:type="pct"/>
            <w:shd w:val="clear" w:color="auto" w:fill="auto"/>
            <w:vAlign w:val="center"/>
          </w:tcPr>
          <w:p w14:paraId="4C73DE64">
            <w:pPr>
              <w:pStyle w:val="39"/>
            </w:pPr>
            <w:r>
              <w:t>2</w:t>
            </w:r>
          </w:p>
        </w:tc>
        <w:tc>
          <w:tcPr>
            <w:tcW w:w="682" w:type="pct"/>
            <w:shd w:val="clear" w:color="auto" w:fill="auto"/>
            <w:vAlign w:val="center"/>
          </w:tcPr>
          <w:p w14:paraId="4006F35C">
            <w:pPr>
              <w:pStyle w:val="39"/>
            </w:pPr>
            <w:r>
              <w:t>3</w:t>
            </w:r>
          </w:p>
        </w:tc>
      </w:tr>
      <w:tr w14:paraId="4E8FC5E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08385895">
            <w:pPr>
              <w:pStyle w:val="39"/>
            </w:pPr>
            <w:r>
              <w:t>8</w:t>
            </w:r>
          </w:p>
        </w:tc>
        <w:tc>
          <w:tcPr>
            <w:tcW w:w="1232" w:type="pct"/>
            <w:shd w:val="clear" w:color="auto" w:fill="auto"/>
            <w:noWrap/>
            <w:vAlign w:val="center"/>
          </w:tcPr>
          <w:p w14:paraId="1AC53F6E">
            <w:pPr>
              <w:pStyle w:val="39"/>
            </w:pPr>
            <w:r>
              <w:rPr>
                <w:rFonts w:hint="eastAsia"/>
              </w:rPr>
              <w:t>建筑用砂岩</w:t>
            </w:r>
          </w:p>
        </w:tc>
        <w:tc>
          <w:tcPr>
            <w:tcW w:w="1003" w:type="pct"/>
            <w:shd w:val="clear" w:color="auto" w:fill="auto"/>
            <w:vAlign w:val="center"/>
          </w:tcPr>
          <w:p w14:paraId="10A2888E">
            <w:pPr>
              <w:pStyle w:val="39"/>
            </w:pPr>
            <w:r>
              <w:t>349.37</w:t>
            </w:r>
          </w:p>
        </w:tc>
        <w:tc>
          <w:tcPr>
            <w:tcW w:w="856" w:type="pct"/>
            <w:shd w:val="clear" w:color="auto" w:fill="auto"/>
            <w:vAlign w:val="center"/>
          </w:tcPr>
          <w:p w14:paraId="345B63A4">
            <w:pPr>
              <w:pStyle w:val="39"/>
            </w:pPr>
            <w:r>
              <w:t>44.45</w:t>
            </w:r>
          </w:p>
        </w:tc>
        <w:tc>
          <w:tcPr>
            <w:tcW w:w="728" w:type="pct"/>
            <w:shd w:val="clear" w:color="auto" w:fill="auto"/>
            <w:vAlign w:val="center"/>
          </w:tcPr>
          <w:p w14:paraId="5B07BFCD">
            <w:pPr>
              <w:pStyle w:val="39"/>
            </w:pPr>
            <w:r>
              <w:t>26.55</w:t>
            </w:r>
          </w:p>
        </w:tc>
        <w:tc>
          <w:tcPr>
            <w:tcW w:w="682" w:type="pct"/>
            <w:shd w:val="clear" w:color="auto" w:fill="auto"/>
            <w:vAlign w:val="center"/>
          </w:tcPr>
          <w:p w14:paraId="1B4F0C30">
            <w:pPr>
              <w:pStyle w:val="39"/>
            </w:pPr>
            <w:r>
              <w:t>1</w:t>
            </w:r>
            <w:r>
              <w:rPr>
                <w:rFonts w:hint="eastAsia"/>
              </w:rPr>
              <w:t>2</w:t>
            </w:r>
          </w:p>
        </w:tc>
      </w:tr>
      <w:tr w14:paraId="220E40A1">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14EB8950">
            <w:pPr>
              <w:pStyle w:val="39"/>
            </w:pPr>
            <w:r>
              <w:t>9</w:t>
            </w:r>
          </w:p>
        </w:tc>
        <w:tc>
          <w:tcPr>
            <w:tcW w:w="1232" w:type="pct"/>
            <w:shd w:val="clear" w:color="auto" w:fill="auto"/>
            <w:noWrap/>
            <w:vAlign w:val="center"/>
          </w:tcPr>
          <w:p w14:paraId="3791B057">
            <w:pPr>
              <w:pStyle w:val="39"/>
            </w:pPr>
            <w:r>
              <w:rPr>
                <w:rFonts w:hint="eastAsia"/>
              </w:rPr>
              <w:t>石英砂岩</w:t>
            </w:r>
          </w:p>
        </w:tc>
        <w:tc>
          <w:tcPr>
            <w:tcW w:w="1003" w:type="pct"/>
            <w:shd w:val="clear" w:color="auto" w:fill="auto"/>
            <w:vAlign w:val="center"/>
          </w:tcPr>
          <w:p w14:paraId="77B22722">
            <w:pPr>
              <w:pStyle w:val="39"/>
            </w:pPr>
            <w:r>
              <w:t>2433.62</w:t>
            </w:r>
          </w:p>
        </w:tc>
        <w:tc>
          <w:tcPr>
            <w:tcW w:w="856" w:type="pct"/>
            <w:shd w:val="clear" w:color="auto" w:fill="auto"/>
            <w:vAlign w:val="center"/>
          </w:tcPr>
          <w:p w14:paraId="4F34448D">
            <w:pPr>
              <w:pStyle w:val="39"/>
            </w:pPr>
            <w:r>
              <w:t>123</w:t>
            </w:r>
          </w:p>
        </w:tc>
        <w:tc>
          <w:tcPr>
            <w:tcW w:w="728" w:type="pct"/>
            <w:shd w:val="clear" w:color="auto" w:fill="auto"/>
            <w:vAlign w:val="center"/>
          </w:tcPr>
          <w:p w14:paraId="0523D4CA">
            <w:pPr>
              <w:pStyle w:val="39"/>
            </w:pPr>
            <w:r>
              <w:t>99</w:t>
            </w:r>
          </w:p>
        </w:tc>
        <w:tc>
          <w:tcPr>
            <w:tcW w:w="682" w:type="pct"/>
            <w:shd w:val="clear" w:color="auto" w:fill="auto"/>
            <w:vAlign w:val="center"/>
          </w:tcPr>
          <w:p w14:paraId="29281076">
            <w:pPr>
              <w:pStyle w:val="39"/>
            </w:pPr>
            <w:r>
              <w:t>1</w:t>
            </w:r>
            <w:r>
              <w:rPr>
                <w:rFonts w:hint="eastAsia"/>
              </w:rPr>
              <w:t>5</w:t>
            </w:r>
          </w:p>
        </w:tc>
      </w:tr>
      <w:tr w14:paraId="532F7CF3">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20067076">
            <w:pPr>
              <w:pStyle w:val="39"/>
            </w:pPr>
            <w:r>
              <w:t>10</w:t>
            </w:r>
          </w:p>
        </w:tc>
        <w:tc>
          <w:tcPr>
            <w:tcW w:w="1232" w:type="pct"/>
            <w:shd w:val="clear" w:color="auto" w:fill="auto"/>
            <w:vAlign w:val="center"/>
          </w:tcPr>
          <w:p w14:paraId="221950D5">
            <w:pPr>
              <w:pStyle w:val="39"/>
            </w:pPr>
            <w:r>
              <w:rPr>
                <w:rFonts w:hint="eastAsia"/>
              </w:rPr>
              <w:t>建筑用白云岩</w:t>
            </w:r>
          </w:p>
        </w:tc>
        <w:tc>
          <w:tcPr>
            <w:tcW w:w="1003" w:type="pct"/>
            <w:shd w:val="clear" w:color="auto" w:fill="auto"/>
            <w:vAlign w:val="center"/>
          </w:tcPr>
          <w:p w14:paraId="37FEB85B">
            <w:pPr>
              <w:pStyle w:val="39"/>
            </w:pPr>
            <w:r>
              <w:t>635.04</w:t>
            </w:r>
          </w:p>
        </w:tc>
        <w:tc>
          <w:tcPr>
            <w:tcW w:w="856" w:type="pct"/>
            <w:shd w:val="clear" w:color="auto" w:fill="auto"/>
            <w:vAlign w:val="center"/>
          </w:tcPr>
          <w:p w14:paraId="6E57BE63">
            <w:pPr>
              <w:pStyle w:val="39"/>
            </w:pPr>
            <w:r>
              <w:t>30.8</w:t>
            </w:r>
          </w:p>
        </w:tc>
        <w:tc>
          <w:tcPr>
            <w:tcW w:w="728" w:type="pct"/>
            <w:shd w:val="clear" w:color="auto" w:fill="auto"/>
            <w:vAlign w:val="center"/>
          </w:tcPr>
          <w:p w14:paraId="427F57B2">
            <w:pPr>
              <w:pStyle w:val="39"/>
            </w:pPr>
            <w:r>
              <w:t>25.3</w:t>
            </w:r>
          </w:p>
        </w:tc>
        <w:tc>
          <w:tcPr>
            <w:tcW w:w="682" w:type="pct"/>
            <w:shd w:val="clear" w:color="auto" w:fill="auto"/>
            <w:vAlign w:val="center"/>
          </w:tcPr>
          <w:p w14:paraId="657FED80">
            <w:pPr>
              <w:pStyle w:val="39"/>
            </w:pPr>
            <w:r>
              <w:t>10</w:t>
            </w:r>
          </w:p>
        </w:tc>
      </w:tr>
      <w:tr w14:paraId="65597A4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4734F0B5">
            <w:pPr>
              <w:pStyle w:val="39"/>
            </w:pPr>
            <w:r>
              <w:t>11</w:t>
            </w:r>
          </w:p>
        </w:tc>
        <w:tc>
          <w:tcPr>
            <w:tcW w:w="1232" w:type="pct"/>
            <w:shd w:val="clear" w:color="auto" w:fill="auto"/>
            <w:noWrap/>
            <w:vAlign w:val="center"/>
          </w:tcPr>
          <w:p w14:paraId="18404271">
            <w:pPr>
              <w:pStyle w:val="39"/>
            </w:pPr>
            <w:r>
              <w:rPr>
                <w:rFonts w:hint="eastAsia"/>
              </w:rPr>
              <w:t>白云岩</w:t>
            </w:r>
          </w:p>
        </w:tc>
        <w:tc>
          <w:tcPr>
            <w:tcW w:w="1003" w:type="pct"/>
            <w:shd w:val="clear" w:color="auto" w:fill="auto"/>
            <w:vAlign w:val="center"/>
          </w:tcPr>
          <w:p w14:paraId="276485CE">
            <w:pPr>
              <w:pStyle w:val="39"/>
            </w:pPr>
            <w:r>
              <w:t>69.01</w:t>
            </w:r>
          </w:p>
        </w:tc>
        <w:tc>
          <w:tcPr>
            <w:tcW w:w="856" w:type="pct"/>
            <w:shd w:val="clear" w:color="auto" w:fill="auto"/>
            <w:vAlign w:val="center"/>
          </w:tcPr>
          <w:p w14:paraId="06F1C650">
            <w:pPr>
              <w:pStyle w:val="39"/>
            </w:pPr>
            <w:r>
              <w:t>6</w:t>
            </w:r>
          </w:p>
        </w:tc>
        <w:tc>
          <w:tcPr>
            <w:tcW w:w="728" w:type="pct"/>
            <w:shd w:val="clear" w:color="auto" w:fill="auto"/>
            <w:vAlign w:val="center"/>
          </w:tcPr>
          <w:p w14:paraId="05335F0E">
            <w:pPr>
              <w:pStyle w:val="39"/>
            </w:pPr>
            <w:r>
              <w:t>6</w:t>
            </w:r>
          </w:p>
        </w:tc>
        <w:tc>
          <w:tcPr>
            <w:tcW w:w="682" w:type="pct"/>
            <w:shd w:val="clear" w:color="auto" w:fill="auto"/>
            <w:vAlign w:val="center"/>
          </w:tcPr>
          <w:p w14:paraId="27E46D94">
            <w:pPr>
              <w:pStyle w:val="39"/>
            </w:pPr>
            <w:r>
              <w:rPr>
                <w:rFonts w:hint="eastAsia"/>
              </w:rPr>
              <w:t>3</w:t>
            </w:r>
          </w:p>
        </w:tc>
      </w:tr>
      <w:tr w14:paraId="5F4CD000">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43D50C9B">
            <w:pPr>
              <w:pStyle w:val="39"/>
            </w:pPr>
            <w:r>
              <w:t>12</w:t>
            </w:r>
          </w:p>
        </w:tc>
        <w:tc>
          <w:tcPr>
            <w:tcW w:w="1232" w:type="pct"/>
            <w:shd w:val="clear" w:color="auto" w:fill="auto"/>
            <w:vAlign w:val="center"/>
          </w:tcPr>
          <w:p w14:paraId="36542924">
            <w:pPr>
              <w:pStyle w:val="39"/>
            </w:pPr>
            <w:r>
              <w:rPr>
                <w:rFonts w:hint="eastAsia"/>
              </w:rPr>
              <w:t>石灰岩</w:t>
            </w:r>
          </w:p>
        </w:tc>
        <w:tc>
          <w:tcPr>
            <w:tcW w:w="1003" w:type="pct"/>
            <w:shd w:val="clear" w:color="auto" w:fill="auto"/>
            <w:vAlign w:val="center"/>
          </w:tcPr>
          <w:p w14:paraId="1B883F29">
            <w:pPr>
              <w:pStyle w:val="39"/>
            </w:pPr>
            <w:r>
              <w:t>422.1</w:t>
            </w:r>
          </w:p>
        </w:tc>
        <w:tc>
          <w:tcPr>
            <w:tcW w:w="856" w:type="pct"/>
            <w:shd w:val="clear" w:color="auto" w:fill="auto"/>
            <w:vAlign w:val="center"/>
          </w:tcPr>
          <w:p w14:paraId="15316283">
            <w:pPr>
              <w:pStyle w:val="39"/>
            </w:pPr>
            <w:r>
              <w:t>43</w:t>
            </w:r>
          </w:p>
        </w:tc>
        <w:tc>
          <w:tcPr>
            <w:tcW w:w="728" w:type="pct"/>
            <w:shd w:val="clear" w:color="auto" w:fill="auto"/>
            <w:vAlign w:val="center"/>
          </w:tcPr>
          <w:p w14:paraId="328DE28B">
            <w:pPr>
              <w:pStyle w:val="39"/>
            </w:pPr>
            <w:r>
              <w:t>43</w:t>
            </w:r>
          </w:p>
        </w:tc>
        <w:tc>
          <w:tcPr>
            <w:tcW w:w="682" w:type="pct"/>
            <w:shd w:val="clear" w:color="auto" w:fill="auto"/>
            <w:vAlign w:val="center"/>
          </w:tcPr>
          <w:p w14:paraId="6F0CF454">
            <w:pPr>
              <w:pStyle w:val="39"/>
            </w:pPr>
            <w:r>
              <w:rPr>
                <w:rFonts w:hint="eastAsia"/>
              </w:rPr>
              <w:t>33</w:t>
            </w:r>
          </w:p>
        </w:tc>
      </w:tr>
      <w:tr w14:paraId="3DEC9FDF">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7A962566">
            <w:pPr>
              <w:pStyle w:val="39"/>
            </w:pPr>
            <w:r>
              <w:t>13</w:t>
            </w:r>
          </w:p>
        </w:tc>
        <w:tc>
          <w:tcPr>
            <w:tcW w:w="1232" w:type="pct"/>
            <w:shd w:val="clear" w:color="auto" w:fill="auto"/>
            <w:vAlign w:val="center"/>
          </w:tcPr>
          <w:p w14:paraId="122AE5B6">
            <w:pPr>
              <w:pStyle w:val="39"/>
            </w:pPr>
            <w:r>
              <w:rPr>
                <w:rFonts w:hint="eastAsia"/>
              </w:rPr>
              <w:t>砂岩</w:t>
            </w:r>
          </w:p>
        </w:tc>
        <w:tc>
          <w:tcPr>
            <w:tcW w:w="1003" w:type="pct"/>
            <w:shd w:val="clear" w:color="auto" w:fill="auto"/>
            <w:vAlign w:val="center"/>
          </w:tcPr>
          <w:p w14:paraId="284E6D28">
            <w:pPr>
              <w:pStyle w:val="39"/>
            </w:pPr>
            <w:r>
              <w:t>600.224</w:t>
            </w:r>
          </w:p>
        </w:tc>
        <w:tc>
          <w:tcPr>
            <w:tcW w:w="856" w:type="pct"/>
            <w:shd w:val="clear" w:color="auto" w:fill="auto"/>
            <w:vAlign w:val="center"/>
          </w:tcPr>
          <w:p w14:paraId="5879A01E">
            <w:pPr>
              <w:pStyle w:val="39"/>
            </w:pPr>
            <w:r>
              <w:t>50.05</w:t>
            </w:r>
          </w:p>
        </w:tc>
        <w:tc>
          <w:tcPr>
            <w:tcW w:w="728" w:type="pct"/>
            <w:shd w:val="clear" w:color="auto" w:fill="auto"/>
            <w:vAlign w:val="center"/>
          </w:tcPr>
          <w:p w14:paraId="6A608FEE">
            <w:pPr>
              <w:pStyle w:val="39"/>
            </w:pPr>
            <w:r>
              <w:t>47.55</w:t>
            </w:r>
          </w:p>
        </w:tc>
        <w:tc>
          <w:tcPr>
            <w:tcW w:w="682" w:type="pct"/>
            <w:shd w:val="clear" w:color="auto" w:fill="auto"/>
            <w:vAlign w:val="center"/>
          </w:tcPr>
          <w:p w14:paraId="7340FC8A">
            <w:pPr>
              <w:pStyle w:val="39"/>
            </w:pPr>
            <w:r>
              <w:rPr>
                <w:rFonts w:hint="eastAsia"/>
              </w:rPr>
              <w:t>21</w:t>
            </w:r>
          </w:p>
        </w:tc>
      </w:tr>
      <w:tr w14:paraId="6EDBE726">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62D59925">
            <w:pPr>
              <w:pStyle w:val="39"/>
            </w:pPr>
            <w:r>
              <w:t>14</w:t>
            </w:r>
          </w:p>
        </w:tc>
        <w:tc>
          <w:tcPr>
            <w:tcW w:w="1232" w:type="pct"/>
            <w:shd w:val="clear" w:color="auto" w:fill="auto"/>
            <w:vAlign w:val="center"/>
          </w:tcPr>
          <w:p w14:paraId="1C9544E9">
            <w:pPr>
              <w:pStyle w:val="39"/>
            </w:pPr>
            <w:r>
              <w:rPr>
                <w:rFonts w:hint="eastAsia"/>
              </w:rPr>
              <w:t>水泥用石灰岩</w:t>
            </w:r>
          </w:p>
        </w:tc>
        <w:tc>
          <w:tcPr>
            <w:tcW w:w="1003" w:type="pct"/>
            <w:shd w:val="clear" w:color="auto" w:fill="auto"/>
            <w:vAlign w:val="center"/>
          </w:tcPr>
          <w:p w14:paraId="765F6236">
            <w:pPr>
              <w:pStyle w:val="39"/>
            </w:pPr>
            <w:r>
              <w:t>1411.688</w:t>
            </w:r>
          </w:p>
        </w:tc>
        <w:tc>
          <w:tcPr>
            <w:tcW w:w="856" w:type="pct"/>
            <w:shd w:val="clear" w:color="auto" w:fill="auto"/>
            <w:vAlign w:val="center"/>
          </w:tcPr>
          <w:p w14:paraId="76C3DC7A">
            <w:pPr>
              <w:pStyle w:val="39"/>
            </w:pPr>
            <w:r>
              <w:t>185</w:t>
            </w:r>
          </w:p>
        </w:tc>
        <w:tc>
          <w:tcPr>
            <w:tcW w:w="728" w:type="pct"/>
            <w:shd w:val="clear" w:color="auto" w:fill="auto"/>
            <w:vAlign w:val="center"/>
          </w:tcPr>
          <w:p w14:paraId="2A22B241">
            <w:pPr>
              <w:pStyle w:val="39"/>
            </w:pPr>
            <w:r>
              <w:t>166</w:t>
            </w:r>
          </w:p>
        </w:tc>
        <w:tc>
          <w:tcPr>
            <w:tcW w:w="682" w:type="pct"/>
            <w:shd w:val="clear" w:color="auto" w:fill="auto"/>
            <w:vAlign w:val="center"/>
          </w:tcPr>
          <w:p w14:paraId="3F231AAC">
            <w:pPr>
              <w:pStyle w:val="39"/>
            </w:pPr>
            <w:r>
              <w:t>24</w:t>
            </w:r>
          </w:p>
        </w:tc>
      </w:tr>
      <w:tr w14:paraId="6890FD68">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2063589F">
            <w:pPr>
              <w:pStyle w:val="39"/>
            </w:pPr>
            <w:r>
              <w:t>15</w:t>
            </w:r>
          </w:p>
        </w:tc>
        <w:tc>
          <w:tcPr>
            <w:tcW w:w="1232" w:type="pct"/>
            <w:shd w:val="clear" w:color="auto" w:fill="auto"/>
            <w:vAlign w:val="center"/>
          </w:tcPr>
          <w:p w14:paraId="729A71B2">
            <w:pPr>
              <w:pStyle w:val="39"/>
            </w:pPr>
            <w:r>
              <w:rPr>
                <w:rFonts w:hint="eastAsia"/>
              </w:rPr>
              <w:t>化肥用砂岩</w:t>
            </w:r>
          </w:p>
        </w:tc>
        <w:tc>
          <w:tcPr>
            <w:tcW w:w="1003" w:type="pct"/>
            <w:shd w:val="clear" w:color="auto" w:fill="auto"/>
            <w:vAlign w:val="center"/>
          </w:tcPr>
          <w:p w14:paraId="7AC12A01">
            <w:pPr>
              <w:pStyle w:val="39"/>
            </w:pPr>
            <w:r>
              <w:t>1387.025</w:t>
            </w:r>
          </w:p>
        </w:tc>
        <w:tc>
          <w:tcPr>
            <w:tcW w:w="856" w:type="pct"/>
            <w:shd w:val="clear" w:color="auto" w:fill="auto"/>
            <w:vAlign w:val="center"/>
          </w:tcPr>
          <w:p w14:paraId="65EA1C6C">
            <w:pPr>
              <w:pStyle w:val="39"/>
            </w:pPr>
            <w:r>
              <w:t>100.5</w:t>
            </w:r>
          </w:p>
        </w:tc>
        <w:tc>
          <w:tcPr>
            <w:tcW w:w="728" w:type="pct"/>
            <w:shd w:val="clear" w:color="auto" w:fill="auto"/>
            <w:vAlign w:val="center"/>
          </w:tcPr>
          <w:p w14:paraId="11F7DFC7">
            <w:pPr>
              <w:pStyle w:val="39"/>
            </w:pPr>
            <w:r>
              <w:t>95</w:t>
            </w:r>
          </w:p>
        </w:tc>
        <w:tc>
          <w:tcPr>
            <w:tcW w:w="682" w:type="pct"/>
            <w:shd w:val="clear" w:color="auto" w:fill="auto"/>
            <w:vAlign w:val="center"/>
          </w:tcPr>
          <w:p w14:paraId="30752609">
            <w:pPr>
              <w:pStyle w:val="39"/>
            </w:pPr>
            <w:r>
              <w:t>16</w:t>
            </w:r>
          </w:p>
        </w:tc>
      </w:tr>
      <w:tr w14:paraId="3B176F52">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6BF17CE3">
            <w:pPr>
              <w:pStyle w:val="39"/>
            </w:pPr>
            <w:r>
              <w:t>16</w:t>
            </w:r>
          </w:p>
        </w:tc>
        <w:tc>
          <w:tcPr>
            <w:tcW w:w="1232" w:type="pct"/>
            <w:shd w:val="clear" w:color="auto" w:fill="auto"/>
            <w:noWrap/>
            <w:vAlign w:val="center"/>
          </w:tcPr>
          <w:p w14:paraId="3D44A8AD">
            <w:pPr>
              <w:pStyle w:val="39"/>
            </w:pPr>
            <w:r>
              <w:rPr>
                <w:rFonts w:hint="eastAsia"/>
              </w:rPr>
              <w:t>砖瓦用粘土</w:t>
            </w:r>
          </w:p>
        </w:tc>
        <w:tc>
          <w:tcPr>
            <w:tcW w:w="1003" w:type="pct"/>
            <w:shd w:val="clear" w:color="auto" w:fill="auto"/>
            <w:vAlign w:val="center"/>
          </w:tcPr>
          <w:p w14:paraId="2F27B4CF">
            <w:pPr>
              <w:pStyle w:val="39"/>
            </w:pPr>
            <w:r>
              <w:t>541.511</w:t>
            </w:r>
          </w:p>
        </w:tc>
        <w:tc>
          <w:tcPr>
            <w:tcW w:w="856" w:type="pct"/>
            <w:shd w:val="clear" w:color="auto" w:fill="auto"/>
            <w:vAlign w:val="center"/>
          </w:tcPr>
          <w:p w14:paraId="316D3E8A">
            <w:pPr>
              <w:pStyle w:val="39"/>
            </w:pPr>
            <w:r>
              <w:t>42.5</w:t>
            </w:r>
          </w:p>
        </w:tc>
        <w:tc>
          <w:tcPr>
            <w:tcW w:w="728" w:type="pct"/>
            <w:shd w:val="clear" w:color="auto" w:fill="auto"/>
            <w:vAlign w:val="center"/>
          </w:tcPr>
          <w:p w14:paraId="0B5E50CD">
            <w:pPr>
              <w:pStyle w:val="39"/>
            </w:pPr>
            <w:r>
              <w:t>41.5</w:t>
            </w:r>
          </w:p>
        </w:tc>
        <w:tc>
          <w:tcPr>
            <w:tcW w:w="682" w:type="pct"/>
            <w:shd w:val="clear" w:color="auto" w:fill="auto"/>
            <w:vAlign w:val="center"/>
          </w:tcPr>
          <w:p w14:paraId="49CC7124">
            <w:pPr>
              <w:pStyle w:val="39"/>
            </w:pPr>
            <w:r>
              <w:t>17</w:t>
            </w:r>
          </w:p>
        </w:tc>
      </w:tr>
      <w:tr w14:paraId="18FA16C5">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10713402">
            <w:pPr>
              <w:pStyle w:val="39"/>
            </w:pPr>
            <w:r>
              <w:t>17</w:t>
            </w:r>
          </w:p>
        </w:tc>
        <w:tc>
          <w:tcPr>
            <w:tcW w:w="1232" w:type="pct"/>
            <w:shd w:val="clear" w:color="auto" w:fill="auto"/>
            <w:vAlign w:val="center"/>
          </w:tcPr>
          <w:p w14:paraId="388A4106">
            <w:pPr>
              <w:pStyle w:val="39"/>
            </w:pPr>
            <w:r>
              <w:rPr>
                <w:rFonts w:hint="eastAsia"/>
              </w:rPr>
              <w:t>冶金用白云岩</w:t>
            </w:r>
          </w:p>
        </w:tc>
        <w:tc>
          <w:tcPr>
            <w:tcW w:w="1003" w:type="pct"/>
            <w:shd w:val="clear" w:color="auto" w:fill="auto"/>
            <w:vAlign w:val="center"/>
          </w:tcPr>
          <w:p w14:paraId="3E2D1AF6">
            <w:pPr>
              <w:pStyle w:val="39"/>
            </w:pPr>
            <w:r>
              <w:t>229.148</w:t>
            </w:r>
          </w:p>
        </w:tc>
        <w:tc>
          <w:tcPr>
            <w:tcW w:w="856" w:type="pct"/>
            <w:shd w:val="clear" w:color="auto" w:fill="auto"/>
            <w:vAlign w:val="center"/>
          </w:tcPr>
          <w:p w14:paraId="25EB626F">
            <w:pPr>
              <w:pStyle w:val="39"/>
            </w:pPr>
            <w:r>
              <w:t>25</w:t>
            </w:r>
          </w:p>
        </w:tc>
        <w:tc>
          <w:tcPr>
            <w:tcW w:w="728" w:type="pct"/>
            <w:shd w:val="clear" w:color="auto" w:fill="auto"/>
            <w:vAlign w:val="center"/>
          </w:tcPr>
          <w:p w14:paraId="1C5E5ABF">
            <w:pPr>
              <w:pStyle w:val="39"/>
            </w:pPr>
            <w:r>
              <w:t>25</w:t>
            </w:r>
          </w:p>
        </w:tc>
        <w:tc>
          <w:tcPr>
            <w:tcW w:w="682" w:type="pct"/>
            <w:shd w:val="clear" w:color="auto" w:fill="auto"/>
            <w:vAlign w:val="center"/>
          </w:tcPr>
          <w:p w14:paraId="73F3F0BB">
            <w:pPr>
              <w:pStyle w:val="39"/>
            </w:pPr>
            <w:r>
              <w:t>4</w:t>
            </w:r>
          </w:p>
        </w:tc>
      </w:tr>
      <w:tr w14:paraId="459EFBC4">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420B9547">
            <w:pPr>
              <w:pStyle w:val="39"/>
            </w:pPr>
            <w:r>
              <w:t>18　</w:t>
            </w:r>
          </w:p>
        </w:tc>
        <w:tc>
          <w:tcPr>
            <w:tcW w:w="1232" w:type="pct"/>
            <w:shd w:val="clear" w:color="auto" w:fill="auto"/>
            <w:noWrap/>
            <w:vAlign w:val="center"/>
          </w:tcPr>
          <w:p w14:paraId="0B13736C">
            <w:pPr>
              <w:pStyle w:val="39"/>
            </w:pPr>
            <w:r>
              <w:rPr>
                <w:rFonts w:hint="eastAsia"/>
              </w:rPr>
              <w:t>长石</w:t>
            </w:r>
          </w:p>
        </w:tc>
        <w:tc>
          <w:tcPr>
            <w:tcW w:w="1003" w:type="pct"/>
            <w:shd w:val="clear" w:color="auto" w:fill="auto"/>
            <w:vAlign w:val="center"/>
          </w:tcPr>
          <w:p w14:paraId="55702D77">
            <w:pPr>
              <w:pStyle w:val="39"/>
            </w:pPr>
            <w:r>
              <w:t>11784.6</w:t>
            </w:r>
          </w:p>
        </w:tc>
        <w:tc>
          <w:tcPr>
            <w:tcW w:w="856" w:type="pct"/>
            <w:shd w:val="clear" w:color="auto" w:fill="auto"/>
            <w:vAlign w:val="center"/>
          </w:tcPr>
          <w:p w14:paraId="322EB598">
            <w:pPr>
              <w:pStyle w:val="39"/>
            </w:pPr>
            <w:r>
              <w:rPr>
                <w:rFonts w:hint="eastAsia"/>
              </w:rPr>
              <w:t>85</w:t>
            </w:r>
          </w:p>
        </w:tc>
        <w:tc>
          <w:tcPr>
            <w:tcW w:w="728" w:type="pct"/>
            <w:shd w:val="clear" w:color="auto" w:fill="auto"/>
            <w:vAlign w:val="center"/>
          </w:tcPr>
          <w:p w14:paraId="298FF0B0">
            <w:pPr>
              <w:pStyle w:val="39"/>
            </w:pPr>
            <w:r>
              <w:rPr>
                <w:rFonts w:hint="eastAsia"/>
              </w:rPr>
              <w:t>85</w:t>
            </w:r>
          </w:p>
        </w:tc>
        <w:tc>
          <w:tcPr>
            <w:tcW w:w="682" w:type="pct"/>
            <w:shd w:val="clear" w:color="auto" w:fill="auto"/>
            <w:vAlign w:val="center"/>
          </w:tcPr>
          <w:p w14:paraId="148834E2">
            <w:pPr>
              <w:pStyle w:val="39"/>
            </w:pPr>
            <w:r>
              <w:t>9</w:t>
            </w:r>
          </w:p>
        </w:tc>
      </w:tr>
      <w:tr w14:paraId="5DA298AE">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499" w:type="pct"/>
            <w:shd w:val="clear" w:color="auto" w:fill="auto"/>
            <w:vAlign w:val="center"/>
          </w:tcPr>
          <w:p w14:paraId="5B1C1108">
            <w:pPr>
              <w:pStyle w:val="39"/>
            </w:pPr>
            <w:r>
              <w:rPr>
                <w:rFonts w:hint="eastAsia"/>
              </w:rPr>
              <w:t>19</w:t>
            </w:r>
          </w:p>
        </w:tc>
        <w:tc>
          <w:tcPr>
            <w:tcW w:w="1232" w:type="pct"/>
            <w:shd w:val="clear" w:color="auto" w:fill="auto"/>
            <w:vAlign w:val="center"/>
          </w:tcPr>
          <w:p w14:paraId="1B4E5F19">
            <w:pPr>
              <w:pStyle w:val="39"/>
            </w:pPr>
            <w:r>
              <w:rPr>
                <w:rFonts w:hint="eastAsia"/>
              </w:rPr>
              <w:t>砖瓦用页岩</w:t>
            </w:r>
          </w:p>
        </w:tc>
        <w:tc>
          <w:tcPr>
            <w:tcW w:w="1003" w:type="pct"/>
            <w:shd w:val="clear" w:color="auto" w:fill="auto"/>
            <w:vAlign w:val="center"/>
          </w:tcPr>
          <w:p w14:paraId="37DBC953">
            <w:pPr>
              <w:pStyle w:val="39"/>
            </w:pPr>
            <w:r>
              <w:t>3186.188</w:t>
            </w:r>
          </w:p>
        </w:tc>
        <w:tc>
          <w:tcPr>
            <w:tcW w:w="856" w:type="pct"/>
            <w:shd w:val="clear" w:color="auto" w:fill="auto"/>
            <w:vAlign w:val="center"/>
          </w:tcPr>
          <w:p w14:paraId="335B8580">
            <w:pPr>
              <w:pStyle w:val="39"/>
            </w:pPr>
            <w:r>
              <w:t>293.26</w:t>
            </w:r>
          </w:p>
        </w:tc>
        <w:tc>
          <w:tcPr>
            <w:tcW w:w="728" w:type="pct"/>
            <w:shd w:val="clear" w:color="auto" w:fill="auto"/>
            <w:vAlign w:val="center"/>
          </w:tcPr>
          <w:p w14:paraId="6E334100">
            <w:pPr>
              <w:pStyle w:val="39"/>
            </w:pPr>
            <w:r>
              <w:t>256.62</w:t>
            </w:r>
          </w:p>
        </w:tc>
        <w:tc>
          <w:tcPr>
            <w:tcW w:w="682" w:type="pct"/>
            <w:shd w:val="clear" w:color="auto" w:fill="auto"/>
            <w:vAlign w:val="center"/>
          </w:tcPr>
          <w:p w14:paraId="44C66554">
            <w:pPr>
              <w:pStyle w:val="39"/>
            </w:pPr>
            <w:r>
              <w:rPr>
                <w:rFonts w:hint="eastAsia"/>
              </w:rPr>
              <w:t>83</w:t>
            </w:r>
          </w:p>
        </w:tc>
      </w:tr>
      <w:tr w14:paraId="1DA5C47A">
        <w:tblPrEx>
          <w:tblBorders>
            <w:top w:val="single" w:color="auto" w:sz="6" w:space="0"/>
            <w:left w:val="single" w:color="auto" w:sz="6" w:space="0"/>
            <w:bottom w:val="single" w:color="auto" w:sz="6" w:space="0"/>
            <w:right w:val="single" w:color="auto" w:sz="6" w:space="0"/>
            <w:insideH w:val="single" w:color="auto" w:sz="2" w:space="0"/>
            <w:insideV w:val="single" w:color="auto" w:sz="2" w:space="0"/>
          </w:tblBorders>
          <w:tblCellMar>
            <w:top w:w="0" w:type="dxa"/>
            <w:left w:w="108" w:type="dxa"/>
            <w:bottom w:w="0" w:type="dxa"/>
            <w:right w:w="108" w:type="dxa"/>
          </w:tblCellMar>
        </w:tblPrEx>
        <w:tc>
          <w:tcPr>
            <w:tcW w:w="1731" w:type="pct"/>
            <w:gridSpan w:val="2"/>
            <w:shd w:val="clear" w:color="auto" w:fill="auto"/>
            <w:vAlign w:val="center"/>
          </w:tcPr>
          <w:p w14:paraId="37EF6630">
            <w:pPr>
              <w:pStyle w:val="39"/>
            </w:pPr>
            <w:r>
              <w:rPr>
                <w:rFonts w:hint="eastAsia"/>
              </w:rPr>
              <w:t>合计</w:t>
            </w:r>
          </w:p>
        </w:tc>
        <w:tc>
          <w:tcPr>
            <w:tcW w:w="1003" w:type="pct"/>
            <w:shd w:val="clear" w:color="auto" w:fill="auto"/>
            <w:vAlign w:val="center"/>
          </w:tcPr>
          <w:p w14:paraId="705602E5">
            <w:pPr>
              <w:pStyle w:val="39"/>
            </w:pPr>
            <w:r>
              <w:t>　</w:t>
            </w:r>
          </w:p>
        </w:tc>
        <w:tc>
          <w:tcPr>
            <w:tcW w:w="856" w:type="pct"/>
            <w:shd w:val="clear" w:color="auto" w:fill="auto"/>
            <w:vAlign w:val="center"/>
          </w:tcPr>
          <w:p w14:paraId="6C879D87">
            <w:pPr>
              <w:pStyle w:val="39"/>
            </w:pPr>
            <w:r>
              <w:t>　</w:t>
            </w:r>
          </w:p>
        </w:tc>
        <w:tc>
          <w:tcPr>
            <w:tcW w:w="728" w:type="pct"/>
            <w:shd w:val="clear" w:color="auto" w:fill="auto"/>
            <w:vAlign w:val="center"/>
          </w:tcPr>
          <w:p w14:paraId="5CE8F345">
            <w:pPr>
              <w:pStyle w:val="39"/>
            </w:pPr>
            <w:r>
              <w:t>　</w:t>
            </w:r>
          </w:p>
        </w:tc>
        <w:tc>
          <w:tcPr>
            <w:tcW w:w="682" w:type="pct"/>
            <w:shd w:val="clear" w:color="auto" w:fill="auto"/>
            <w:vAlign w:val="center"/>
          </w:tcPr>
          <w:p w14:paraId="08DF29E3">
            <w:pPr>
              <w:pStyle w:val="39"/>
            </w:pPr>
            <w:r>
              <w:t>343</w:t>
            </w:r>
          </w:p>
        </w:tc>
      </w:tr>
    </w:tbl>
    <w:p w14:paraId="352012B3">
      <w:pPr>
        <w:ind w:firstLine="640"/>
      </w:pPr>
      <w:r>
        <w:rPr>
          <w:rFonts w:hint="eastAsia"/>
        </w:rPr>
        <w:t>目前，只有少部分砂石粘土/小型非金属矿山在正常开采，大部分矿山处于停产、半停产状态，开采规模明显小于批准的开采规模。如乐山市五通桥区已设保留采矿权8个，查明保有资源量896千立方米，批准的生产规模100千立方米/年，2015年产量仅31千立方米，实际开采规模仅占设计开采规模的31%。</w:t>
      </w:r>
    </w:p>
    <w:p w14:paraId="3D4640A9">
      <w:pPr>
        <w:ind w:firstLine="640"/>
      </w:pPr>
      <w:r>
        <w:rPr>
          <w:rFonts w:hint="eastAsia"/>
        </w:rPr>
        <w:t>本轮规划全部保留了各县(区)第三轮矿产资源规划中划定的采矿权区块302个，到2020年，通过依法整改、整合、关闭，预计砂石粘土/小型非金属矿山总数从343个减少到</w:t>
      </w:r>
      <w:r>
        <w:t>266</w:t>
      </w:r>
      <w:r>
        <w:rPr>
          <w:rFonts w:hint="eastAsia"/>
        </w:rPr>
        <w:t>个，力争在规划期内满足省级规划中对市矿山总量的调控要求。</w:t>
      </w:r>
    </w:p>
    <w:p w14:paraId="29D8C5A8">
      <w:pPr>
        <w:ind w:firstLine="640"/>
        <w:rPr>
          <w:rFonts w:ascii="仿宋_GB2312" w:hAnsi="宋体" w:eastAsia="仿宋_GB2312" w:cs="宋体"/>
        </w:rPr>
      </w:pPr>
      <w:r>
        <w:rPr>
          <w:rFonts w:hint="eastAsia"/>
        </w:rPr>
        <w:t>按照由市场配置资源、动态调整的原则，依据2015年矿山的开工情况和采出量，结合省级规划的要求，规划的各类矿产开发调控指标详见专栏1</w:t>
      </w:r>
      <w:r>
        <w:t>0</w:t>
      </w:r>
      <w:r>
        <w:rPr>
          <w:rFonts w:hint="eastAsia"/>
        </w:rPr>
        <w:t>。</w:t>
      </w:r>
    </w:p>
    <w:p w14:paraId="3D91FA6A">
      <w:pPr>
        <w:pStyle w:val="34"/>
        <w:spacing w:before="120"/>
      </w:pPr>
      <w:r>
        <w:rPr>
          <w:rFonts w:hint="eastAsia"/>
        </w:rPr>
        <w:t>专栏1</w:t>
      </w:r>
      <w:r>
        <w:t>0</w:t>
      </w:r>
      <w:r>
        <w:rPr>
          <w:rFonts w:hint="eastAsia"/>
        </w:rPr>
        <w:t xml:space="preserve">   砂石粘土/小型非金属矿产开发调控指标</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0"/>
        <w:gridCol w:w="2127"/>
        <w:gridCol w:w="1492"/>
        <w:gridCol w:w="1494"/>
        <w:gridCol w:w="1492"/>
        <w:gridCol w:w="1493"/>
      </w:tblGrid>
      <w:tr w14:paraId="3528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vMerge w:val="restart"/>
            <w:shd w:val="clear" w:color="auto" w:fill="auto"/>
            <w:vAlign w:val="center"/>
          </w:tcPr>
          <w:p w14:paraId="4F885A64">
            <w:pPr>
              <w:pStyle w:val="39"/>
            </w:pPr>
            <w:r>
              <w:rPr>
                <w:rFonts w:hint="eastAsia"/>
              </w:rPr>
              <w:t>序号</w:t>
            </w:r>
          </w:p>
        </w:tc>
        <w:tc>
          <w:tcPr>
            <w:tcW w:w="1186" w:type="pct"/>
            <w:vMerge w:val="restart"/>
            <w:shd w:val="clear" w:color="auto" w:fill="auto"/>
            <w:vAlign w:val="center"/>
          </w:tcPr>
          <w:p w14:paraId="3184EE35">
            <w:pPr>
              <w:pStyle w:val="39"/>
            </w:pPr>
            <w:r>
              <w:rPr>
                <w:rFonts w:hint="eastAsia"/>
              </w:rPr>
              <w:t>矿种</w:t>
            </w:r>
          </w:p>
        </w:tc>
        <w:tc>
          <w:tcPr>
            <w:tcW w:w="1667" w:type="pct"/>
            <w:gridSpan w:val="2"/>
            <w:shd w:val="clear" w:color="auto" w:fill="auto"/>
            <w:vAlign w:val="center"/>
          </w:tcPr>
          <w:p w14:paraId="0B1430D4">
            <w:pPr>
              <w:pStyle w:val="39"/>
            </w:pPr>
            <w:r>
              <w:rPr>
                <w:rFonts w:hint="eastAsia"/>
              </w:rPr>
              <w:t>2020年</w:t>
            </w:r>
          </w:p>
        </w:tc>
        <w:tc>
          <w:tcPr>
            <w:tcW w:w="1667" w:type="pct"/>
            <w:gridSpan w:val="2"/>
            <w:shd w:val="clear" w:color="auto" w:fill="auto"/>
            <w:vAlign w:val="center"/>
          </w:tcPr>
          <w:p w14:paraId="2978800F">
            <w:pPr>
              <w:pStyle w:val="39"/>
            </w:pPr>
            <w:r>
              <w:rPr>
                <w:rFonts w:hint="eastAsia"/>
              </w:rPr>
              <w:t>2025年</w:t>
            </w:r>
          </w:p>
        </w:tc>
      </w:tr>
      <w:tr w14:paraId="182F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vMerge w:val="continue"/>
            <w:shd w:val="clear" w:color="auto" w:fill="auto"/>
            <w:vAlign w:val="center"/>
          </w:tcPr>
          <w:p w14:paraId="1434E14D">
            <w:pPr>
              <w:pStyle w:val="39"/>
            </w:pPr>
          </w:p>
        </w:tc>
        <w:tc>
          <w:tcPr>
            <w:tcW w:w="1186" w:type="pct"/>
            <w:vMerge w:val="continue"/>
            <w:shd w:val="clear" w:color="auto" w:fill="auto"/>
            <w:vAlign w:val="center"/>
          </w:tcPr>
          <w:p w14:paraId="2C9F40DA">
            <w:pPr>
              <w:pStyle w:val="39"/>
            </w:pPr>
          </w:p>
        </w:tc>
        <w:tc>
          <w:tcPr>
            <w:tcW w:w="833" w:type="pct"/>
            <w:shd w:val="clear" w:color="auto" w:fill="auto"/>
            <w:vAlign w:val="center"/>
          </w:tcPr>
          <w:p w14:paraId="464F567F">
            <w:pPr>
              <w:pStyle w:val="39"/>
            </w:pPr>
            <w:r>
              <w:rPr>
                <w:rFonts w:hint="eastAsia"/>
              </w:rPr>
              <w:t>开采总量</w:t>
            </w:r>
          </w:p>
          <w:p w14:paraId="1DCC1CD2">
            <w:pPr>
              <w:pStyle w:val="39"/>
            </w:pPr>
            <w:r>
              <w:rPr>
                <w:rFonts w:hint="eastAsia"/>
              </w:rPr>
              <w:t>(万吨/年)</w:t>
            </w:r>
          </w:p>
        </w:tc>
        <w:tc>
          <w:tcPr>
            <w:tcW w:w="833" w:type="pct"/>
            <w:shd w:val="clear" w:color="auto" w:fill="auto"/>
            <w:vAlign w:val="center"/>
          </w:tcPr>
          <w:p w14:paraId="103F7B28">
            <w:pPr>
              <w:pStyle w:val="39"/>
            </w:pPr>
            <w:r>
              <w:rPr>
                <w:rFonts w:hint="eastAsia"/>
              </w:rPr>
              <w:t>采矿权</w:t>
            </w:r>
          </w:p>
          <w:p w14:paraId="467F0FE7">
            <w:pPr>
              <w:pStyle w:val="39"/>
            </w:pPr>
            <w:r>
              <w:rPr>
                <w:rFonts w:hint="eastAsia"/>
              </w:rPr>
              <w:t>设置总数</w:t>
            </w:r>
          </w:p>
          <w:p w14:paraId="104D4A3F">
            <w:pPr>
              <w:pStyle w:val="39"/>
            </w:pPr>
            <w:r>
              <w:rPr>
                <w:rFonts w:hint="eastAsia"/>
              </w:rPr>
              <w:t>(个)</w:t>
            </w:r>
          </w:p>
        </w:tc>
        <w:tc>
          <w:tcPr>
            <w:tcW w:w="833" w:type="pct"/>
            <w:shd w:val="clear" w:color="auto" w:fill="auto"/>
            <w:vAlign w:val="center"/>
          </w:tcPr>
          <w:p w14:paraId="1D9E6564">
            <w:pPr>
              <w:pStyle w:val="39"/>
            </w:pPr>
            <w:r>
              <w:rPr>
                <w:rFonts w:hint="eastAsia"/>
              </w:rPr>
              <w:t>开采总量</w:t>
            </w:r>
          </w:p>
          <w:p w14:paraId="6235E538">
            <w:pPr>
              <w:pStyle w:val="39"/>
            </w:pPr>
            <w:r>
              <w:rPr>
                <w:rFonts w:hint="eastAsia"/>
              </w:rPr>
              <w:t>(万吨/年)</w:t>
            </w:r>
          </w:p>
        </w:tc>
        <w:tc>
          <w:tcPr>
            <w:tcW w:w="833" w:type="pct"/>
            <w:shd w:val="clear" w:color="auto" w:fill="auto"/>
            <w:vAlign w:val="center"/>
          </w:tcPr>
          <w:p w14:paraId="4537F641">
            <w:pPr>
              <w:pStyle w:val="39"/>
            </w:pPr>
            <w:r>
              <w:rPr>
                <w:rFonts w:hint="eastAsia"/>
              </w:rPr>
              <w:t>采矿权</w:t>
            </w:r>
          </w:p>
          <w:p w14:paraId="4004F760">
            <w:pPr>
              <w:pStyle w:val="39"/>
            </w:pPr>
            <w:r>
              <w:rPr>
                <w:rFonts w:hint="eastAsia"/>
              </w:rPr>
              <w:t>设置总数</w:t>
            </w:r>
          </w:p>
          <w:p w14:paraId="19DFD6D6">
            <w:pPr>
              <w:pStyle w:val="39"/>
            </w:pPr>
            <w:r>
              <w:rPr>
                <w:rFonts w:hint="eastAsia"/>
              </w:rPr>
              <w:t>(个)</w:t>
            </w:r>
          </w:p>
        </w:tc>
      </w:tr>
      <w:tr w14:paraId="2C047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220224D6">
            <w:pPr>
              <w:pStyle w:val="39"/>
            </w:pPr>
            <w:r>
              <w:rPr>
                <w:rFonts w:hint="eastAsia"/>
              </w:rPr>
              <w:t>1</w:t>
            </w:r>
          </w:p>
        </w:tc>
        <w:tc>
          <w:tcPr>
            <w:tcW w:w="1186" w:type="pct"/>
            <w:shd w:val="clear" w:color="auto" w:fill="auto"/>
            <w:vAlign w:val="center"/>
          </w:tcPr>
          <w:p w14:paraId="01AA94AD">
            <w:pPr>
              <w:pStyle w:val="39"/>
            </w:pPr>
            <w:r>
              <w:rPr>
                <w:rFonts w:hint="eastAsia"/>
              </w:rPr>
              <w:t>硬质粘土</w:t>
            </w:r>
          </w:p>
        </w:tc>
        <w:tc>
          <w:tcPr>
            <w:tcW w:w="833" w:type="pct"/>
            <w:shd w:val="clear" w:color="auto" w:fill="auto"/>
            <w:vAlign w:val="center"/>
          </w:tcPr>
          <w:p w14:paraId="4E44B82D">
            <w:pPr>
              <w:pStyle w:val="39"/>
            </w:pPr>
            <w:r>
              <w:rPr>
                <w:rFonts w:hint="eastAsia"/>
              </w:rPr>
              <w:t>0.814</w:t>
            </w:r>
          </w:p>
        </w:tc>
        <w:tc>
          <w:tcPr>
            <w:tcW w:w="833" w:type="pct"/>
            <w:shd w:val="clear" w:color="auto" w:fill="auto"/>
            <w:vAlign w:val="center"/>
          </w:tcPr>
          <w:p w14:paraId="7ABAA32C">
            <w:pPr>
              <w:pStyle w:val="39"/>
            </w:pPr>
            <w:r>
              <w:rPr>
                <w:rFonts w:hint="eastAsia"/>
              </w:rPr>
              <w:t>1</w:t>
            </w:r>
          </w:p>
        </w:tc>
        <w:tc>
          <w:tcPr>
            <w:tcW w:w="833" w:type="pct"/>
            <w:shd w:val="clear" w:color="auto" w:fill="auto"/>
            <w:vAlign w:val="center"/>
          </w:tcPr>
          <w:p w14:paraId="3BA9CB0A">
            <w:pPr>
              <w:pStyle w:val="39"/>
            </w:pPr>
            <w:r>
              <w:rPr>
                <w:rFonts w:hint="eastAsia"/>
              </w:rPr>
              <w:t>0.814</w:t>
            </w:r>
          </w:p>
        </w:tc>
        <w:tc>
          <w:tcPr>
            <w:tcW w:w="833" w:type="pct"/>
            <w:shd w:val="clear" w:color="auto" w:fill="auto"/>
            <w:vAlign w:val="center"/>
          </w:tcPr>
          <w:p w14:paraId="4C03DEF9">
            <w:pPr>
              <w:pStyle w:val="39"/>
            </w:pPr>
            <w:r>
              <w:rPr>
                <w:rFonts w:hint="eastAsia"/>
              </w:rPr>
              <w:t>1</w:t>
            </w:r>
          </w:p>
        </w:tc>
      </w:tr>
      <w:tr w14:paraId="27B5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5790EAD4">
            <w:pPr>
              <w:pStyle w:val="39"/>
            </w:pPr>
            <w:r>
              <w:rPr>
                <w:rFonts w:hint="eastAsia"/>
              </w:rPr>
              <w:t>2</w:t>
            </w:r>
          </w:p>
        </w:tc>
        <w:tc>
          <w:tcPr>
            <w:tcW w:w="1186" w:type="pct"/>
            <w:shd w:val="clear" w:color="auto" w:fill="auto"/>
            <w:vAlign w:val="center"/>
          </w:tcPr>
          <w:p w14:paraId="555E0A56">
            <w:pPr>
              <w:pStyle w:val="39"/>
            </w:pPr>
            <w:r>
              <w:rPr>
                <w:rFonts w:hint="eastAsia"/>
              </w:rPr>
              <w:t>水泥用粘土</w:t>
            </w:r>
          </w:p>
        </w:tc>
        <w:tc>
          <w:tcPr>
            <w:tcW w:w="833" w:type="pct"/>
            <w:shd w:val="clear" w:color="auto" w:fill="auto"/>
            <w:vAlign w:val="center"/>
          </w:tcPr>
          <w:p w14:paraId="2DBB0239">
            <w:pPr>
              <w:pStyle w:val="39"/>
            </w:pPr>
            <w:r>
              <w:rPr>
                <w:rFonts w:hint="eastAsia"/>
              </w:rPr>
              <w:t>7.77</w:t>
            </w:r>
          </w:p>
        </w:tc>
        <w:tc>
          <w:tcPr>
            <w:tcW w:w="833" w:type="pct"/>
            <w:shd w:val="clear" w:color="auto" w:fill="auto"/>
            <w:vAlign w:val="center"/>
          </w:tcPr>
          <w:p w14:paraId="657231AE">
            <w:pPr>
              <w:pStyle w:val="39"/>
            </w:pPr>
            <w:r>
              <w:rPr>
                <w:rFonts w:hint="eastAsia"/>
              </w:rPr>
              <w:t>2</w:t>
            </w:r>
          </w:p>
        </w:tc>
        <w:tc>
          <w:tcPr>
            <w:tcW w:w="833" w:type="pct"/>
            <w:shd w:val="clear" w:color="auto" w:fill="auto"/>
            <w:vAlign w:val="center"/>
          </w:tcPr>
          <w:p w14:paraId="3009D7DF">
            <w:pPr>
              <w:pStyle w:val="39"/>
            </w:pPr>
            <w:r>
              <w:rPr>
                <w:rFonts w:hint="eastAsia"/>
              </w:rPr>
              <w:t>7.77</w:t>
            </w:r>
          </w:p>
        </w:tc>
        <w:tc>
          <w:tcPr>
            <w:tcW w:w="833" w:type="pct"/>
            <w:shd w:val="clear" w:color="auto" w:fill="auto"/>
            <w:vAlign w:val="center"/>
          </w:tcPr>
          <w:p w14:paraId="34790C78">
            <w:pPr>
              <w:pStyle w:val="39"/>
            </w:pPr>
            <w:r>
              <w:rPr>
                <w:rFonts w:hint="eastAsia"/>
              </w:rPr>
              <w:t>2</w:t>
            </w:r>
          </w:p>
        </w:tc>
      </w:tr>
      <w:tr w14:paraId="17FE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0F37189D">
            <w:pPr>
              <w:pStyle w:val="39"/>
            </w:pPr>
            <w:r>
              <w:rPr>
                <w:rFonts w:hint="eastAsia"/>
              </w:rPr>
              <w:t>3</w:t>
            </w:r>
          </w:p>
        </w:tc>
        <w:tc>
          <w:tcPr>
            <w:tcW w:w="1186" w:type="pct"/>
            <w:shd w:val="clear" w:color="auto" w:fill="auto"/>
            <w:vAlign w:val="center"/>
          </w:tcPr>
          <w:p w14:paraId="5A241627">
            <w:pPr>
              <w:pStyle w:val="39"/>
            </w:pPr>
            <w:r>
              <w:rPr>
                <w:rFonts w:hint="eastAsia"/>
              </w:rPr>
              <w:t>玄武岩</w:t>
            </w:r>
          </w:p>
        </w:tc>
        <w:tc>
          <w:tcPr>
            <w:tcW w:w="833" w:type="pct"/>
            <w:shd w:val="clear" w:color="auto" w:fill="auto"/>
            <w:vAlign w:val="center"/>
          </w:tcPr>
          <w:p w14:paraId="1968D9F3">
            <w:pPr>
              <w:pStyle w:val="39"/>
            </w:pPr>
            <w:r>
              <w:rPr>
                <w:rFonts w:hint="eastAsia"/>
              </w:rPr>
              <w:t>91.81</w:t>
            </w:r>
          </w:p>
        </w:tc>
        <w:tc>
          <w:tcPr>
            <w:tcW w:w="833" w:type="pct"/>
            <w:shd w:val="clear" w:color="auto" w:fill="auto"/>
            <w:vAlign w:val="center"/>
          </w:tcPr>
          <w:p w14:paraId="2C952573">
            <w:pPr>
              <w:pStyle w:val="39"/>
            </w:pPr>
            <w:r>
              <w:rPr>
                <w:rFonts w:hint="eastAsia"/>
              </w:rPr>
              <w:t>13</w:t>
            </w:r>
          </w:p>
        </w:tc>
        <w:tc>
          <w:tcPr>
            <w:tcW w:w="833" w:type="pct"/>
            <w:shd w:val="clear" w:color="auto" w:fill="auto"/>
            <w:vAlign w:val="center"/>
          </w:tcPr>
          <w:p w14:paraId="5BF75C23">
            <w:pPr>
              <w:pStyle w:val="39"/>
            </w:pPr>
            <w:r>
              <w:rPr>
                <w:rFonts w:hint="eastAsia"/>
              </w:rPr>
              <w:t>81.61</w:t>
            </w:r>
          </w:p>
        </w:tc>
        <w:tc>
          <w:tcPr>
            <w:tcW w:w="833" w:type="pct"/>
            <w:shd w:val="clear" w:color="auto" w:fill="auto"/>
            <w:vAlign w:val="center"/>
          </w:tcPr>
          <w:p w14:paraId="3B9A7AC7">
            <w:pPr>
              <w:pStyle w:val="39"/>
            </w:pPr>
            <w:r>
              <w:rPr>
                <w:rFonts w:hint="eastAsia"/>
              </w:rPr>
              <w:t>12</w:t>
            </w:r>
          </w:p>
        </w:tc>
      </w:tr>
      <w:tr w14:paraId="2840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195F2CF1">
            <w:pPr>
              <w:pStyle w:val="39"/>
            </w:pPr>
            <w:r>
              <w:rPr>
                <w:rFonts w:hint="eastAsia"/>
              </w:rPr>
              <w:t>4</w:t>
            </w:r>
          </w:p>
        </w:tc>
        <w:tc>
          <w:tcPr>
            <w:tcW w:w="1186" w:type="pct"/>
            <w:shd w:val="clear" w:color="auto" w:fill="auto"/>
            <w:vAlign w:val="center"/>
          </w:tcPr>
          <w:p w14:paraId="34442650">
            <w:pPr>
              <w:pStyle w:val="39"/>
            </w:pPr>
            <w:r>
              <w:rPr>
                <w:rFonts w:hint="eastAsia"/>
              </w:rPr>
              <w:t>陶粒用粘土</w:t>
            </w:r>
          </w:p>
        </w:tc>
        <w:tc>
          <w:tcPr>
            <w:tcW w:w="833" w:type="pct"/>
            <w:shd w:val="clear" w:color="auto" w:fill="auto"/>
            <w:vAlign w:val="center"/>
          </w:tcPr>
          <w:p w14:paraId="216CF5B5">
            <w:pPr>
              <w:pStyle w:val="39"/>
            </w:pPr>
            <w:r>
              <w:rPr>
                <w:rFonts w:hint="eastAsia"/>
              </w:rPr>
              <w:t>2.87</w:t>
            </w:r>
          </w:p>
        </w:tc>
        <w:tc>
          <w:tcPr>
            <w:tcW w:w="833" w:type="pct"/>
            <w:shd w:val="clear" w:color="auto" w:fill="auto"/>
            <w:vAlign w:val="center"/>
          </w:tcPr>
          <w:p w14:paraId="46503CF4">
            <w:pPr>
              <w:pStyle w:val="39"/>
            </w:pPr>
            <w:r>
              <w:rPr>
                <w:rFonts w:hint="eastAsia"/>
              </w:rPr>
              <w:t>2</w:t>
            </w:r>
          </w:p>
        </w:tc>
        <w:tc>
          <w:tcPr>
            <w:tcW w:w="833" w:type="pct"/>
            <w:shd w:val="clear" w:color="auto" w:fill="auto"/>
            <w:vAlign w:val="center"/>
          </w:tcPr>
          <w:p w14:paraId="48E0273C">
            <w:pPr>
              <w:pStyle w:val="39"/>
            </w:pPr>
            <w:r>
              <w:rPr>
                <w:rFonts w:hint="eastAsia"/>
              </w:rPr>
              <w:t>2.87</w:t>
            </w:r>
          </w:p>
        </w:tc>
        <w:tc>
          <w:tcPr>
            <w:tcW w:w="833" w:type="pct"/>
            <w:shd w:val="clear" w:color="auto" w:fill="auto"/>
            <w:vAlign w:val="center"/>
          </w:tcPr>
          <w:p w14:paraId="15899FA8">
            <w:pPr>
              <w:pStyle w:val="39"/>
            </w:pPr>
            <w:r>
              <w:rPr>
                <w:rFonts w:hint="eastAsia"/>
              </w:rPr>
              <w:t>2</w:t>
            </w:r>
          </w:p>
        </w:tc>
      </w:tr>
      <w:tr w14:paraId="1331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346DE45F">
            <w:pPr>
              <w:pStyle w:val="39"/>
            </w:pPr>
            <w:r>
              <w:rPr>
                <w:rFonts w:hint="eastAsia"/>
              </w:rPr>
              <w:t>5</w:t>
            </w:r>
          </w:p>
        </w:tc>
        <w:tc>
          <w:tcPr>
            <w:tcW w:w="1186" w:type="pct"/>
            <w:shd w:val="clear" w:color="auto" w:fill="auto"/>
            <w:vAlign w:val="center"/>
          </w:tcPr>
          <w:p w14:paraId="0ABC6561">
            <w:pPr>
              <w:pStyle w:val="39"/>
            </w:pPr>
            <w:r>
              <w:rPr>
                <w:rFonts w:hint="eastAsia"/>
              </w:rPr>
              <w:t>伊利石粘土</w:t>
            </w:r>
          </w:p>
        </w:tc>
        <w:tc>
          <w:tcPr>
            <w:tcW w:w="833" w:type="pct"/>
            <w:shd w:val="clear" w:color="auto" w:fill="auto"/>
            <w:vAlign w:val="center"/>
          </w:tcPr>
          <w:p w14:paraId="6A19B2DF">
            <w:pPr>
              <w:pStyle w:val="39"/>
            </w:pPr>
            <w:r>
              <w:rPr>
                <w:rFonts w:hint="eastAsia"/>
              </w:rPr>
              <w:t>88.19</w:t>
            </w:r>
          </w:p>
        </w:tc>
        <w:tc>
          <w:tcPr>
            <w:tcW w:w="833" w:type="pct"/>
            <w:shd w:val="clear" w:color="auto" w:fill="auto"/>
            <w:vAlign w:val="center"/>
          </w:tcPr>
          <w:p w14:paraId="3D50DCD7">
            <w:pPr>
              <w:pStyle w:val="39"/>
            </w:pPr>
            <w:r>
              <w:rPr>
                <w:rFonts w:hint="eastAsia"/>
              </w:rPr>
              <w:t>33</w:t>
            </w:r>
          </w:p>
        </w:tc>
        <w:tc>
          <w:tcPr>
            <w:tcW w:w="833" w:type="pct"/>
            <w:shd w:val="clear" w:color="auto" w:fill="auto"/>
            <w:vAlign w:val="center"/>
          </w:tcPr>
          <w:p w14:paraId="27D71397">
            <w:pPr>
              <w:pStyle w:val="39"/>
            </w:pPr>
            <w:r>
              <w:rPr>
                <w:rFonts w:hint="eastAsia"/>
              </w:rPr>
              <w:t>78.39</w:t>
            </w:r>
          </w:p>
        </w:tc>
        <w:tc>
          <w:tcPr>
            <w:tcW w:w="833" w:type="pct"/>
            <w:shd w:val="clear" w:color="auto" w:fill="auto"/>
            <w:vAlign w:val="center"/>
          </w:tcPr>
          <w:p w14:paraId="32D32FE8">
            <w:pPr>
              <w:pStyle w:val="39"/>
            </w:pPr>
            <w:r>
              <w:rPr>
                <w:rFonts w:hint="eastAsia"/>
              </w:rPr>
              <w:t>30</w:t>
            </w:r>
          </w:p>
        </w:tc>
      </w:tr>
      <w:tr w14:paraId="4A0C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262D5852">
            <w:pPr>
              <w:pStyle w:val="39"/>
            </w:pPr>
            <w:r>
              <w:rPr>
                <w:rFonts w:hint="eastAsia"/>
              </w:rPr>
              <w:t>6</w:t>
            </w:r>
          </w:p>
        </w:tc>
        <w:tc>
          <w:tcPr>
            <w:tcW w:w="1186" w:type="pct"/>
            <w:shd w:val="clear" w:color="auto" w:fill="auto"/>
            <w:vAlign w:val="center"/>
          </w:tcPr>
          <w:p w14:paraId="780DF4BB">
            <w:pPr>
              <w:pStyle w:val="39"/>
            </w:pPr>
            <w:r>
              <w:rPr>
                <w:rFonts w:hint="eastAsia"/>
              </w:rPr>
              <w:t>陶瓷用粘土</w:t>
            </w:r>
          </w:p>
        </w:tc>
        <w:tc>
          <w:tcPr>
            <w:tcW w:w="833" w:type="pct"/>
            <w:shd w:val="clear" w:color="auto" w:fill="auto"/>
            <w:vAlign w:val="center"/>
          </w:tcPr>
          <w:p w14:paraId="11C2AACF">
            <w:pPr>
              <w:pStyle w:val="39"/>
            </w:pPr>
            <w:r>
              <w:rPr>
                <w:rFonts w:hint="eastAsia"/>
              </w:rPr>
              <w:t>49.77</w:t>
            </w:r>
          </w:p>
        </w:tc>
        <w:tc>
          <w:tcPr>
            <w:tcW w:w="833" w:type="pct"/>
            <w:shd w:val="clear" w:color="auto" w:fill="auto"/>
            <w:vAlign w:val="center"/>
          </w:tcPr>
          <w:p w14:paraId="3BCE1E35">
            <w:pPr>
              <w:pStyle w:val="39"/>
            </w:pPr>
            <w:r>
              <w:rPr>
                <w:rFonts w:hint="eastAsia"/>
              </w:rPr>
              <w:t>9</w:t>
            </w:r>
          </w:p>
        </w:tc>
        <w:tc>
          <w:tcPr>
            <w:tcW w:w="833" w:type="pct"/>
            <w:shd w:val="clear" w:color="auto" w:fill="auto"/>
            <w:vAlign w:val="center"/>
          </w:tcPr>
          <w:p w14:paraId="309A4BFF">
            <w:pPr>
              <w:pStyle w:val="39"/>
            </w:pPr>
            <w:r>
              <w:rPr>
                <w:rFonts w:hint="eastAsia"/>
              </w:rPr>
              <w:t>44.24</w:t>
            </w:r>
          </w:p>
        </w:tc>
        <w:tc>
          <w:tcPr>
            <w:tcW w:w="833" w:type="pct"/>
            <w:shd w:val="clear" w:color="auto" w:fill="auto"/>
            <w:vAlign w:val="center"/>
          </w:tcPr>
          <w:p w14:paraId="568102F7">
            <w:pPr>
              <w:pStyle w:val="39"/>
            </w:pPr>
            <w:r>
              <w:rPr>
                <w:rFonts w:hint="eastAsia"/>
              </w:rPr>
              <w:t>8</w:t>
            </w:r>
          </w:p>
        </w:tc>
      </w:tr>
      <w:tr w14:paraId="471F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0749CB7F">
            <w:pPr>
              <w:pStyle w:val="39"/>
            </w:pPr>
            <w:r>
              <w:rPr>
                <w:rFonts w:hint="eastAsia"/>
              </w:rPr>
              <w:t>7</w:t>
            </w:r>
          </w:p>
        </w:tc>
        <w:tc>
          <w:tcPr>
            <w:tcW w:w="1186" w:type="pct"/>
            <w:shd w:val="clear" w:color="auto" w:fill="auto"/>
            <w:vAlign w:val="center"/>
          </w:tcPr>
          <w:p w14:paraId="59B5983D">
            <w:pPr>
              <w:pStyle w:val="39"/>
            </w:pPr>
            <w:r>
              <w:rPr>
                <w:rFonts w:hint="eastAsia"/>
              </w:rPr>
              <w:t>硅石矿</w:t>
            </w:r>
          </w:p>
        </w:tc>
        <w:tc>
          <w:tcPr>
            <w:tcW w:w="833" w:type="pct"/>
            <w:shd w:val="clear" w:color="auto" w:fill="auto"/>
            <w:vAlign w:val="center"/>
          </w:tcPr>
          <w:p w14:paraId="43261FB2">
            <w:pPr>
              <w:pStyle w:val="39"/>
            </w:pPr>
            <w:r>
              <w:rPr>
                <w:rFonts w:hint="eastAsia"/>
              </w:rPr>
              <w:t>2</w:t>
            </w:r>
          </w:p>
        </w:tc>
        <w:tc>
          <w:tcPr>
            <w:tcW w:w="833" w:type="pct"/>
            <w:shd w:val="clear" w:color="auto" w:fill="auto"/>
            <w:vAlign w:val="center"/>
          </w:tcPr>
          <w:p w14:paraId="7ED8CC9C">
            <w:pPr>
              <w:pStyle w:val="39"/>
            </w:pPr>
            <w:r>
              <w:rPr>
                <w:rFonts w:hint="eastAsia"/>
              </w:rPr>
              <w:t>1</w:t>
            </w:r>
          </w:p>
        </w:tc>
        <w:tc>
          <w:tcPr>
            <w:tcW w:w="833" w:type="pct"/>
            <w:shd w:val="clear" w:color="auto" w:fill="auto"/>
            <w:vAlign w:val="center"/>
          </w:tcPr>
          <w:p w14:paraId="10982A44">
            <w:pPr>
              <w:pStyle w:val="39"/>
            </w:pPr>
            <w:r>
              <w:rPr>
                <w:rFonts w:hint="eastAsia"/>
              </w:rPr>
              <w:t>2</w:t>
            </w:r>
          </w:p>
        </w:tc>
        <w:tc>
          <w:tcPr>
            <w:tcW w:w="833" w:type="pct"/>
            <w:shd w:val="clear" w:color="auto" w:fill="auto"/>
            <w:vAlign w:val="center"/>
          </w:tcPr>
          <w:p w14:paraId="1903C773">
            <w:pPr>
              <w:pStyle w:val="39"/>
            </w:pPr>
            <w:r>
              <w:rPr>
                <w:rFonts w:hint="eastAsia"/>
              </w:rPr>
              <w:t>1</w:t>
            </w:r>
          </w:p>
        </w:tc>
      </w:tr>
      <w:tr w14:paraId="4D5B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24064AA5">
            <w:pPr>
              <w:pStyle w:val="39"/>
            </w:pPr>
            <w:r>
              <w:rPr>
                <w:rFonts w:hint="eastAsia"/>
              </w:rPr>
              <w:t>8</w:t>
            </w:r>
          </w:p>
        </w:tc>
        <w:tc>
          <w:tcPr>
            <w:tcW w:w="1186" w:type="pct"/>
            <w:shd w:val="clear" w:color="auto" w:fill="auto"/>
            <w:vAlign w:val="center"/>
          </w:tcPr>
          <w:p w14:paraId="2A98C20D">
            <w:pPr>
              <w:pStyle w:val="39"/>
            </w:pPr>
            <w:r>
              <w:rPr>
                <w:rFonts w:hint="eastAsia"/>
              </w:rPr>
              <w:t>建筑用砂岩</w:t>
            </w:r>
          </w:p>
        </w:tc>
        <w:tc>
          <w:tcPr>
            <w:tcW w:w="833" w:type="pct"/>
            <w:shd w:val="clear" w:color="auto" w:fill="auto"/>
            <w:vAlign w:val="center"/>
          </w:tcPr>
          <w:p w14:paraId="2D1A911C">
            <w:pPr>
              <w:pStyle w:val="39"/>
            </w:pPr>
            <w:r>
              <w:rPr>
                <w:rFonts w:hint="eastAsia"/>
              </w:rPr>
              <w:t>23.90</w:t>
            </w:r>
          </w:p>
        </w:tc>
        <w:tc>
          <w:tcPr>
            <w:tcW w:w="833" w:type="pct"/>
            <w:shd w:val="clear" w:color="auto" w:fill="auto"/>
            <w:vAlign w:val="center"/>
          </w:tcPr>
          <w:p w14:paraId="6464531B">
            <w:pPr>
              <w:pStyle w:val="39"/>
            </w:pPr>
            <w:r>
              <w:rPr>
                <w:rFonts w:hint="eastAsia"/>
              </w:rPr>
              <w:t>15</w:t>
            </w:r>
          </w:p>
        </w:tc>
        <w:tc>
          <w:tcPr>
            <w:tcW w:w="833" w:type="pct"/>
            <w:shd w:val="clear" w:color="auto" w:fill="auto"/>
            <w:vAlign w:val="center"/>
          </w:tcPr>
          <w:p w14:paraId="4D1AA974">
            <w:pPr>
              <w:pStyle w:val="39"/>
            </w:pPr>
            <w:r>
              <w:rPr>
                <w:rFonts w:hint="eastAsia"/>
              </w:rPr>
              <w:t>21.24</w:t>
            </w:r>
          </w:p>
        </w:tc>
        <w:tc>
          <w:tcPr>
            <w:tcW w:w="833" w:type="pct"/>
            <w:shd w:val="clear" w:color="auto" w:fill="auto"/>
            <w:vAlign w:val="center"/>
          </w:tcPr>
          <w:p w14:paraId="616ABD40">
            <w:pPr>
              <w:pStyle w:val="39"/>
            </w:pPr>
            <w:r>
              <w:rPr>
                <w:rFonts w:hint="eastAsia"/>
              </w:rPr>
              <w:t>14</w:t>
            </w:r>
          </w:p>
        </w:tc>
      </w:tr>
      <w:tr w14:paraId="551A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66E8C905">
            <w:pPr>
              <w:pStyle w:val="39"/>
            </w:pPr>
            <w:r>
              <w:rPr>
                <w:rFonts w:hint="eastAsia"/>
              </w:rPr>
              <w:t>9</w:t>
            </w:r>
          </w:p>
        </w:tc>
        <w:tc>
          <w:tcPr>
            <w:tcW w:w="1186" w:type="pct"/>
            <w:shd w:val="clear" w:color="auto" w:fill="auto"/>
            <w:vAlign w:val="center"/>
          </w:tcPr>
          <w:p w14:paraId="0204AF04">
            <w:pPr>
              <w:pStyle w:val="39"/>
            </w:pPr>
            <w:r>
              <w:rPr>
                <w:rFonts w:hint="eastAsia"/>
              </w:rPr>
              <w:t>石英砂岩</w:t>
            </w:r>
          </w:p>
        </w:tc>
        <w:tc>
          <w:tcPr>
            <w:tcW w:w="833" w:type="pct"/>
            <w:shd w:val="clear" w:color="auto" w:fill="auto"/>
            <w:vAlign w:val="center"/>
          </w:tcPr>
          <w:p w14:paraId="21F66748">
            <w:pPr>
              <w:pStyle w:val="39"/>
            </w:pPr>
            <w:r>
              <w:rPr>
                <w:rFonts w:hint="eastAsia"/>
              </w:rPr>
              <w:t>79.2</w:t>
            </w:r>
          </w:p>
        </w:tc>
        <w:tc>
          <w:tcPr>
            <w:tcW w:w="833" w:type="pct"/>
            <w:shd w:val="clear" w:color="auto" w:fill="auto"/>
            <w:vAlign w:val="center"/>
          </w:tcPr>
          <w:p w14:paraId="074E661F">
            <w:pPr>
              <w:pStyle w:val="39"/>
            </w:pPr>
            <w:r>
              <w:rPr>
                <w:rFonts w:hint="eastAsia"/>
              </w:rPr>
              <w:t>18</w:t>
            </w:r>
          </w:p>
        </w:tc>
        <w:tc>
          <w:tcPr>
            <w:tcW w:w="833" w:type="pct"/>
            <w:shd w:val="clear" w:color="auto" w:fill="auto"/>
            <w:vAlign w:val="center"/>
          </w:tcPr>
          <w:p w14:paraId="011A0BA0">
            <w:pPr>
              <w:pStyle w:val="39"/>
            </w:pPr>
            <w:r>
              <w:rPr>
                <w:rFonts w:hint="eastAsia"/>
              </w:rPr>
              <w:t>69.30</w:t>
            </w:r>
          </w:p>
        </w:tc>
        <w:tc>
          <w:tcPr>
            <w:tcW w:w="833" w:type="pct"/>
            <w:shd w:val="clear" w:color="auto" w:fill="auto"/>
            <w:vAlign w:val="center"/>
          </w:tcPr>
          <w:p w14:paraId="46812CBF">
            <w:pPr>
              <w:pStyle w:val="39"/>
            </w:pPr>
            <w:r>
              <w:rPr>
                <w:rFonts w:hint="eastAsia"/>
              </w:rPr>
              <w:t>15</w:t>
            </w:r>
          </w:p>
        </w:tc>
      </w:tr>
      <w:tr w14:paraId="5B59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13BDADF6">
            <w:pPr>
              <w:pStyle w:val="39"/>
            </w:pPr>
            <w:r>
              <w:rPr>
                <w:rFonts w:hint="eastAsia"/>
              </w:rPr>
              <w:t>10</w:t>
            </w:r>
          </w:p>
        </w:tc>
        <w:tc>
          <w:tcPr>
            <w:tcW w:w="1186" w:type="pct"/>
            <w:shd w:val="clear" w:color="auto" w:fill="auto"/>
            <w:vAlign w:val="center"/>
          </w:tcPr>
          <w:p w14:paraId="7840D17E">
            <w:pPr>
              <w:pStyle w:val="39"/>
            </w:pPr>
            <w:r>
              <w:rPr>
                <w:rFonts w:hint="eastAsia"/>
              </w:rPr>
              <w:t>建筑用白云岩</w:t>
            </w:r>
          </w:p>
        </w:tc>
        <w:tc>
          <w:tcPr>
            <w:tcW w:w="833" w:type="pct"/>
            <w:shd w:val="clear" w:color="auto" w:fill="auto"/>
            <w:vAlign w:val="center"/>
          </w:tcPr>
          <w:p w14:paraId="036A5257">
            <w:pPr>
              <w:pStyle w:val="39"/>
            </w:pPr>
            <w:r>
              <w:rPr>
                <w:rFonts w:hint="eastAsia"/>
              </w:rPr>
              <w:t>22.77</w:t>
            </w:r>
          </w:p>
        </w:tc>
        <w:tc>
          <w:tcPr>
            <w:tcW w:w="833" w:type="pct"/>
            <w:shd w:val="clear" w:color="auto" w:fill="auto"/>
            <w:vAlign w:val="center"/>
          </w:tcPr>
          <w:p w14:paraId="5E63B276">
            <w:pPr>
              <w:pStyle w:val="39"/>
            </w:pPr>
            <w:r>
              <w:rPr>
                <w:rFonts w:hint="eastAsia"/>
              </w:rPr>
              <w:t>8</w:t>
            </w:r>
          </w:p>
        </w:tc>
        <w:tc>
          <w:tcPr>
            <w:tcW w:w="833" w:type="pct"/>
            <w:shd w:val="clear" w:color="auto" w:fill="auto"/>
            <w:vAlign w:val="center"/>
          </w:tcPr>
          <w:p w14:paraId="32B78E75">
            <w:pPr>
              <w:pStyle w:val="39"/>
            </w:pPr>
            <w:r>
              <w:rPr>
                <w:rFonts w:hint="eastAsia"/>
              </w:rPr>
              <w:t>20.24</w:t>
            </w:r>
          </w:p>
        </w:tc>
        <w:tc>
          <w:tcPr>
            <w:tcW w:w="833" w:type="pct"/>
            <w:shd w:val="clear" w:color="auto" w:fill="auto"/>
            <w:vAlign w:val="center"/>
          </w:tcPr>
          <w:p w14:paraId="2DBA926E">
            <w:pPr>
              <w:pStyle w:val="39"/>
            </w:pPr>
            <w:r>
              <w:rPr>
                <w:rFonts w:hint="eastAsia"/>
              </w:rPr>
              <w:t>7</w:t>
            </w:r>
          </w:p>
        </w:tc>
      </w:tr>
      <w:tr w14:paraId="1CBA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71F772B0">
            <w:pPr>
              <w:pStyle w:val="39"/>
            </w:pPr>
            <w:r>
              <w:rPr>
                <w:rFonts w:hint="eastAsia"/>
              </w:rPr>
              <w:t>11</w:t>
            </w:r>
          </w:p>
        </w:tc>
        <w:tc>
          <w:tcPr>
            <w:tcW w:w="1186" w:type="pct"/>
            <w:shd w:val="clear" w:color="auto" w:fill="auto"/>
            <w:vAlign w:val="center"/>
          </w:tcPr>
          <w:p w14:paraId="18DB05C6">
            <w:pPr>
              <w:pStyle w:val="39"/>
            </w:pPr>
            <w:r>
              <w:rPr>
                <w:rFonts w:hint="eastAsia"/>
              </w:rPr>
              <w:t>白云石</w:t>
            </w:r>
          </w:p>
        </w:tc>
        <w:tc>
          <w:tcPr>
            <w:tcW w:w="833" w:type="pct"/>
            <w:shd w:val="clear" w:color="auto" w:fill="auto"/>
            <w:vAlign w:val="center"/>
          </w:tcPr>
          <w:p w14:paraId="19477D29">
            <w:pPr>
              <w:pStyle w:val="39"/>
            </w:pPr>
            <w:r>
              <w:rPr>
                <w:rFonts w:hint="eastAsia"/>
              </w:rPr>
              <w:t>6</w:t>
            </w:r>
          </w:p>
        </w:tc>
        <w:tc>
          <w:tcPr>
            <w:tcW w:w="833" w:type="pct"/>
            <w:shd w:val="clear" w:color="auto" w:fill="auto"/>
            <w:vAlign w:val="center"/>
          </w:tcPr>
          <w:p w14:paraId="2ED9A836">
            <w:pPr>
              <w:pStyle w:val="39"/>
            </w:pPr>
            <w:r>
              <w:rPr>
                <w:rFonts w:hint="eastAsia"/>
              </w:rPr>
              <w:t>1</w:t>
            </w:r>
          </w:p>
        </w:tc>
        <w:tc>
          <w:tcPr>
            <w:tcW w:w="833" w:type="pct"/>
            <w:shd w:val="clear" w:color="auto" w:fill="auto"/>
            <w:vAlign w:val="center"/>
          </w:tcPr>
          <w:p w14:paraId="4691E69C">
            <w:pPr>
              <w:pStyle w:val="39"/>
            </w:pPr>
            <w:r>
              <w:rPr>
                <w:rFonts w:hint="eastAsia"/>
              </w:rPr>
              <w:t>6</w:t>
            </w:r>
          </w:p>
        </w:tc>
        <w:tc>
          <w:tcPr>
            <w:tcW w:w="833" w:type="pct"/>
            <w:shd w:val="clear" w:color="auto" w:fill="auto"/>
            <w:vAlign w:val="center"/>
          </w:tcPr>
          <w:p w14:paraId="3F5B4EAF">
            <w:pPr>
              <w:pStyle w:val="39"/>
            </w:pPr>
            <w:r>
              <w:rPr>
                <w:rFonts w:hint="eastAsia"/>
              </w:rPr>
              <w:t>1</w:t>
            </w:r>
          </w:p>
        </w:tc>
      </w:tr>
      <w:tr w14:paraId="31C5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594BEAFD">
            <w:pPr>
              <w:pStyle w:val="39"/>
            </w:pPr>
            <w:r>
              <w:rPr>
                <w:rFonts w:hint="eastAsia"/>
              </w:rPr>
              <w:t>12</w:t>
            </w:r>
          </w:p>
        </w:tc>
        <w:tc>
          <w:tcPr>
            <w:tcW w:w="1186" w:type="pct"/>
            <w:shd w:val="clear" w:color="auto" w:fill="auto"/>
            <w:vAlign w:val="center"/>
          </w:tcPr>
          <w:p w14:paraId="23F05A30">
            <w:pPr>
              <w:pStyle w:val="39"/>
            </w:pPr>
            <w:r>
              <w:rPr>
                <w:rFonts w:hint="eastAsia"/>
              </w:rPr>
              <w:t>石灰岩</w:t>
            </w:r>
          </w:p>
        </w:tc>
        <w:tc>
          <w:tcPr>
            <w:tcW w:w="833" w:type="pct"/>
            <w:shd w:val="clear" w:color="auto" w:fill="auto"/>
            <w:vAlign w:val="center"/>
          </w:tcPr>
          <w:p w14:paraId="32F55EB1">
            <w:pPr>
              <w:pStyle w:val="39"/>
            </w:pPr>
            <w:r>
              <w:rPr>
                <w:rFonts w:hint="eastAsia"/>
              </w:rPr>
              <w:t>43</w:t>
            </w:r>
          </w:p>
        </w:tc>
        <w:tc>
          <w:tcPr>
            <w:tcW w:w="833" w:type="pct"/>
            <w:shd w:val="clear" w:color="auto" w:fill="auto"/>
            <w:vAlign w:val="center"/>
          </w:tcPr>
          <w:p w14:paraId="5D8DA8EA">
            <w:pPr>
              <w:pStyle w:val="39"/>
            </w:pPr>
            <w:r>
              <w:rPr>
                <w:rFonts w:hint="eastAsia"/>
              </w:rPr>
              <w:t>4</w:t>
            </w:r>
          </w:p>
        </w:tc>
        <w:tc>
          <w:tcPr>
            <w:tcW w:w="833" w:type="pct"/>
            <w:shd w:val="clear" w:color="auto" w:fill="auto"/>
            <w:vAlign w:val="center"/>
          </w:tcPr>
          <w:p w14:paraId="6C3724ED">
            <w:pPr>
              <w:pStyle w:val="39"/>
            </w:pPr>
            <w:r>
              <w:rPr>
                <w:rFonts w:hint="eastAsia"/>
              </w:rPr>
              <w:t>34.4</w:t>
            </w:r>
          </w:p>
        </w:tc>
        <w:tc>
          <w:tcPr>
            <w:tcW w:w="833" w:type="pct"/>
            <w:shd w:val="clear" w:color="auto" w:fill="auto"/>
            <w:vAlign w:val="center"/>
          </w:tcPr>
          <w:p w14:paraId="5D7CC93F">
            <w:pPr>
              <w:pStyle w:val="39"/>
            </w:pPr>
            <w:r>
              <w:rPr>
                <w:rFonts w:hint="eastAsia"/>
              </w:rPr>
              <w:t>4</w:t>
            </w:r>
          </w:p>
        </w:tc>
      </w:tr>
      <w:tr w14:paraId="00A1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32090253">
            <w:pPr>
              <w:pStyle w:val="39"/>
            </w:pPr>
            <w:r>
              <w:rPr>
                <w:rFonts w:hint="eastAsia"/>
              </w:rPr>
              <w:t>13</w:t>
            </w:r>
          </w:p>
        </w:tc>
        <w:tc>
          <w:tcPr>
            <w:tcW w:w="1186" w:type="pct"/>
            <w:shd w:val="clear" w:color="auto" w:fill="auto"/>
            <w:vAlign w:val="center"/>
          </w:tcPr>
          <w:p w14:paraId="587EA148">
            <w:pPr>
              <w:pStyle w:val="39"/>
            </w:pPr>
            <w:r>
              <w:rPr>
                <w:rFonts w:hint="eastAsia"/>
              </w:rPr>
              <w:t>砂岩</w:t>
            </w:r>
          </w:p>
        </w:tc>
        <w:tc>
          <w:tcPr>
            <w:tcW w:w="833" w:type="pct"/>
            <w:shd w:val="clear" w:color="auto" w:fill="auto"/>
            <w:vAlign w:val="center"/>
          </w:tcPr>
          <w:p w14:paraId="383D0D25">
            <w:pPr>
              <w:pStyle w:val="39"/>
            </w:pPr>
            <w:r>
              <w:rPr>
                <w:rFonts w:hint="eastAsia"/>
              </w:rPr>
              <w:t>38.04</w:t>
            </w:r>
          </w:p>
        </w:tc>
        <w:tc>
          <w:tcPr>
            <w:tcW w:w="833" w:type="pct"/>
            <w:shd w:val="clear" w:color="auto" w:fill="auto"/>
            <w:vAlign w:val="center"/>
          </w:tcPr>
          <w:p w14:paraId="2CA62CDB">
            <w:pPr>
              <w:pStyle w:val="39"/>
            </w:pPr>
            <w:r>
              <w:rPr>
                <w:rFonts w:hint="eastAsia"/>
              </w:rPr>
              <w:t>6</w:t>
            </w:r>
          </w:p>
        </w:tc>
        <w:tc>
          <w:tcPr>
            <w:tcW w:w="833" w:type="pct"/>
            <w:shd w:val="clear" w:color="auto" w:fill="auto"/>
            <w:vAlign w:val="center"/>
          </w:tcPr>
          <w:p w14:paraId="6ED14606">
            <w:pPr>
              <w:pStyle w:val="39"/>
            </w:pPr>
            <w:r>
              <w:rPr>
                <w:rFonts w:hint="eastAsia"/>
              </w:rPr>
              <w:t>38.04</w:t>
            </w:r>
          </w:p>
        </w:tc>
        <w:tc>
          <w:tcPr>
            <w:tcW w:w="833" w:type="pct"/>
            <w:shd w:val="clear" w:color="auto" w:fill="auto"/>
            <w:vAlign w:val="center"/>
          </w:tcPr>
          <w:p w14:paraId="0187F266">
            <w:pPr>
              <w:pStyle w:val="39"/>
            </w:pPr>
            <w:r>
              <w:rPr>
                <w:rFonts w:hint="eastAsia"/>
              </w:rPr>
              <w:t>6</w:t>
            </w:r>
          </w:p>
        </w:tc>
      </w:tr>
      <w:tr w14:paraId="0ECB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178C256C">
            <w:pPr>
              <w:pStyle w:val="39"/>
            </w:pPr>
            <w:r>
              <w:rPr>
                <w:rFonts w:hint="eastAsia"/>
              </w:rPr>
              <w:t>14</w:t>
            </w:r>
          </w:p>
        </w:tc>
        <w:tc>
          <w:tcPr>
            <w:tcW w:w="1186" w:type="pct"/>
            <w:shd w:val="clear" w:color="auto" w:fill="auto"/>
            <w:vAlign w:val="center"/>
          </w:tcPr>
          <w:p w14:paraId="3FA3E39A">
            <w:pPr>
              <w:pStyle w:val="39"/>
            </w:pPr>
            <w:r>
              <w:rPr>
                <w:rFonts w:hint="eastAsia"/>
              </w:rPr>
              <w:t>水泥用石灰岩</w:t>
            </w:r>
          </w:p>
        </w:tc>
        <w:tc>
          <w:tcPr>
            <w:tcW w:w="833" w:type="pct"/>
            <w:shd w:val="clear" w:color="auto" w:fill="auto"/>
            <w:vAlign w:val="center"/>
          </w:tcPr>
          <w:p w14:paraId="39D81B3B">
            <w:pPr>
              <w:pStyle w:val="39"/>
            </w:pPr>
            <w:r>
              <w:rPr>
                <w:rFonts w:hint="eastAsia"/>
              </w:rPr>
              <w:t>149.40</w:t>
            </w:r>
          </w:p>
        </w:tc>
        <w:tc>
          <w:tcPr>
            <w:tcW w:w="833" w:type="pct"/>
            <w:shd w:val="clear" w:color="auto" w:fill="auto"/>
            <w:vAlign w:val="center"/>
          </w:tcPr>
          <w:p w14:paraId="7B9761D6">
            <w:pPr>
              <w:pStyle w:val="39"/>
            </w:pPr>
            <w:r>
              <w:rPr>
                <w:rFonts w:hint="eastAsia"/>
              </w:rPr>
              <w:t>23</w:t>
            </w:r>
          </w:p>
        </w:tc>
        <w:tc>
          <w:tcPr>
            <w:tcW w:w="833" w:type="pct"/>
            <w:shd w:val="clear" w:color="auto" w:fill="auto"/>
            <w:vAlign w:val="center"/>
          </w:tcPr>
          <w:p w14:paraId="21876889">
            <w:pPr>
              <w:pStyle w:val="39"/>
            </w:pPr>
            <w:r>
              <w:rPr>
                <w:rFonts w:hint="eastAsia"/>
              </w:rPr>
              <w:t>132.80</w:t>
            </w:r>
          </w:p>
        </w:tc>
        <w:tc>
          <w:tcPr>
            <w:tcW w:w="833" w:type="pct"/>
            <w:shd w:val="clear" w:color="auto" w:fill="auto"/>
            <w:vAlign w:val="center"/>
          </w:tcPr>
          <w:p w14:paraId="7B8769E3">
            <w:pPr>
              <w:pStyle w:val="39"/>
            </w:pPr>
            <w:r>
              <w:rPr>
                <w:rFonts w:hint="eastAsia"/>
              </w:rPr>
              <w:t>20</w:t>
            </w:r>
          </w:p>
        </w:tc>
      </w:tr>
      <w:tr w14:paraId="164A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3F1B4B6C">
            <w:pPr>
              <w:pStyle w:val="39"/>
            </w:pPr>
            <w:r>
              <w:rPr>
                <w:rFonts w:hint="eastAsia"/>
              </w:rPr>
              <w:t>15</w:t>
            </w:r>
          </w:p>
        </w:tc>
        <w:tc>
          <w:tcPr>
            <w:tcW w:w="1186" w:type="pct"/>
            <w:shd w:val="clear" w:color="auto" w:fill="auto"/>
            <w:vAlign w:val="center"/>
          </w:tcPr>
          <w:p w14:paraId="060A798C">
            <w:pPr>
              <w:pStyle w:val="39"/>
            </w:pPr>
            <w:r>
              <w:rPr>
                <w:rFonts w:hint="eastAsia"/>
              </w:rPr>
              <w:t>化肥用砂岩</w:t>
            </w:r>
          </w:p>
        </w:tc>
        <w:tc>
          <w:tcPr>
            <w:tcW w:w="833" w:type="pct"/>
            <w:shd w:val="clear" w:color="auto" w:fill="auto"/>
            <w:vAlign w:val="center"/>
          </w:tcPr>
          <w:p w14:paraId="100A83DB">
            <w:pPr>
              <w:pStyle w:val="39"/>
            </w:pPr>
            <w:r>
              <w:rPr>
                <w:rFonts w:hint="eastAsia"/>
              </w:rPr>
              <w:t>85.50</w:t>
            </w:r>
          </w:p>
        </w:tc>
        <w:tc>
          <w:tcPr>
            <w:tcW w:w="833" w:type="pct"/>
            <w:shd w:val="clear" w:color="auto" w:fill="auto"/>
            <w:vAlign w:val="center"/>
          </w:tcPr>
          <w:p w14:paraId="051035E2">
            <w:pPr>
              <w:pStyle w:val="39"/>
            </w:pPr>
            <w:r>
              <w:rPr>
                <w:rFonts w:hint="eastAsia"/>
              </w:rPr>
              <w:t>12</w:t>
            </w:r>
          </w:p>
        </w:tc>
        <w:tc>
          <w:tcPr>
            <w:tcW w:w="833" w:type="pct"/>
            <w:shd w:val="clear" w:color="auto" w:fill="auto"/>
            <w:vAlign w:val="center"/>
          </w:tcPr>
          <w:p w14:paraId="600EA346">
            <w:pPr>
              <w:pStyle w:val="39"/>
            </w:pPr>
            <w:r>
              <w:rPr>
                <w:rFonts w:hint="eastAsia"/>
              </w:rPr>
              <w:t>76</w:t>
            </w:r>
          </w:p>
        </w:tc>
        <w:tc>
          <w:tcPr>
            <w:tcW w:w="833" w:type="pct"/>
            <w:shd w:val="clear" w:color="auto" w:fill="auto"/>
            <w:vAlign w:val="center"/>
          </w:tcPr>
          <w:p w14:paraId="6EB33563">
            <w:pPr>
              <w:pStyle w:val="39"/>
            </w:pPr>
            <w:r>
              <w:rPr>
                <w:rFonts w:hint="eastAsia"/>
              </w:rPr>
              <w:t>13</w:t>
            </w:r>
          </w:p>
        </w:tc>
      </w:tr>
      <w:tr w14:paraId="5C2F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5FBE8F93">
            <w:pPr>
              <w:pStyle w:val="39"/>
            </w:pPr>
            <w:r>
              <w:rPr>
                <w:rFonts w:hint="eastAsia"/>
              </w:rPr>
              <w:t>16</w:t>
            </w:r>
          </w:p>
        </w:tc>
        <w:tc>
          <w:tcPr>
            <w:tcW w:w="1186" w:type="pct"/>
            <w:shd w:val="clear" w:color="auto" w:fill="auto"/>
            <w:vAlign w:val="center"/>
          </w:tcPr>
          <w:p w14:paraId="6115FA9F">
            <w:pPr>
              <w:pStyle w:val="39"/>
            </w:pPr>
            <w:r>
              <w:rPr>
                <w:rFonts w:hint="eastAsia"/>
              </w:rPr>
              <w:t>粘土矿</w:t>
            </w:r>
          </w:p>
        </w:tc>
        <w:tc>
          <w:tcPr>
            <w:tcW w:w="833" w:type="pct"/>
            <w:shd w:val="clear" w:color="auto" w:fill="auto"/>
            <w:vAlign w:val="center"/>
          </w:tcPr>
          <w:p w14:paraId="3380ED99">
            <w:pPr>
              <w:pStyle w:val="39"/>
            </w:pPr>
            <w:r>
              <w:rPr>
                <w:rFonts w:hint="eastAsia"/>
              </w:rPr>
              <w:t>37.35</w:t>
            </w:r>
          </w:p>
        </w:tc>
        <w:tc>
          <w:tcPr>
            <w:tcW w:w="833" w:type="pct"/>
            <w:shd w:val="clear" w:color="auto" w:fill="auto"/>
            <w:vAlign w:val="center"/>
          </w:tcPr>
          <w:p w14:paraId="59CC42BB">
            <w:pPr>
              <w:pStyle w:val="39"/>
            </w:pPr>
            <w:r>
              <w:rPr>
                <w:rFonts w:hint="eastAsia"/>
              </w:rPr>
              <w:t>7</w:t>
            </w:r>
          </w:p>
        </w:tc>
        <w:tc>
          <w:tcPr>
            <w:tcW w:w="833" w:type="pct"/>
            <w:shd w:val="clear" w:color="auto" w:fill="auto"/>
            <w:vAlign w:val="center"/>
          </w:tcPr>
          <w:p w14:paraId="0D8DE261">
            <w:pPr>
              <w:pStyle w:val="39"/>
            </w:pPr>
            <w:r>
              <w:rPr>
                <w:rFonts w:hint="eastAsia"/>
              </w:rPr>
              <w:t>33.20</w:t>
            </w:r>
          </w:p>
        </w:tc>
        <w:tc>
          <w:tcPr>
            <w:tcW w:w="833" w:type="pct"/>
            <w:shd w:val="clear" w:color="auto" w:fill="auto"/>
            <w:vAlign w:val="center"/>
          </w:tcPr>
          <w:p w14:paraId="087E5F15">
            <w:pPr>
              <w:pStyle w:val="39"/>
            </w:pPr>
            <w:r>
              <w:rPr>
                <w:rFonts w:hint="eastAsia"/>
              </w:rPr>
              <w:t>6</w:t>
            </w:r>
          </w:p>
        </w:tc>
      </w:tr>
      <w:tr w14:paraId="63FA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7FDF7974">
            <w:pPr>
              <w:pStyle w:val="39"/>
            </w:pPr>
            <w:r>
              <w:rPr>
                <w:rFonts w:hint="eastAsia"/>
              </w:rPr>
              <w:t>17</w:t>
            </w:r>
          </w:p>
        </w:tc>
        <w:tc>
          <w:tcPr>
            <w:tcW w:w="1186" w:type="pct"/>
            <w:shd w:val="clear" w:color="auto" w:fill="auto"/>
            <w:vAlign w:val="center"/>
          </w:tcPr>
          <w:p w14:paraId="5B3C0F1F">
            <w:pPr>
              <w:pStyle w:val="39"/>
            </w:pPr>
            <w:r>
              <w:rPr>
                <w:rFonts w:hint="eastAsia"/>
              </w:rPr>
              <w:t>冶金用白云岩</w:t>
            </w:r>
          </w:p>
        </w:tc>
        <w:tc>
          <w:tcPr>
            <w:tcW w:w="833" w:type="pct"/>
            <w:shd w:val="clear" w:color="auto" w:fill="auto"/>
            <w:vAlign w:val="center"/>
          </w:tcPr>
          <w:p w14:paraId="2157BBF1">
            <w:pPr>
              <w:pStyle w:val="39"/>
            </w:pPr>
            <w:r>
              <w:rPr>
                <w:rFonts w:hint="eastAsia"/>
              </w:rPr>
              <w:t>25</w:t>
            </w:r>
          </w:p>
        </w:tc>
        <w:tc>
          <w:tcPr>
            <w:tcW w:w="833" w:type="pct"/>
            <w:shd w:val="clear" w:color="auto" w:fill="auto"/>
            <w:vAlign w:val="center"/>
          </w:tcPr>
          <w:p w14:paraId="15DA894D">
            <w:pPr>
              <w:pStyle w:val="39"/>
            </w:pPr>
            <w:r>
              <w:rPr>
                <w:rFonts w:hint="eastAsia"/>
              </w:rPr>
              <w:t>3</w:t>
            </w:r>
          </w:p>
        </w:tc>
        <w:tc>
          <w:tcPr>
            <w:tcW w:w="833" w:type="pct"/>
            <w:shd w:val="clear" w:color="auto" w:fill="auto"/>
            <w:vAlign w:val="center"/>
          </w:tcPr>
          <w:p w14:paraId="31E023F6">
            <w:pPr>
              <w:pStyle w:val="39"/>
            </w:pPr>
            <w:r>
              <w:rPr>
                <w:rFonts w:hint="eastAsia"/>
              </w:rPr>
              <w:t>25</w:t>
            </w:r>
          </w:p>
        </w:tc>
        <w:tc>
          <w:tcPr>
            <w:tcW w:w="833" w:type="pct"/>
            <w:shd w:val="clear" w:color="auto" w:fill="auto"/>
            <w:vAlign w:val="center"/>
          </w:tcPr>
          <w:p w14:paraId="28473033">
            <w:pPr>
              <w:pStyle w:val="39"/>
            </w:pPr>
            <w:r>
              <w:rPr>
                <w:rFonts w:hint="eastAsia"/>
              </w:rPr>
              <w:t>3</w:t>
            </w:r>
          </w:p>
        </w:tc>
      </w:tr>
      <w:tr w14:paraId="3E0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pct"/>
            <w:shd w:val="clear" w:color="auto" w:fill="auto"/>
            <w:vAlign w:val="center"/>
          </w:tcPr>
          <w:p w14:paraId="4FCC2CF3">
            <w:pPr>
              <w:pStyle w:val="39"/>
            </w:pPr>
            <w:r>
              <w:rPr>
                <w:rFonts w:hint="eastAsia"/>
              </w:rPr>
              <w:t>18</w:t>
            </w:r>
          </w:p>
        </w:tc>
        <w:tc>
          <w:tcPr>
            <w:tcW w:w="1186" w:type="pct"/>
            <w:shd w:val="clear" w:color="auto" w:fill="auto"/>
            <w:vAlign w:val="center"/>
          </w:tcPr>
          <w:p w14:paraId="316514B2">
            <w:pPr>
              <w:pStyle w:val="39"/>
            </w:pPr>
            <w:r>
              <w:rPr>
                <w:rFonts w:hint="eastAsia"/>
              </w:rPr>
              <w:t>砖瓦用页岩</w:t>
            </w:r>
          </w:p>
        </w:tc>
        <w:tc>
          <w:tcPr>
            <w:tcW w:w="833" w:type="pct"/>
            <w:shd w:val="clear" w:color="auto" w:fill="auto"/>
            <w:vAlign w:val="center"/>
          </w:tcPr>
          <w:p w14:paraId="6958D36B">
            <w:pPr>
              <w:pStyle w:val="39"/>
            </w:pPr>
            <w:r>
              <w:rPr>
                <w:rFonts w:hint="eastAsia"/>
              </w:rPr>
              <w:t>230.96</w:t>
            </w:r>
          </w:p>
        </w:tc>
        <w:tc>
          <w:tcPr>
            <w:tcW w:w="833" w:type="pct"/>
            <w:shd w:val="clear" w:color="auto" w:fill="auto"/>
            <w:vAlign w:val="center"/>
          </w:tcPr>
          <w:p w14:paraId="692B5438">
            <w:pPr>
              <w:pStyle w:val="39"/>
            </w:pPr>
            <w:r>
              <w:rPr>
                <w:rFonts w:hint="eastAsia"/>
              </w:rPr>
              <w:t>108</w:t>
            </w:r>
          </w:p>
        </w:tc>
        <w:tc>
          <w:tcPr>
            <w:tcW w:w="833" w:type="pct"/>
            <w:shd w:val="clear" w:color="auto" w:fill="auto"/>
            <w:vAlign w:val="center"/>
          </w:tcPr>
          <w:p w14:paraId="781F8541">
            <w:pPr>
              <w:pStyle w:val="39"/>
            </w:pPr>
            <w:r>
              <w:rPr>
                <w:rFonts w:hint="eastAsia"/>
              </w:rPr>
              <w:t>205.3</w:t>
            </w:r>
          </w:p>
        </w:tc>
        <w:tc>
          <w:tcPr>
            <w:tcW w:w="833" w:type="pct"/>
            <w:shd w:val="clear" w:color="auto" w:fill="auto"/>
            <w:vAlign w:val="center"/>
          </w:tcPr>
          <w:p w14:paraId="4705CF0B">
            <w:pPr>
              <w:pStyle w:val="39"/>
            </w:pPr>
            <w:r>
              <w:rPr>
                <w:rFonts w:hint="eastAsia"/>
              </w:rPr>
              <w:t>95</w:t>
            </w:r>
          </w:p>
        </w:tc>
      </w:tr>
      <w:tr w14:paraId="105A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pct"/>
            <w:gridSpan w:val="2"/>
            <w:shd w:val="clear" w:color="auto" w:fill="auto"/>
            <w:vAlign w:val="center"/>
          </w:tcPr>
          <w:p w14:paraId="4D07C1BD">
            <w:pPr>
              <w:pStyle w:val="39"/>
            </w:pPr>
            <w:r>
              <w:rPr>
                <w:rFonts w:hint="eastAsia"/>
              </w:rPr>
              <w:t>合计</w:t>
            </w:r>
          </w:p>
        </w:tc>
        <w:tc>
          <w:tcPr>
            <w:tcW w:w="833" w:type="pct"/>
            <w:shd w:val="clear" w:color="auto" w:fill="auto"/>
            <w:vAlign w:val="center"/>
          </w:tcPr>
          <w:p w14:paraId="76FE2797">
            <w:pPr>
              <w:pStyle w:val="39"/>
            </w:pPr>
          </w:p>
        </w:tc>
        <w:tc>
          <w:tcPr>
            <w:tcW w:w="833" w:type="pct"/>
            <w:shd w:val="clear" w:color="auto" w:fill="auto"/>
            <w:vAlign w:val="center"/>
          </w:tcPr>
          <w:p w14:paraId="359FFAE3">
            <w:pPr>
              <w:pStyle w:val="39"/>
            </w:pPr>
            <w:r>
              <w:t>266</w:t>
            </w:r>
          </w:p>
        </w:tc>
        <w:tc>
          <w:tcPr>
            <w:tcW w:w="833" w:type="pct"/>
            <w:shd w:val="clear" w:color="auto" w:fill="auto"/>
            <w:vAlign w:val="center"/>
          </w:tcPr>
          <w:p w14:paraId="0418296F">
            <w:pPr>
              <w:pStyle w:val="39"/>
            </w:pPr>
          </w:p>
        </w:tc>
        <w:tc>
          <w:tcPr>
            <w:tcW w:w="833" w:type="pct"/>
            <w:shd w:val="clear" w:color="auto" w:fill="auto"/>
            <w:vAlign w:val="center"/>
          </w:tcPr>
          <w:p w14:paraId="703E238E">
            <w:pPr>
              <w:pStyle w:val="39"/>
            </w:pPr>
            <w:r>
              <w:rPr>
                <w:rFonts w:hint="eastAsia"/>
              </w:rPr>
              <w:t>2</w:t>
            </w:r>
            <w:r>
              <w:t>50</w:t>
            </w:r>
          </w:p>
        </w:tc>
      </w:tr>
    </w:tbl>
    <w:p w14:paraId="6721E2AD">
      <w:pPr>
        <w:pStyle w:val="4"/>
        <w:ind w:firstLine="643"/>
      </w:pPr>
      <w:bookmarkStart w:id="51" w:name="_Toc469237499"/>
      <w:bookmarkStart w:id="52" w:name="_Toc472321037"/>
      <w:bookmarkStart w:id="53" w:name="_Toc475349507"/>
      <w:r>
        <w:t xml:space="preserve"> </w:t>
      </w:r>
      <w:bookmarkStart w:id="54" w:name="_Toc482798180"/>
      <w:bookmarkStart w:id="55" w:name="_Toc479584507"/>
      <w:r>
        <w:rPr>
          <w:rFonts w:hint="eastAsia"/>
        </w:rPr>
        <w:t>管理措施</w:t>
      </w:r>
      <w:bookmarkEnd w:id="51"/>
      <w:bookmarkEnd w:id="52"/>
      <w:bookmarkEnd w:id="53"/>
      <w:bookmarkEnd w:id="54"/>
      <w:bookmarkEnd w:id="55"/>
    </w:p>
    <w:p w14:paraId="09C91EC0">
      <w:pPr>
        <w:pStyle w:val="5"/>
        <w:ind w:firstLine="643"/>
      </w:pPr>
      <w:r>
        <w:rPr>
          <w:rFonts w:hint="eastAsia"/>
        </w:rPr>
        <w:t>进一步优化矿产开发布局</w:t>
      </w:r>
    </w:p>
    <w:p w14:paraId="3772CF75">
      <w:pPr>
        <w:ind w:firstLine="640"/>
      </w:pPr>
      <w:r>
        <w:rPr>
          <w:rFonts w:hint="eastAsia"/>
        </w:rPr>
        <w:t>加强矿产资源市场需求的调查研究，科学编制矿产资源规划，统筹砂石粘土/小型非金属矿产的矿业权设置。加强对已有不合理采矿权调整整合，对违规设置和不符合准入条件的已有矿业权进行清理，实现已设采矿权调整、整合、退出的常态化管理。</w:t>
      </w:r>
    </w:p>
    <w:p w14:paraId="6F112E3E">
      <w:pPr>
        <w:pStyle w:val="5"/>
        <w:ind w:firstLine="643"/>
      </w:pPr>
      <w:r>
        <w:rPr>
          <w:rFonts w:hint="eastAsia"/>
        </w:rPr>
        <w:t>严格矿业权人开采活动监管</w:t>
      </w:r>
    </w:p>
    <w:p w14:paraId="590CF2A8">
      <w:pPr>
        <w:ind w:firstLine="640"/>
      </w:pPr>
      <w:r>
        <w:rPr>
          <w:rFonts w:hint="eastAsia"/>
        </w:rPr>
        <w:t>严格执行采矿权标识制度和矿业权人勘查开采信息公示制度，加强矿业权人履行法定义务和合理开发利用矿产资源的监管。充分发挥各级矿产督察员作用，完善矿产督察员年度考核管理，提高矿产督察管理的水平和质量。要明确监管任务，规范监管程序，把矿业权人勘查开采和矿山地质环境治理、土地复垦作为重点，加强矿产资源勘查开采活动的日常监管。认真执行年检制度，将年检结果直接与矿业权延续、变更、转让挂钩。</w:t>
      </w:r>
    </w:p>
    <w:p w14:paraId="04E4AA47">
      <w:pPr>
        <w:pStyle w:val="5"/>
        <w:ind w:firstLine="643"/>
      </w:pPr>
      <w:r>
        <w:rPr>
          <w:rFonts w:hint="eastAsia"/>
        </w:rPr>
        <w:t>促进矿产资源合理开发利用</w:t>
      </w:r>
    </w:p>
    <w:p w14:paraId="5792A223">
      <w:pPr>
        <w:ind w:firstLine="640"/>
      </w:pPr>
      <w:r>
        <w:rPr>
          <w:rFonts w:hint="eastAsia"/>
        </w:rPr>
        <w:t>采矿权登记管理机关要严格审查矿产资源开发利用方案，加强开发利用方案实施情况的监督检查。督促矿山企业加强地质测量机构和人员的设立和配备并按规定开展矿山地质测量，全面开展矿山储量动态监测。以国土资源部发布的矿产资源合理开发利用“三率”指标要求和矿产资源开发利用方案为依据，强化“三率”指标管理，并逐步实行“三率”指标的公示、考评制度。</w:t>
      </w:r>
    </w:p>
    <w:p w14:paraId="0798C7F7">
      <w:pPr>
        <w:pStyle w:val="5"/>
        <w:ind w:firstLine="643"/>
      </w:pPr>
      <w:r>
        <w:rPr>
          <w:rFonts w:hint="eastAsia"/>
        </w:rPr>
        <w:t>严厉打击违法违规行为</w:t>
      </w:r>
    </w:p>
    <w:p w14:paraId="6A43AA5C">
      <w:pPr>
        <w:ind w:firstLine="640"/>
      </w:pPr>
      <w:r>
        <w:rPr>
          <w:rFonts w:hint="eastAsia"/>
        </w:rPr>
        <w:t>推进执法关口前移和重心下移，合理划分全面巡查和重点巡查区域，及时发现和有效制止无证勘查、开采等违法行为，同时要拓宽社会监督渠道，充分发挥社会监督、舆论监督防范违法的作用，建立健全及时发现和有效制止机制。严格依法履行查处职责，落实案件查处责任，加强检查、督办，完善重大典型案件上报制度，完善案件查处机制，切实提高查处效果。</w:t>
      </w:r>
    </w:p>
    <w:p w14:paraId="59F046B1">
      <w:pPr>
        <w:pStyle w:val="3"/>
        <w:ind w:firstLine="723"/>
      </w:pPr>
      <w:bookmarkStart w:id="56" w:name="_Toc482798181"/>
      <w:r>
        <w:rPr>
          <w:rFonts w:hint="eastAsia"/>
        </w:rPr>
        <w:t>优化资源开采布局</w:t>
      </w:r>
      <w:bookmarkEnd w:id="56"/>
    </w:p>
    <w:p w14:paraId="4F071D10">
      <w:pPr>
        <w:pStyle w:val="4"/>
        <w:ind w:firstLine="643"/>
      </w:pPr>
      <w:bookmarkStart w:id="57" w:name="_Toc479584509"/>
      <w:bookmarkStart w:id="58" w:name="_Toc482798182"/>
      <w:r>
        <w:rPr>
          <w:rFonts w:hint="eastAsia"/>
        </w:rPr>
        <w:t>合理划分集中开采区</w:t>
      </w:r>
      <w:bookmarkEnd w:id="57"/>
      <w:bookmarkEnd w:id="58"/>
    </w:p>
    <w:p w14:paraId="2FFE2C29">
      <w:pPr>
        <w:ind w:firstLine="640"/>
      </w:pPr>
      <w:r>
        <w:rPr>
          <w:rFonts w:hint="eastAsia"/>
        </w:rPr>
        <w:t>我市</w:t>
      </w:r>
      <w:r>
        <w:t>境内的</w:t>
      </w:r>
      <w:r>
        <w:rPr>
          <w:rFonts w:hint="eastAsia"/>
        </w:rPr>
        <w:t>砂石粘土/小型非金属矿山具有数量多、分布广、开采规模小、产品销售的地域范围窄的特点。在各区市县第三轮矿产资源规划中，依据当地社会</w:t>
      </w:r>
      <w:r>
        <w:t>经济发展需要、</w:t>
      </w:r>
      <w:r>
        <w:rPr>
          <w:rFonts w:hint="eastAsia"/>
        </w:rPr>
        <w:t>产业政策、</w:t>
      </w:r>
      <w:r>
        <w:t>主体功能区要求和矿产资源禀赋条件，已经</w:t>
      </w:r>
      <w:r>
        <w:rPr>
          <w:rFonts w:hint="eastAsia"/>
        </w:rPr>
        <w:t>按</w:t>
      </w:r>
      <w:r>
        <w:t>砂石粘土</w:t>
      </w:r>
      <w:r>
        <w:rPr>
          <w:rFonts w:hint="eastAsia"/>
        </w:rPr>
        <w:t>/小型非金属矿山分布相对集中、交通运输条件较好的原则划定了集中开采区</w:t>
      </w:r>
      <w:r>
        <w:t>14</w:t>
      </w:r>
      <w:r>
        <w:rPr>
          <w:rFonts w:hint="eastAsia"/>
        </w:rPr>
        <w:t>个(</w:t>
      </w:r>
      <w:r>
        <w:t>详见各区市县</w:t>
      </w:r>
      <w:r>
        <w:rPr>
          <w:rFonts w:hint="eastAsia"/>
        </w:rPr>
        <w:t>第</w:t>
      </w:r>
      <w:r>
        <w:t>三轮规划</w:t>
      </w:r>
      <w:r>
        <w:rPr>
          <w:rFonts w:hint="eastAsia"/>
        </w:rPr>
        <w:t>)。</w:t>
      </w:r>
    </w:p>
    <w:p w14:paraId="46F06976">
      <w:pPr>
        <w:pStyle w:val="34"/>
        <w:spacing w:before="120"/>
      </w:pPr>
      <w:r>
        <w:rPr>
          <w:rFonts w:hint="eastAsia"/>
        </w:rPr>
        <w:t>专栏</w:t>
      </w:r>
      <w:r>
        <w:t>11</w:t>
      </w:r>
      <w:r>
        <w:rPr>
          <w:rFonts w:hint="eastAsia"/>
        </w:rPr>
        <w:t xml:space="preserve">  </w:t>
      </w:r>
      <w:r>
        <w:t>乐山市各区市县</w:t>
      </w:r>
      <w:r>
        <w:rPr>
          <w:rFonts w:hint="eastAsia"/>
        </w:rPr>
        <w:t>集</w:t>
      </w:r>
      <w:r>
        <w:t>中开采</w:t>
      </w:r>
      <w:r>
        <w:rPr>
          <w:rFonts w:hint="eastAsia"/>
        </w:rPr>
        <w:t>分</w:t>
      </w:r>
      <w:r>
        <w:t>区</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8"/>
      </w:tblGrid>
      <w:tr w14:paraId="382B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958" w:type="dxa"/>
            <w:shd w:val="clear" w:color="auto" w:fill="auto"/>
          </w:tcPr>
          <w:p w14:paraId="3C923216">
            <w:pPr>
              <w:pStyle w:val="37"/>
              <w:rPr>
                <w:szCs w:val="32"/>
              </w:rPr>
            </w:pPr>
            <w:r>
              <w:rPr>
                <w:rFonts w:hint="eastAsia"/>
                <w:szCs w:val="32"/>
              </w:rPr>
              <w:t>市中区：1个，新场--瓦厂坝砖瓦用页岩集中开采区。</w:t>
            </w:r>
          </w:p>
          <w:p w14:paraId="6899A235">
            <w:pPr>
              <w:pStyle w:val="37"/>
              <w:rPr>
                <w:szCs w:val="32"/>
              </w:rPr>
            </w:pPr>
            <w:r>
              <w:rPr>
                <w:rFonts w:hint="eastAsia"/>
                <w:szCs w:val="32"/>
              </w:rPr>
              <w:t>峨眉山市：</w:t>
            </w:r>
            <w:r>
              <w:rPr>
                <w:szCs w:val="32"/>
              </w:rPr>
              <w:t>2</w:t>
            </w:r>
            <w:r>
              <w:rPr>
                <w:rFonts w:hint="eastAsia"/>
                <w:szCs w:val="32"/>
              </w:rPr>
              <w:t>个，龙池至大为伊</w:t>
            </w:r>
            <w:r>
              <w:rPr>
                <w:szCs w:val="32"/>
              </w:rPr>
              <w:t>利石、</w:t>
            </w:r>
            <w:r>
              <w:rPr>
                <w:rFonts w:hint="eastAsia"/>
                <w:szCs w:val="32"/>
              </w:rPr>
              <w:t>砂石、粘土集中开采区，双福至川主砂</w:t>
            </w:r>
            <w:r>
              <w:rPr>
                <w:szCs w:val="32"/>
              </w:rPr>
              <w:t>岩、</w:t>
            </w:r>
            <w:r>
              <w:rPr>
                <w:rFonts w:hint="eastAsia"/>
                <w:szCs w:val="32"/>
              </w:rPr>
              <w:t>页岩集中开采区。</w:t>
            </w:r>
          </w:p>
          <w:p w14:paraId="7A9BF5DB">
            <w:pPr>
              <w:pStyle w:val="37"/>
              <w:rPr>
                <w:szCs w:val="32"/>
              </w:rPr>
            </w:pPr>
            <w:r>
              <w:rPr>
                <w:rFonts w:hint="eastAsia"/>
                <w:szCs w:val="32"/>
              </w:rPr>
              <w:t>沙湾区：2个，付塘至绿化陶瓷用砂岩集中开采区，轸溪至龚嘴伊利石粘土、石膏集中开采区。</w:t>
            </w:r>
          </w:p>
          <w:p w14:paraId="6D770E2A">
            <w:pPr>
              <w:pStyle w:val="37"/>
              <w:rPr>
                <w:szCs w:val="32"/>
              </w:rPr>
            </w:pPr>
            <w:r>
              <w:rPr>
                <w:rFonts w:hint="eastAsia"/>
                <w:szCs w:val="32"/>
              </w:rPr>
              <w:t>金口河区：1个，核桃岗陶瓷用砂岩集中开采区。</w:t>
            </w:r>
          </w:p>
          <w:p w14:paraId="56C3D44F">
            <w:pPr>
              <w:pStyle w:val="37"/>
              <w:rPr>
                <w:szCs w:val="32"/>
              </w:rPr>
            </w:pPr>
            <w:r>
              <w:rPr>
                <w:rFonts w:hint="eastAsia"/>
                <w:szCs w:val="32"/>
              </w:rPr>
              <w:t>峨边县：3个,新场-共和乡集中开采区,毛坪-沙坪集中开采区，宜坪建筑用石灰岩集中开采区。</w:t>
            </w:r>
          </w:p>
          <w:p w14:paraId="0E101096">
            <w:pPr>
              <w:pStyle w:val="37"/>
              <w:rPr>
                <w:szCs w:val="32"/>
              </w:rPr>
            </w:pPr>
            <w:r>
              <w:rPr>
                <w:rFonts w:hint="eastAsia"/>
                <w:szCs w:val="32"/>
              </w:rPr>
              <w:t>马边县：未来五年不在县域境内设置集中开采区，可根据建设需求设置砂石粘土/小型非金属矿采矿权。</w:t>
            </w:r>
          </w:p>
          <w:p w14:paraId="63917368">
            <w:pPr>
              <w:pStyle w:val="37"/>
              <w:rPr>
                <w:szCs w:val="32"/>
              </w:rPr>
            </w:pPr>
            <w:r>
              <w:rPr>
                <w:rFonts w:hint="eastAsia"/>
                <w:szCs w:val="32"/>
              </w:rPr>
              <w:t>沐川县：</w:t>
            </w:r>
            <w:r>
              <w:rPr>
                <w:szCs w:val="32"/>
              </w:rPr>
              <w:t>2</w:t>
            </w:r>
            <w:r>
              <w:rPr>
                <w:rFonts w:hint="eastAsia"/>
                <w:szCs w:val="32"/>
              </w:rPr>
              <w:t>个，黄丹</w:t>
            </w:r>
            <w:r>
              <w:rPr>
                <w:szCs w:val="32"/>
              </w:rPr>
              <w:t>—</w:t>
            </w:r>
            <w:r>
              <w:rPr>
                <w:rFonts w:hint="eastAsia"/>
                <w:szCs w:val="32"/>
              </w:rPr>
              <w:t>舟坝石英砂矿资源开采区，茨竹</w:t>
            </w:r>
            <w:r>
              <w:rPr>
                <w:szCs w:val="32"/>
              </w:rPr>
              <w:t>—</w:t>
            </w:r>
            <w:r>
              <w:rPr>
                <w:rFonts w:hint="eastAsia"/>
                <w:szCs w:val="32"/>
              </w:rPr>
              <w:t>杨村粘土矿、玄武</w:t>
            </w:r>
            <w:r>
              <w:rPr>
                <w:szCs w:val="32"/>
              </w:rPr>
              <w:t>岩</w:t>
            </w:r>
            <w:r>
              <w:rPr>
                <w:rFonts w:hint="eastAsia"/>
                <w:szCs w:val="32"/>
              </w:rPr>
              <w:t>开采区。</w:t>
            </w:r>
          </w:p>
          <w:p w14:paraId="7E4A1841">
            <w:pPr>
              <w:pStyle w:val="37"/>
              <w:rPr>
                <w:szCs w:val="32"/>
              </w:rPr>
            </w:pPr>
            <w:r>
              <w:rPr>
                <w:rFonts w:hint="eastAsia"/>
                <w:szCs w:val="32"/>
              </w:rPr>
              <w:t>犍为县：</w:t>
            </w:r>
            <w:r>
              <w:rPr>
                <w:szCs w:val="32"/>
              </w:rPr>
              <w:t>1</w:t>
            </w:r>
            <w:r>
              <w:rPr>
                <w:rFonts w:hint="eastAsia"/>
                <w:szCs w:val="32"/>
              </w:rPr>
              <w:t>个，金石井陶瓷用粘土岩、石英砂岩开采区。</w:t>
            </w:r>
          </w:p>
          <w:p w14:paraId="4D842086">
            <w:pPr>
              <w:pStyle w:val="37"/>
              <w:rPr>
                <w:szCs w:val="32"/>
              </w:rPr>
            </w:pPr>
            <w:r>
              <w:rPr>
                <w:rFonts w:hint="eastAsia"/>
                <w:szCs w:val="32"/>
              </w:rPr>
              <w:t>五通桥区：1个，牛华古镇砖瓦用页岩资源开采规划区。</w:t>
            </w:r>
          </w:p>
          <w:p w14:paraId="6E022717">
            <w:pPr>
              <w:pStyle w:val="37"/>
              <w:rPr>
                <w:szCs w:val="32"/>
              </w:rPr>
            </w:pPr>
            <w:r>
              <w:rPr>
                <w:rFonts w:hint="eastAsia"/>
                <w:szCs w:val="32"/>
              </w:rPr>
              <w:t>井研县：砂石粘土/小型非金属矿山的分布具有小而散的特点，除禁止开采区外的其它区域均划定为允许开采区，</w:t>
            </w:r>
            <w:r>
              <w:rPr>
                <w:szCs w:val="32"/>
              </w:rPr>
              <w:t>原则上不再增加新的</w:t>
            </w:r>
            <w:r>
              <w:rPr>
                <w:rFonts w:hint="eastAsia"/>
                <w:szCs w:val="32"/>
              </w:rPr>
              <w:t>矿权。</w:t>
            </w:r>
          </w:p>
          <w:p w14:paraId="20F555E8">
            <w:pPr>
              <w:pStyle w:val="37"/>
              <w:rPr>
                <w:szCs w:val="32"/>
              </w:rPr>
            </w:pPr>
            <w:r>
              <w:rPr>
                <w:rFonts w:hint="eastAsia"/>
                <w:szCs w:val="32"/>
              </w:rPr>
              <w:t>夹江县：</w:t>
            </w:r>
            <w:r>
              <w:rPr>
                <w:szCs w:val="32"/>
              </w:rPr>
              <w:t>1</w:t>
            </w:r>
            <w:r>
              <w:rPr>
                <w:rFonts w:hint="eastAsia"/>
                <w:szCs w:val="32"/>
              </w:rPr>
              <w:t>个，中兴至黄土建材集中开采区。</w:t>
            </w:r>
          </w:p>
        </w:tc>
      </w:tr>
    </w:tbl>
    <w:p w14:paraId="08317B62">
      <w:pPr>
        <w:pStyle w:val="4"/>
        <w:ind w:firstLine="643"/>
      </w:pPr>
      <w:bookmarkStart w:id="59" w:name="_Toc472321040"/>
      <w:bookmarkStart w:id="60" w:name="_Toc482798183"/>
      <w:bookmarkStart w:id="61" w:name="_Toc469237502"/>
      <w:bookmarkStart w:id="62" w:name="_Toc475349510"/>
      <w:bookmarkStart w:id="63" w:name="_Toc479584510"/>
      <w:r>
        <w:rPr>
          <w:rFonts w:hint="eastAsia"/>
        </w:rPr>
        <w:t>集中开采区管理措施</w:t>
      </w:r>
      <w:bookmarkEnd w:id="59"/>
      <w:bookmarkEnd w:id="60"/>
      <w:bookmarkEnd w:id="61"/>
      <w:bookmarkEnd w:id="62"/>
      <w:bookmarkEnd w:id="63"/>
    </w:p>
    <w:p w14:paraId="598E53C5">
      <w:pPr>
        <w:ind w:firstLine="640"/>
      </w:pPr>
      <w:r>
        <w:t>对集中开</w:t>
      </w:r>
      <w:r>
        <w:rPr>
          <w:rFonts w:hint="eastAsia"/>
        </w:rPr>
        <w:t>采</w:t>
      </w:r>
      <w:r>
        <w:t>区的资源开发进行统一规划，加强规划引导，强化秩序监管，持续推进资源整合和产业整合，有效控制矿山总数和矿产开</w:t>
      </w:r>
      <w:r>
        <w:rPr>
          <w:rFonts w:hint="eastAsia"/>
        </w:rPr>
        <w:t>采</w:t>
      </w:r>
      <w:r>
        <w:t>总量</w:t>
      </w:r>
      <w:r>
        <w:rPr>
          <w:rFonts w:hint="eastAsia"/>
        </w:rPr>
        <w:t>。</w:t>
      </w:r>
    </w:p>
    <w:p w14:paraId="5D193F14">
      <w:pPr>
        <w:ind w:firstLine="640"/>
      </w:pPr>
      <w:r>
        <w:t>禁止不符合规划要求和不具备相应资质条件的企业进入</w:t>
      </w:r>
      <w:r>
        <w:rPr>
          <w:rFonts w:hint="eastAsia"/>
        </w:rPr>
        <w:t>集中</w:t>
      </w:r>
      <w:r>
        <w:t>开采区。提高新建矿山最低开采规模标准，依法</w:t>
      </w:r>
      <w:r>
        <w:rPr>
          <w:rFonts w:hint="eastAsia"/>
        </w:rPr>
        <w:t>提高本级审批管理的矿山企业准入条件，降低矿山设置数量。</w:t>
      </w:r>
    </w:p>
    <w:p w14:paraId="4E03A028">
      <w:pPr>
        <w:ind w:firstLine="640"/>
      </w:pPr>
      <w:r>
        <w:t>积极改善矿业投资环境，支持和鼓励引导小型矿山企业的联合重组</w:t>
      </w:r>
      <w:r>
        <w:rPr>
          <w:rFonts w:hint="eastAsia"/>
        </w:rPr>
        <w:t>。同种矿产资源相邻矿权有条件的，给予鼓励联合重组，进行</w:t>
      </w:r>
      <w:r>
        <w:t>采矿权</w:t>
      </w:r>
      <w:r>
        <w:rPr>
          <w:rFonts w:hint="eastAsia"/>
        </w:rPr>
        <w:t>总数调控。</w:t>
      </w:r>
    </w:p>
    <w:p w14:paraId="6DB22543">
      <w:pPr>
        <w:ind w:firstLine="640"/>
      </w:pPr>
      <w:r>
        <w:rPr>
          <w:rFonts w:hint="eastAsia"/>
        </w:rPr>
        <w:t>逐步关闭资源枯竭、“三率”不达标、私自超范围开采、严重破坏环境等问题突出的小矿山</w:t>
      </w:r>
      <w:r>
        <w:t>。</w:t>
      </w:r>
    </w:p>
    <w:p w14:paraId="2850A48E">
      <w:pPr>
        <w:pStyle w:val="3"/>
        <w:ind w:firstLine="723"/>
      </w:pPr>
      <w:bookmarkStart w:id="64" w:name="_Toc482798184"/>
      <w:r>
        <w:rPr>
          <w:rFonts w:hint="eastAsia"/>
        </w:rPr>
        <w:t>严格开采规划准入管理</w:t>
      </w:r>
      <w:bookmarkEnd w:id="64"/>
    </w:p>
    <w:p w14:paraId="6760667E">
      <w:pPr>
        <w:ind w:firstLine="640"/>
      </w:pPr>
      <w:r>
        <w:rPr>
          <w:rFonts w:hint="eastAsia"/>
        </w:rPr>
        <w:t>为落实开采规划，设置开采规划准入条件。已建矿山要按照准入条件，先达到资源利用、资源保护和环境保护的要求。新设采矿权、已设采矿权申请扩大矿区范围、变更开采矿种、提高生产规模的，应严格规划审查，进行专门的规划论证。开采矿产资源必须遵守矿产资源法和相关法律、法规的规定，新建矿山必须符合下列准入条件。</w:t>
      </w:r>
    </w:p>
    <w:p w14:paraId="0126497F">
      <w:pPr>
        <w:pStyle w:val="4"/>
        <w:ind w:firstLine="643"/>
      </w:pPr>
      <w:bookmarkStart w:id="65" w:name="_Toc472321042"/>
      <w:bookmarkStart w:id="66" w:name="_Toc475349512"/>
      <w:bookmarkStart w:id="67" w:name="_Toc469237504"/>
      <w:r>
        <w:t xml:space="preserve"> </w:t>
      </w:r>
      <w:bookmarkStart w:id="68" w:name="_Toc479584512"/>
      <w:bookmarkStart w:id="69" w:name="_Toc482798185"/>
      <w:r>
        <w:rPr>
          <w:rFonts w:hint="eastAsia"/>
        </w:rPr>
        <w:t>资源条件</w:t>
      </w:r>
      <w:bookmarkEnd w:id="65"/>
      <w:bookmarkEnd w:id="66"/>
      <w:bookmarkEnd w:id="67"/>
      <w:bookmarkEnd w:id="68"/>
      <w:bookmarkEnd w:id="69"/>
    </w:p>
    <w:p w14:paraId="41FB99AB">
      <w:pPr>
        <w:ind w:firstLine="640"/>
      </w:pPr>
      <w:r>
        <w:rPr>
          <w:rFonts w:hint="eastAsia"/>
        </w:rPr>
        <w:t>必须提交合格的资源储量报告和国土资源主管部门认定登记的并</w:t>
      </w:r>
      <w:r>
        <w:t>与矿山规模相适应的</w:t>
      </w:r>
      <w:r>
        <w:rPr>
          <w:rFonts w:hint="eastAsia"/>
        </w:rPr>
        <w:t>资源储量。</w:t>
      </w:r>
    </w:p>
    <w:p w14:paraId="1B0D36BE">
      <w:pPr>
        <w:pStyle w:val="4"/>
        <w:ind w:firstLine="643"/>
      </w:pPr>
      <w:bookmarkStart w:id="70" w:name="_Toc469237505"/>
      <w:bookmarkStart w:id="71" w:name="_Toc472321043"/>
      <w:bookmarkStart w:id="72" w:name="_Toc475349513"/>
      <w:r>
        <w:t xml:space="preserve"> </w:t>
      </w:r>
      <w:bookmarkStart w:id="73" w:name="_Toc482798186"/>
      <w:bookmarkStart w:id="74" w:name="_Toc479584513"/>
      <w:r>
        <w:rPr>
          <w:rFonts w:hint="eastAsia"/>
        </w:rPr>
        <w:t>资质条件</w:t>
      </w:r>
      <w:bookmarkEnd w:id="70"/>
      <w:bookmarkEnd w:id="71"/>
      <w:bookmarkEnd w:id="72"/>
      <w:bookmarkEnd w:id="73"/>
      <w:bookmarkEnd w:id="74"/>
    </w:p>
    <w:p w14:paraId="2CE75E63">
      <w:pPr>
        <w:ind w:firstLine="640"/>
      </w:pPr>
      <w:r>
        <w:rPr>
          <w:rFonts w:hint="eastAsia"/>
        </w:rPr>
        <w:t>必须有与所建矿山企业规模相适应的资金、技术、人员、装备的资质条件，禁止不具备相应资质条件的单位和个人开采矿产资源。</w:t>
      </w:r>
    </w:p>
    <w:p w14:paraId="4FC41853">
      <w:pPr>
        <w:pStyle w:val="4"/>
        <w:ind w:firstLine="643"/>
      </w:pPr>
      <w:bookmarkStart w:id="75" w:name="_Toc472321044"/>
      <w:bookmarkStart w:id="76" w:name="_Toc469237506"/>
      <w:bookmarkStart w:id="77" w:name="_Toc475349514"/>
      <w:r>
        <w:t xml:space="preserve"> </w:t>
      </w:r>
      <w:bookmarkStart w:id="78" w:name="_Toc482798187"/>
      <w:bookmarkStart w:id="79" w:name="_Toc479584514"/>
      <w:r>
        <w:rPr>
          <w:rFonts w:hint="eastAsia"/>
        </w:rPr>
        <w:t>开采规模条件</w:t>
      </w:r>
      <w:bookmarkEnd w:id="75"/>
      <w:bookmarkEnd w:id="76"/>
      <w:bookmarkEnd w:id="77"/>
      <w:bookmarkEnd w:id="78"/>
      <w:bookmarkEnd w:id="79"/>
    </w:p>
    <w:p w14:paraId="24ACC0E0">
      <w:pPr>
        <w:ind w:firstLine="640"/>
      </w:pPr>
      <w:r>
        <w:rPr>
          <w:rFonts w:hint="eastAsia"/>
        </w:rPr>
        <w:t>鼓励规模开采砂石粘土/小型非金属矿。矿山规模必须与矿区的资源储量相适应，不得低于本规划规定的最低开采规模。新建矿山必须在查明储量的基础上根据四川省安监局下发的《关于进一步做好金属非金属矿山整顿工作的通知》(川安监[2014]17号)文件规定的最低开采规模标准办理相关的手续并严格按矿山最低开采规模标准执行矿山建设和生产，详见专栏1</w:t>
      </w:r>
      <w:r>
        <w:t>2</w:t>
      </w:r>
      <w:r>
        <w:rPr>
          <w:rFonts w:hint="eastAsia"/>
        </w:rPr>
        <w:t>。</w:t>
      </w:r>
    </w:p>
    <w:p w14:paraId="2D5A789C">
      <w:pPr>
        <w:pStyle w:val="34"/>
        <w:spacing w:before="120"/>
      </w:pPr>
      <w:r>
        <w:rPr>
          <w:rFonts w:hint="eastAsia"/>
        </w:rPr>
        <w:t>专栏1</w:t>
      </w:r>
      <w:r>
        <w:t>2</w:t>
      </w:r>
      <w:r>
        <w:rPr>
          <w:rFonts w:hint="eastAsia"/>
        </w:rPr>
        <w:t xml:space="preserve">  砂石粘土/小型非金属矿山最低开采规模</w:t>
      </w:r>
    </w:p>
    <w:tbl>
      <w:tblPr>
        <w:tblStyle w:val="18"/>
        <w:tblW w:w="5000" w:type="pct"/>
        <w:jc w:val="center"/>
        <w:tblLayout w:type="autofit"/>
        <w:tblCellMar>
          <w:top w:w="0" w:type="dxa"/>
          <w:left w:w="108" w:type="dxa"/>
          <w:bottom w:w="0" w:type="dxa"/>
          <w:right w:w="108" w:type="dxa"/>
        </w:tblCellMar>
      </w:tblPr>
      <w:tblGrid>
        <w:gridCol w:w="902"/>
        <w:gridCol w:w="2231"/>
        <w:gridCol w:w="1659"/>
        <w:gridCol w:w="903"/>
        <w:gridCol w:w="903"/>
        <w:gridCol w:w="903"/>
        <w:gridCol w:w="1457"/>
      </w:tblGrid>
      <w:tr w14:paraId="4E1EE91E">
        <w:tblPrEx>
          <w:tblCellMar>
            <w:top w:w="0" w:type="dxa"/>
            <w:left w:w="108" w:type="dxa"/>
            <w:bottom w:w="0" w:type="dxa"/>
            <w:right w:w="108" w:type="dxa"/>
          </w:tblCellMar>
        </w:tblPrEx>
        <w:trPr>
          <w:jc w:val="center"/>
        </w:trPr>
        <w:tc>
          <w:tcPr>
            <w:tcW w:w="504" w:type="pct"/>
            <w:tcBorders>
              <w:top w:val="single" w:color="auto" w:sz="4" w:space="0"/>
              <w:left w:val="single" w:color="auto" w:sz="4" w:space="0"/>
              <w:bottom w:val="single" w:color="auto" w:sz="4" w:space="0"/>
              <w:right w:val="single" w:color="auto" w:sz="4" w:space="0"/>
            </w:tcBorders>
            <w:shd w:val="clear" w:color="auto" w:fill="auto"/>
            <w:vAlign w:val="center"/>
          </w:tcPr>
          <w:p w14:paraId="6A6F3EDA">
            <w:pPr>
              <w:pStyle w:val="39"/>
            </w:pPr>
            <w:r>
              <w:rPr>
                <w:rFonts w:hint="eastAsia"/>
              </w:rPr>
              <w:t>序号</w:t>
            </w:r>
          </w:p>
        </w:tc>
        <w:tc>
          <w:tcPr>
            <w:tcW w:w="1245" w:type="pct"/>
            <w:tcBorders>
              <w:top w:val="single" w:color="auto" w:sz="4" w:space="0"/>
              <w:left w:val="nil"/>
              <w:bottom w:val="single" w:color="auto" w:sz="4" w:space="0"/>
              <w:right w:val="single" w:color="auto" w:sz="4" w:space="0"/>
            </w:tcBorders>
            <w:shd w:val="clear" w:color="auto" w:fill="auto"/>
            <w:vAlign w:val="center"/>
          </w:tcPr>
          <w:p w14:paraId="68C4F320">
            <w:pPr>
              <w:pStyle w:val="39"/>
            </w:pPr>
            <w:r>
              <w:rPr>
                <w:rFonts w:hint="eastAsia"/>
              </w:rPr>
              <w:t>矿产名称</w:t>
            </w:r>
          </w:p>
        </w:tc>
        <w:tc>
          <w:tcPr>
            <w:tcW w:w="926" w:type="pct"/>
            <w:tcBorders>
              <w:top w:val="single" w:color="auto" w:sz="4" w:space="0"/>
              <w:left w:val="nil"/>
              <w:bottom w:val="single" w:color="auto" w:sz="4" w:space="0"/>
              <w:right w:val="single" w:color="auto" w:sz="4" w:space="0"/>
            </w:tcBorders>
            <w:shd w:val="clear" w:color="auto" w:fill="auto"/>
            <w:vAlign w:val="center"/>
          </w:tcPr>
          <w:p w14:paraId="43D425B9">
            <w:pPr>
              <w:pStyle w:val="39"/>
            </w:pPr>
            <w:r>
              <w:rPr>
                <w:rFonts w:hint="eastAsia"/>
              </w:rPr>
              <w:t>开采规</w:t>
            </w:r>
          </w:p>
          <w:p w14:paraId="6BF7926A">
            <w:pPr>
              <w:pStyle w:val="39"/>
            </w:pPr>
            <w:r>
              <w:rPr>
                <w:rFonts w:hint="eastAsia"/>
              </w:rPr>
              <w:t>模单位</w:t>
            </w:r>
          </w:p>
        </w:tc>
        <w:tc>
          <w:tcPr>
            <w:tcW w:w="504" w:type="pct"/>
            <w:tcBorders>
              <w:top w:val="single" w:color="auto" w:sz="4" w:space="0"/>
              <w:left w:val="nil"/>
              <w:bottom w:val="single" w:color="auto" w:sz="4" w:space="0"/>
              <w:right w:val="single" w:color="auto" w:sz="4" w:space="0"/>
            </w:tcBorders>
            <w:shd w:val="clear" w:color="auto" w:fill="auto"/>
            <w:vAlign w:val="center"/>
          </w:tcPr>
          <w:p w14:paraId="08AECFCE">
            <w:pPr>
              <w:pStyle w:val="39"/>
            </w:pPr>
            <w:r>
              <w:rPr>
                <w:rFonts w:hint="eastAsia"/>
              </w:rPr>
              <w:t>大型</w:t>
            </w:r>
          </w:p>
        </w:tc>
        <w:tc>
          <w:tcPr>
            <w:tcW w:w="504" w:type="pct"/>
            <w:tcBorders>
              <w:top w:val="single" w:color="auto" w:sz="4" w:space="0"/>
              <w:left w:val="nil"/>
              <w:bottom w:val="single" w:color="auto" w:sz="4" w:space="0"/>
              <w:right w:val="single" w:color="auto" w:sz="4" w:space="0"/>
            </w:tcBorders>
            <w:shd w:val="clear" w:color="auto" w:fill="auto"/>
            <w:vAlign w:val="center"/>
          </w:tcPr>
          <w:p w14:paraId="150820E3">
            <w:pPr>
              <w:pStyle w:val="39"/>
            </w:pPr>
            <w:r>
              <w:rPr>
                <w:rFonts w:hint="eastAsia"/>
              </w:rPr>
              <w:t>中型</w:t>
            </w:r>
          </w:p>
        </w:tc>
        <w:tc>
          <w:tcPr>
            <w:tcW w:w="504" w:type="pct"/>
            <w:tcBorders>
              <w:top w:val="single" w:color="auto" w:sz="4" w:space="0"/>
              <w:left w:val="nil"/>
              <w:bottom w:val="single" w:color="auto" w:sz="4" w:space="0"/>
              <w:right w:val="single" w:color="auto" w:sz="4" w:space="0"/>
            </w:tcBorders>
            <w:shd w:val="clear" w:color="auto" w:fill="auto"/>
            <w:vAlign w:val="center"/>
          </w:tcPr>
          <w:p w14:paraId="0ADF4DAF">
            <w:pPr>
              <w:pStyle w:val="39"/>
            </w:pPr>
            <w:r>
              <w:rPr>
                <w:rFonts w:hint="eastAsia"/>
              </w:rPr>
              <w:t>小型</w:t>
            </w:r>
          </w:p>
        </w:tc>
        <w:tc>
          <w:tcPr>
            <w:tcW w:w="813" w:type="pct"/>
            <w:tcBorders>
              <w:top w:val="single" w:color="auto" w:sz="4" w:space="0"/>
              <w:left w:val="nil"/>
              <w:bottom w:val="single" w:color="auto" w:sz="4" w:space="0"/>
              <w:right w:val="single" w:color="auto" w:sz="4" w:space="0"/>
            </w:tcBorders>
            <w:vAlign w:val="center"/>
          </w:tcPr>
          <w:p w14:paraId="3369C39F">
            <w:pPr>
              <w:pStyle w:val="39"/>
            </w:pPr>
            <w:r>
              <w:rPr>
                <w:rFonts w:hint="eastAsia"/>
              </w:rPr>
              <w:t>备注</w:t>
            </w:r>
          </w:p>
        </w:tc>
      </w:tr>
      <w:tr w14:paraId="04B50247">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2E523AF5">
            <w:pPr>
              <w:pStyle w:val="39"/>
            </w:pPr>
            <w:r>
              <w:rPr>
                <w:rFonts w:hint="eastAsia"/>
              </w:rPr>
              <w:t>1</w:t>
            </w:r>
          </w:p>
        </w:tc>
        <w:tc>
          <w:tcPr>
            <w:tcW w:w="1245" w:type="pct"/>
            <w:tcBorders>
              <w:top w:val="nil"/>
              <w:left w:val="nil"/>
              <w:bottom w:val="single" w:color="auto" w:sz="4" w:space="0"/>
              <w:right w:val="single" w:color="auto" w:sz="4" w:space="0"/>
            </w:tcBorders>
            <w:shd w:val="clear" w:color="auto" w:fill="auto"/>
            <w:noWrap/>
            <w:vAlign w:val="center"/>
          </w:tcPr>
          <w:p w14:paraId="1CA104F8">
            <w:pPr>
              <w:pStyle w:val="39"/>
            </w:pPr>
            <w:r>
              <w:rPr>
                <w:rFonts w:hint="eastAsia"/>
              </w:rPr>
              <w:t>石膏</w:t>
            </w:r>
          </w:p>
        </w:tc>
        <w:tc>
          <w:tcPr>
            <w:tcW w:w="926" w:type="pct"/>
            <w:tcBorders>
              <w:top w:val="nil"/>
              <w:left w:val="nil"/>
              <w:bottom w:val="single" w:color="auto" w:sz="4" w:space="0"/>
              <w:right w:val="single" w:color="auto" w:sz="4" w:space="0"/>
            </w:tcBorders>
            <w:shd w:val="clear" w:color="auto" w:fill="auto"/>
            <w:noWrap/>
            <w:vAlign w:val="center"/>
          </w:tcPr>
          <w:p w14:paraId="23983683">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52B2CF7A">
            <w:pPr>
              <w:pStyle w:val="39"/>
            </w:pPr>
            <w:r>
              <w:rPr>
                <w:rFonts w:hint="eastAsia"/>
              </w:rPr>
              <w:t>30</w:t>
            </w:r>
          </w:p>
        </w:tc>
        <w:tc>
          <w:tcPr>
            <w:tcW w:w="504" w:type="pct"/>
            <w:tcBorders>
              <w:top w:val="nil"/>
              <w:left w:val="nil"/>
              <w:bottom w:val="single" w:color="auto" w:sz="4" w:space="0"/>
              <w:right w:val="single" w:color="auto" w:sz="4" w:space="0"/>
            </w:tcBorders>
            <w:shd w:val="clear" w:color="auto" w:fill="auto"/>
            <w:noWrap/>
            <w:vAlign w:val="center"/>
          </w:tcPr>
          <w:p w14:paraId="52411551">
            <w:pPr>
              <w:pStyle w:val="39"/>
            </w:pPr>
            <w:r>
              <w:rPr>
                <w:rFonts w:hint="eastAsia"/>
              </w:rPr>
              <w:t>20</w:t>
            </w:r>
          </w:p>
        </w:tc>
        <w:tc>
          <w:tcPr>
            <w:tcW w:w="504" w:type="pct"/>
            <w:tcBorders>
              <w:top w:val="nil"/>
              <w:left w:val="nil"/>
              <w:bottom w:val="single" w:color="auto" w:sz="4" w:space="0"/>
              <w:right w:val="single" w:color="auto" w:sz="4" w:space="0"/>
            </w:tcBorders>
            <w:shd w:val="clear" w:color="auto" w:fill="auto"/>
            <w:noWrap/>
            <w:vAlign w:val="center"/>
          </w:tcPr>
          <w:p w14:paraId="26851F02">
            <w:pPr>
              <w:pStyle w:val="39"/>
            </w:pPr>
            <w:r>
              <w:rPr>
                <w:rFonts w:hint="eastAsia"/>
              </w:rPr>
              <w:t>15</w:t>
            </w:r>
          </w:p>
        </w:tc>
        <w:tc>
          <w:tcPr>
            <w:tcW w:w="813" w:type="pct"/>
            <w:vMerge w:val="restart"/>
            <w:tcBorders>
              <w:top w:val="nil"/>
              <w:left w:val="nil"/>
              <w:right w:val="single" w:color="auto" w:sz="4" w:space="0"/>
            </w:tcBorders>
            <w:vAlign w:val="center"/>
          </w:tcPr>
          <w:p w14:paraId="5465C67F">
            <w:pPr>
              <w:pStyle w:val="39"/>
            </w:pPr>
            <w:r>
              <w:rPr>
                <w:rFonts w:hint="eastAsia"/>
              </w:rPr>
              <w:t>川安监</w:t>
            </w:r>
          </w:p>
          <w:p w14:paraId="7E79383C">
            <w:pPr>
              <w:pStyle w:val="39"/>
            </w:pPr>
            <w:r>
              <w:rPr>
                <w:rFonts w:hint="eastAsia"/>
              </w:rPr>
              <w:t>[2014]17</w:t>
            </w:r>
          </w:p>
          <w:p w14:paraId="12FA0440">
            <w:pPr>
              <w:pStyle w:val="39"/>
            </w:pPr>
            <w:r>
              <w:rPr>
                <w:rFonts w:hint="eastAsia"/>
              </w:rPr>
              <w:t>号</w:t>
            </w:r>
          </w:p>
        </w:tc>
      </w:tr>
      <w:tr w14:paraId="433FF3AE">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072A77A3">
            <w:pPr>
              <w:pStyle w:val="39"/>
            </w:pPr>
            <w:r>
              <w:rPr>
                <w:rFonts w:hint="eastAsia"/>
              </w:rPr>
              <w:t>2</w:t>
            </w:r>
          </w:p>
        </w:tc>
        <w:tc>
          <w:tcPr>
            <w:tcW w:w="1245" w:type="pct"/>
            <w:tcBorders>
              <w:top w:val="nil"/>
              <w:left w:val="nil"/>
              <w:bottom w:val="single" w:color="auto" w:sz="4" w:space="0"/>
              <w:right w:val="single" w:color="auto" w:sz="4" w:space="0"/>
            </w:tcBorders>
            <w:shd w:val="clear" w:color="auto" w:fill="auto"/>
            <w:noWrap/>
            <w:vAlign w:val="center"/>
          </w:tcPr>
          <w:p w14:paraId="7F9F3753">
            <w:pPr>
              <w:pStyle w:val="39"/>
            </w:pPr>
            <w:r>
              <w:rPr>
                <w:rFonts w:hint="eastAsia"/>
              </w:rPr>
              <w:t>陶瓷土</w:t>
            </w:r>
          </w:p>
        </w:tc>
        <w:tc>
          <w:tcPr>
            <w:tcW w:w="926" w:type="pct"/>
            <w:tcBorders>
              <w:top w:val="nil"/>
              <w:left w:val="nil"/>
              <w:bottom w:val="single" w:color="auto" w:sz="4" w:space="0"/>
              <w:right w:val="single" w:color="auto" w:sz="4" w:space="0"/>
            </w:tcBorders>
            <w:shd w:val="clear" w:color="auto" w:fill="auto"/>
            <w:noWrap/>
            <w:vAlign w:val="center"/>
          </w:tcPr>
          <w:p w14:paraId="6D5D0339">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13E19559">
            <w:pPr>
              <w:pStyle w:val="39"/>
            </w:pPr>
            <w:r>
              <w:rPr>
                <w:rFonts w:hint="eastAsia"/>
              </w:rPr>
              <w:t>10</w:t>
            </w:r>
          </w:p>
        </w:tc>
        <w:tc>
          <w:tcPr>
            <w:tcW w:w="504" w:type="pct"/>
            <w:tcBorders>
              <w:top w:val="nil"/>
              <w:left w:val="nil"/>
              <w:bottom w:val="single" w:color="auto" w:sz="4" w:space="0"/>
              <w:right w:val="single" w:color="auto" w:sz="4" w:space="0"/>
            </w:tcBorders>
            <w:shd w:val="clear" w:color="auto" w:fill="auto"/>
            <w:noWrap/>
            <w:vAlign w:val="center"/>
          </w:tcPr>
          <w:p w14:paraId="7301559B">
            <w:pPr>
              <w:pStyle w:val="39"/>
            </w:pPr>
            <w:r>
              <w:rPr>
                <w:rFonts w:hint="eastAsia"/>
              </w:rPr>
              <w:t>5</w:t>
            </w:r>
          </w:p>
        </w:tc>
        <w:tc>
          <w:tcPr>
            <w:tcW w:w="504" w:type="pct"/>
            <w:tcBorders>
              <w:top w:val="nil"/>
              <w:left w:val="nil"/>
              <w:bottom w:val="single" w:color="auto" w:sz="4" w:space="0"/>
              <w:right w:val="single" w:color="auto" w:sz="4" w:space="0"/>
            </w:tcBorders>
            <w:shd w:val="clear" w:color="auto" w:fill="auto"/>
            <w:noWrap/>
            <w:vAlign w:val="center"/>
          </w:tcPr>
          <w:p w14:paraId="721AA5CE">
            <w:pPr>
              <w:pStyle w:val="39"/>
            </w:pPr>
            <w:r>
              <w:rPr>
                <w:rFonts w:hint="eastAsia"/>
              </w:rPr>
              <w:t>3</w:t>
            </w:r>
          </w:p>
        </w:tc>
        <w:tc>
          <w:tcPr>
            <w:tcW w:w="813" w:type="pct"/>
            <w:vMerge w:val="continue"/>
            <w:tcBorders>
              <w:left w:val="nil"/>
              <w:right w:val="single" w:color="auto" w:sz="4" w:space="0"/>
            </w:tcBorders>
            <w:vAlign w:val="center"/>
          </w:tcPr>
          <w:p w14:paraId="2CFF8C06">
            <w:pPr>
              <w:pStyle w:val="39"/>
            </w:pPr>
          </w:p>
        </w:tc>
      </w:tr>
      <w:tr w14:paraId="70D61C2E">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3E941E73">
            <w:pPr>
              <w:pStyle w:val="39"/>
            </w:pPr>
            <w:r>
              <w:rPr>
                <w:rFonts w:hint="eastAsia"/>
              </w:rPr>
              <w:t>3</w:t>
            </w:r>
          </w:p>
        </w:tc>
        <w:tc>
          <w:tcPr>
            <w:tcW w:w="1245" w:type="pct"/>
            <w:tcBorders>
              <w:top w:val="nil"/>
              <w:left w:val="nil"/>
              <w:bottom w:val="single" w:color="auto" w:sz="4" w:space="0"/>
              <w:right w:val="single" w:color="auto" w:sz="4" w:space="0"/>
            </w:tcBorders>
            <w:shd w:val="clear" w:color="auto" w:fill="auto"/>
            <w:noWrap/>
            <w:vAlign w:val="center"/>
          </w:tcPr>
          <w:p w14:paraId="657BDD47">
            <w:pPr>
              <w:pStyle w:val="39"/>
            </w:pPr>
            <w:r>
              <w:rPr>
                <w:rFonts w:hint="eastAsia"/>
              </w:rPr>
              <w:t>岩盐</w:t>
            </w:r>
          </w:p>
        </w:tc>
        <w:tc>
          <w:tcPr>
            <w:tcW w:w="926" w:type="pct"/>
            <w:tcBorders>
              <w:top w:val="nil"/>
              <w:left w:val="nil"/>
              <w:bottom w:val="single" w:color="auto" w:sz="4" w:space="0"/>
              <w:right w:val="single" w:color="auto" w:sz="4" w:space="0"/>
            </w:tcBorders>
            <w:shd w:val="clear" w:color="auto" w:fill="auto"/>
            <w:noWrap/>
            <w:vAlign w:val="center"/>
          </w:tcPr>
          <w:p w14:paraId="01DDD140">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6CD2921F">
            <w:pPr>
              <w:pStyle w:val="39"/>
            </w:pPr>
            <w:r>
              <w:rPr>
                <w:rFonts w:hint="eastAsia"/>
              </w:rPr>
              <w:t>100</w:t>
            </w:r>
          </w:p>
        </w:tc>
        <w:tc>
          <w:tcPr>
            <w:tcW w:w="504" w:type="pct"/>
            <w:tcBorders>
              <w:top w:val="nil"/>
              <w:left w:val="nil"/>
              <w:bottom w:val="single" w:color="auto" w:sz="4" w:space="0"/>
              <w:right w:val="single" w:color="auto" w:sz="4" w:space="0"/>
            </w:tcBorders>
            <w:shd w:val="clear" w:color="auto" w:fill="auto"/>
            <w:noWrap/>
            <w:vAlign w:val="center"/>
          </w:tcPr>
          <w:p w14:paraId="7335E235">
            <w:pPr>
              <w:pStyle w:val="39"/>
            </w:pPr>
            <w:r>
              <w:rPr>
                <w:rFonts w:hint="eastAsia"/>
              </w:rPr>
              <w:t>50</w:t>
            </w:r>
          </w:p>
        </w:tc>
        <w:tc>
          <w:tcPr>
            <w:tcW w:w="504" w:type="pct"/>
            <w:tcBorders>
              <w:top w:val="nil"/>
              <w:left w:val="nil"/>
              <w:bottom w:val="single" w:color="auto" w:sz="4" w:space="0"/>
              <w:right w:val="single" w:color="auto" w:sz="4" w:space="0"/>
            </w:tcBorders>
            <w:shd w:val="clear" w:color="auto" w:fill="auto"/>
            <w:noWrap/>
            <w:vAlign w:val="center"/>
          </w:tcPr>
          <w:p w14:paraId="01223C0D">
            <w:pPr>
              <w:pStyle w:val="39"/>
            </w:pPr>
            <w:r>
              <w:rPr>
                <w:rFonts w:hint="eastAsia"/>
              </w:rPr>
              <w:t>10</w:t>
            </w:r>
          </w:p>
        </w:tc>
        <w:tc>
          <w:tcPr>
            <w:tcW w:w="813" w:type="pct"/>
            <w:vMerge w:val="continue"/>
            <w:tcBorders>
              <w:left w:val="nil"/>
              <w:right w:val="single" w:color="auto" w:sz="4" w:space="0"/>
            </w:tcBorders>
            <w:vAlign w:val="center"/>
          </w:tcPr>
          <w:p w14:paraId="73210F66">
            <w:pPr>
              <w:pStyle w:val="39"/>
            </w:pPr>
          </w:p>
        </w:tc>
      </w:tr>
      <w:tr w14:paraId="30A7308F">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0F533987">
            <w:pPr>
              <w:pStyle w:val="39"/>
            </w:pPr>
            <w:r>
              <w:rPr>
                <w:rFonts w:hint="eastAsia"/>
              </w:rPr>
              <w:t>4</w:t>
            </w:r>
          </w:p>
        </w:tc>
        <w:tc>
          <w:tcPr>
            <w:tcW w:w="1245" w:type="pct"/>
            <w:tcBorders>
              <w:top w:val="nil"/>
              <w:left w:val="nil"/>
              <w:bottom w:val="single" w:color="auto" w:sz="4" w:space="0"/>
              <w:right w:val="single" w:color="auto" w:sz="4" w:space="0"/>
            </w:tcBorders>
            <w:shd w:val="clear" w:color="auto" w:fill="auto"/>
            <w:noWrap/>
            <w:vAlign w:val="center"/>
          </w:tcPr>
          <w:p w14:paraId="331C1987">
            <w:pPr>
              <w:pStyle w:val="39"/>
            </w:pPr>
            <w:r>
              <w:rPr>
                <w:rFonts w:hint="eastAsia"/>
              </w:rPr>
              <w:t>陶粒用粘土</w:t>
            </w:r>
          </w:p>
        </w:tc>
        <w:tc>
          <w:tcPr>
            <w:tcW w:w="926" w:type="pct"/>
            <w:tcBorders>
              <w:top w:val="nil"/>
              <w:left w:val="nil"/>
              <w:bottom w:val="single" w:color="auto" w:sz="4" w:space="0"/>
              <w:right w:val="single" w:color="auto" w:sz="4" w:space="0"/>
            </w:tcBorders>
            <w:shd w:val="clear" w:color="auto" w:fill="auto"/>
            <w:noWrap/>
            <w:vAlign w:val="center"/>
          </w:tcPr>
          <w:p w14:paraId="462FC0E3">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48CC2CE3">
            <w:pPr>
              <w:pStyle w:val="39"/>
            </w:pPr>
            <w:r>
              <w:rPr>
                <w:rFonts w:hint="eastAsia"/>
              </w:rPr>
              <w:t>10</w:t>
            </w:r>
          </w:p>
        </w:tc>
        <w:tc>
          <w:tcPr>
            <w:tcW w:w="504" w:type="pct"/>
            <w:tcBorders>
              <w:top w:val="nil"/>
              <w:left w:val="nil"/>
              <w:bottom w:val="single" w:color="auto" w:sz="4" w:space="0"/>
              <w:right w:val="single" w:color="auto" w:sz="4" w:space="0"/>
            </w:tcBorders>
            <w:shd w:val="clear" w:color="auto" w:fill="auto"/>
            <w:noWrap/>
            <w:vAlign w:val="center"/>
          </w:tcPr>
          <w:p w14:paraId="5443CD65">
            <w:pPr>
              <w:pStyle w:val="39"/>
            </w:pPr>
            <w:r>
              <w:rPr>
                <w:rFonts w:hint="eastAsia"/>
              </w:rPr>
              <w:t>5</w:t>
            </w:r>
          </w:p>
        </w:tc>
        <w:tc>
          <w:tcPr>
            <w:tcW w:w="504" w:type="pct"/>
            <w:tcBorders>
              <w:top w:val="nil"/>
              <w:left w:val="nil"/>
              <w:bottom w:val="single" w:color="auto" w:sz="4" w:space="0"/>
              <w:right w:val="single" w:color="auto" w:sz="4" w:space="0"/>
            </w:tcBorders>
            <w:shd w:val="clear" w:color="auto" w:fill="auto"/>
            <w:noWrap/>
            <w:vAlign w:val="center"/>
          </w:tcPr>
          <w:p w14:paraId="11C9C01A">
            <w:pPr>
              <w:pStyle w:val="39"/>
            </w:pPr>
            <w:r>
              <w:rPr>
                <w:rFonts w:hint="eastAsia"/>
              </w:rPr>
              <w:t>3</w:t>
            </w:r>
          </w:p>
        </w:tc>
        <w:tc>
          <w:tcPr>
            <w:tcW w:w="813" w:type="pct"/>
            <w:vMerge w:val="continue"/>
            <w:tcBorders>
              <w:left w:val="nil"/>
              <w:right w:val="single" w:color="auto" w:sz="4" w:space="0"/>
            </w:tcBorders>
            <w:vAlign w:val="center"/>
          </w:tcPr>
          <w:p w14:paraId="5B9AE3AB">
            <w:pPr>
              <w:pStyle w:val="39"/>
            </w:pPr>
          </w:p>
        </w:tc>
      </w:tr>
      <w:tr w14:paraId="2D391A22">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1B5B11CE">
            <w:pPr>
              <w:pStyle w:val="39"/>
            </w:pPr>
            <w:r>
              <w:rPr>
                <w:rFonts w:hint="eastAsia"/>
              </w:rPr>
              <w:t>5</w:t>
            </w:r>
          </w:p>
        </w:tc>
        <w:tc>
          <w:tcPr>
            <w:tcW w:w="1245" w:type="pct"/>
            <w:tcBorders>
              <w:top w:val="nil"/>
              <w:left w:val="nil"/>
              <w:bottom w:val="single" w:color="auto" w:sz="4" w:space="0"/>
              <w:right w:val="single" w:color="auto" w:sz="4" w:space="0"/>
            </w:tcBorders>
            <w:shd w:val="clear" w:color="auto" w:fill="auto"/>
            <w:noWrap/>
            <w:vAlign w:val="center"/>
          </w:tcPr>
          <w:p w14:paraId="6B32264C">
            <w:pPr>
              <w:pStyle w:val="39"/>
            </w:pPr>
            <w:r>
              <w:rPr>
                <w:rFonts w:hint="eastAsia"/>
              </w:rPr>
              <w:t>砂岩</w:t>
            </w:r>
          </w:p>
        </w:tc>
        <w:tc>
          <w:tcPr>
            <w:tcW w:w="926" w:type="pct"/>
            <w:tcBorders>
              <w:top w:val="nil"/>
              <w:left w:val="nil"/>
              <w:bottom w:val="single" w:color="auto" w:sz="4" w:space="0"/>
              <w:right w:val="single" w:color="auto" w:sz="4" w:space="0"/>
            </w:tcBorders>
            <w:shd w:val="clear" w:color="auto" w:fill="auto"/>
            <w:vAlign w:val="center"/>
          </w:tcPr>
          <w:p w14:paraId="6A4ABEB3">
            <w:pPr>
              <w:pStyle w:val="39"/>
            </w:pPr>
            <w:r>
              <w:rPr>
                <w:rFonts w:hint="eastAsia"/>
              </w:rPr>
              <w:t>立方米/年</w:t>
            </w:r>
          </w:p>
        </w:tc>
        <w:tc>
          <w:tcPr>
            <w:tcW w:w="504" w:type="pct"/>
            <w:tcBorders>
              <w:top w:val="nil"/>
              <w:left w:val="nil"/>
              <w:bottom w:val="single" w:color="auto" w:sz="4" w:space="0"/>
              <w:right w:val="single" w:color="auto" w:sz="4" w:space="0"/>
            </w:tcBorders>
            <w:shd w:val="clear" w:color="auto" w:fill="auto"/>
            <w:noWrap/>
            <w:vAlign w:val="center"/>
          </w:tcPr>
          <w:p w14:paraId="79F1E55A">
            <w:pPr>
              <w:pStyle w:val="39"/>
            </w:pPr>
            <w:r>
              <w:rPr>
                <w:rFonts w:hint="eastAsia"/>
              </w:rPr>
              <w:t>10</w:t>
            </w:r>
          </w:p>
        </w:tc>
        <w:tc>
          <w:tcPr>
            <w:tcW w:w="504" w:type="pct"/>
            <w:tcBorders>
              <w:top w:val="nil"/>
              <w:left w:val="nil"/>
              <w:bottom w:val="single" w:color="auto" w:sz="4" w:space="0"/>
              <w:right w:val="single" w:color="auto" w:sz="4" w:space="0"/>
            </w:tcBorders>
            <w:shd w:val="clear" w:color="auto" w:fill="auto"/>
            <w:noWrap/>
            <w:vAlign w:val="center"/>
          </w:tcPr>
          <w:p w14:paraId="32480E81">
            <w:pPr>
              <w:pStyle w:val="39"/>
            </w:pPr>
            <w:r>
              <w:rPr>
                <w:rFonts w:hint="eastAsia"/>
              </w:rPr>
              <w:t>5</w:t>
            </w:r>
          </w:p>
        </w:tc>
        <w:tc>
          <w:tcPr>
            <w:tcW w:w="504" w:type="pct"/>
            <w:tcBorders>
              <w:top w:val="nil"/>
              <w:left w:val="nil"/>
              <w:bottom w:val="single" w:color="auto" w:sz="4" w:space="0"/>
              <w:right w:val="single" w:color="auto" w:sz="4" w:space="0"/>
            </w:tcBorders>
            <w:shd w:val="clear" w:color="auto" w:fill="auto"/>
            <w:noWrap/>
            <w:vAlign w:val="center"/>
          </w:tcPr>
          <w:p w14:paraId="7BCE24CD">
            <w:pPr>
              <w:pStyle w:val="39"/>
            </w:pPr>
            <w:r>
              <w:rPr>
                <w:rFonts w:hint="eastAsia"/>
              </w:rPr>
              <w:t>1.5</w:t>
            </w:r>
          </w:p>
        </w:tc>
        <w:tc>
          <w:tcPr>
            <w:tcW w:w="813" w:type="pct"/>
            <w:vMerge w:val="continue"/>
            <w:tcBorders>
              <w:left w:val="nil"/>
              <w:right w:val="single" w:color="auto" w:sz="4" w:space="0"/>
            </w:tcBorders>
            <w:vAlign w:val="center"/>
          </w:tcPr>
          <w:p w14:paraId="4F20C284">
            <w:pPr>
              <w:pStyle w:val="39"/>
            </w:pPr>
          </w:p>
        </w:tc>
      </w:tr>
      <w:tr w14:paraId="45898BDE">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33844375">
            <w:pPr>
              <w:pStyle w:val="39"/>
            </w:pPr>
            <w:r>
              <w:rPr>
                <w:rFonts w:hint="eastAsia"/>
              </w:rPr>
              <w:t>6</w:t>
            </w:r>
          </w:p>
        </w:tc>
        <w:tc>
          <w:tcPr>
            <w:tcW w:w="1245" w:type="pct"/>
            <w:tcBorders>
              <w:top w:val="nil"/>
              <w:left w:val="nil"/>
              <w:bottom w:val="single" w:color="auto" w:sz="4" w:space="0"/>
              <w:right w:val="single" w:color="auto" w:sz="4" w:space="0"/>
            </w:tcBorders>
            <w:shd w:val="clear" w:color="auto" w:fill="auto"/>
            <w:noWrap/>
            <w:vAlign w:val="center"/>
          </w:tcPr>
          <w:p w14:paraId="78808C67">
            <w:pPr>
              <w:pStyle w:val="39"/>
            </w:pPr>
            <w:r>
              <w:rPr>
                <w:rFonts w:hint="eastAsia"/>
              </w:rPr>
              <w:t>建筑用砂岩</w:t>
            </w:r>
          </w:p>
        </w:tc>
        <w:tc>
          <w:tcPr>
            <w:tcW w:w="926" w:type="pct"/>
            <w:tcBorders>
              <w:top w:val="nil"/>
              <w:left w:val="nil"/>
              <w:bottom w:val="single" w:color="auto" w:sz="4" w:space="0"/>
              <w:right w:val="single" w:color="auto" w:sz="4" w:space="0"/>
            </w:tcBorders>
            <w:shd w:val="clear" w:color="auto" w:fill="auto"/>
            <w:vAlign w:val="center"/>
          </w:tcPr>
          <w:p w14:paraId="7A37DF80">
            <w:pPr>
              <w:pStyle w:val="39"/>
            </w:pPr>
            <w:r>
              <w:rPr>
                <w:rFonts w:hint="eastAsia"/>
              </w:rPr>
              <w:t>立方米/年</w:t>
            </w:r>
          </w:p>
        </w:tc>
        <w:tc>
          <w:tcPr>
            <w:tcW w:w="504" w:type="pct"/>
            <w:tcBorders>
              <w:top w:val="nil"/>
              <w:left w:val="nil"/>
              <w:bottom w:val="single" w:color="auto" w:sz="4" w:space="0"/>
              <w:right w:val="single" w:color="auto" w:sz="4" w:space="0"/>
            </w:tcBorders>
            <w:shd w:val="clear" w:color="auto" w:fill="auto"/>
            <w:noWrap/>
            <w:vAlign w:val="center"/>
          </w:tcPr>
          <w:p w14:paraId="04666A1C">
            <w:pPr>
              <w:pStyle w:val="39"/>
            </w:pPr>
            <w:r>
              <w:rPr>
                <w:rFonts w:hint="eastAsia"/>
              </w:rPr>
              <w:t>10</w:t>
            </w:r>
          </w:p>
        </w:tc>
        <w:tc>
          <w:tcPr>
            <w:tcW w:w="504" w:type="pct"/>
            <w:tcBorders>
              <w:top w:val="nil"/>
              <w:left w:val="nil"/>
              <w:bottom w:val="single" w:color="auto" w:sz="4" w:space="0"/>
              <w:right w:val="single" w:color="auto" w:sz="4" w:space="0"/>
            </w:tcBorders>
            <w:shd w:val="clear" w:color="auto" w:fill="auto"/>
            <w:noWrap/>
            <w:vAlign w:val="center"/>
          </w:tcPr>
          <w:p w14:paraId="5C4255EE">
            <w:pPr>
              <w:pStyle w:val="39"/>
            </w:pPr>
            <w:r>
              <w:rPr>
                <w:rFonts w:hint="eastAsia"/>
              </w:rPr>
              <w:t>5</w:t>
            </w:r>
          </w:p>
        </w:tc>
        <w:tc>
          <w:tcPr>
            <w:tcW w:w="504" w:type="pct"/>
            <w:tcBorders>
              <w:top w:val="nil"/>
              <w:left w:val="nil"/>
              <w:bottom w:val="single" w:color="auto" w:sz="4" w:space="0"/>
              <w:right w:val="single" w:color="auto" w:sz="4" w:space="0"/>
            </w:tcBorders>
            <w:shd w:val="clear" w:color="auto" w:fill="auto"/>
            <w:noWrap/>
            <w:vAlign w:val="center"/>
          </w:tcPr>
          <w:p w14:paraId="350C0053">
            <w:pPr>
              <w:pStyle w:val="39"/>
            </w:pPr>
            <w:r>
              <w:rPr>
                <w:rFonts w:hint="eastAsia"/>
              </w:rPr>
              <w:t>1.5</w:t>
            </w:r>
          </w:p>
        </w:tc>
        <w:tc>
          <w:tcPr>
            <w:tcW w:w="813" w:type="pct"/>
            <w:vMerge w:val="continue"/>
            <w:tcBorders>
              <w:left w:val="nil"/>
              <w:right w:val="single" w:color="auto" w:sz="4" w:space="0"/>
            </w:tcBorders>
            <w:vAlign w:val="center"/>
          </w:tcPr>
          <w:p w14:paraId="17C7F0D7">
            <w:pPr>
              <w:pStyle w:val="39"/>
            </w:pPr>
          </w:p>
        </w:tc>
      </w:tr>
      <w:tr w14:paraId="4D875F09">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27FFD377">
            <w:pPr>
              <w:pStyle w:val="39"/>
            </w:pPr>
            <w:r>
              <w:rPr>
                <w:rFonts w:hint="eastAsia"/>
              </w:rPr>
              <w:t>7</w:t>
            </w:r>
          </w:p>
        </w:tc>
        <w:tc>
          <w:tcPr>
            <w:tcW w:w="1245" w:type="pct"/>
            <w:tcBorders>
              <w:top w:val="nil"/>
              <w:left w:val="nil"/>
              <w:bottom w:val="single" w:color="auto" w:sz="4" w:space="0"/>
              <w:right w:val="single" w:color="auto" w:sz="4" w:space="0"/>
            </w:tcBorders>
            <w:shd w:val="clear" w:color="auto" w:fill="auto"/>
            <w:noWrap/>
            <w:vAlign w:val="center"/>
          </w:tcPr>
          <w:p w14:paraId="183C885F">
            <w:pPr>
              <w:pStyle w:val="39"/>
            </w:pPr>
            <w:r>
              <w:rPr>
                <w:rFonts w:hint="eastAsia"/>
              </w:rPr>
              <w:t>石灰岩</w:t>
            </w:r>
          </w:p>
        </w:tc>
        <w:tc>
          <w:tcPr>
            <w:tcW w:w="926" w:type="pct"/>
            <w:tcBorders>
              <w:top w:val="nil"/>
              <w:left w:val="nil"/>
              <w:bottom w:val="single" w:color="auto" w:sz="4" w:space="0"/>
              <w:right w:val="single" w:color="auto" w:sz="4" w:space="0"/>
            </w:tcBorders>
            <w:shd w:val="clear" w:color="auto" w:fill="auto"/>
            <w:noWrap/>
            <w:vAlign w:val="center"/>
          </w:tcPr>
          <w:p w14:paraId="65F8EDC8">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0F4F6A79">
            <w:pPr>
              <w:pStyle w:val="39"/>
            </w:pPr>
            <w:r>
              <w:rPr>
                <w:rFonts w:hint="eastAsia"/>
              </w:rPr>
              <w:t>100</w:t>
            </w:r>
          </w:p>
        </w:tc>
        <w:tc>
          <w:tcPr>
            <w:tcW w:w="504" w:type="pct"/>
            <w:tcBorders>
              <w:top w:val="nil"/>
              <w:left w:val="nil"/>
              <w:bottom w:val="single" w:color="auto" w:sz="4" w:space="0"/>
              <w:right w:val="single" w:color="auto" w:sz="4" w:space="0"/>
            </w:tcBorders>
            <w:shd w:val="clear" w:color="auto" w:fill="auto"/>
            <w:noWrap/>
            <w:vAlign w:val="center"/>
          </w:tcPr>
          <w:p w14:paraId="77909FFF">
            <w:pPr>
              <w:pStyle w:val="39"/>
            </w:pPr>
            <w:r>
              <w:rPr>
                <w:rFonts w:hint="eastAsia"/>
              </w:rPr>
              <w:t>50</w:t>
            </w:r>
          </w:p>
        </w:tc>
        <w:tc>
          <w:tcPr>
            <w:tcW w:w="504" w:type="pct"/>
            <w:tcBorders>
              <w:top w:val="nil"/>
              <w:left w:val="nil"/>
              <w:bottom w:val="single" w:color="auto" w:sz="4" w:space="0"/>
              <w:right w:val="single" w:color="auto" w:sz="4" w:space="0"/>
            </w:tcBorders>
            <w:shd w:val="clear" w:color="auto" w:fill="auto"/>
            <w:noWrap/>
            <w:vAlign w:val="center"/>
          </w:tcPr>
          <w:p w14:paraId="37814471">
            <w:pPr>
              <w:pStyle w:val="39"/>
            </w:pPr>
            <w:r>
              <w:rPr>
                <w:rFonts w:hint="eastAsia"/>
              </w:rPr>
              <w:t>30</w:t>
            </w:r>
          </w:p>
        </w:tc>
        <w:tc>
          <w:tcPr>
            <w:tcW w:w="813" w:type="pct"/>
            <w:vMerge w:val="continue"/>
            <w:tcBorders>
              <w:left w:val="nil"/>
              <w:right w:val="single" w:color="auto" w:sz="4" w:space="0"/>
            </w:tcBorders>
            <w:vAlign w:val="center"/>
          </w:tcPr>
          <w:p w14:paraId="10DC259A">
            <w:pPr>
              <w:pStyle w:val="39"/>
            </w:pPr>
          </w:p>
        </w:tc>
      </w:tr>
      <w:tr w14:paraId="67F83138">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2911FD2F">
            <w:pPr>
              <w:pStyle w:val="39"/>
            </w:pPr>
            <w:r>
              <w:rPr>
                <w:rFonts w:hint="eastAsia"/>
              </w:rPr>
              <w:t>8</w:t>
            </w:r>
          </w:p>
        </w:tc>
        <w:tc>
          <w:tcPr>
            <w:tcW w:w="1245" w:type="pct"/>
            <w:tcBorders>
              <w:top w:val="nil"/>
              <w:left w:val="nil"/>
              <w:bottom w:val="single" w:color="auto" w:sz="4" w:space="0"/>
              <w:right w:val="single" w:color="auto" w:sz="4" w:space="0"/>
            </w:tcBorders>
            <w:shd w:val="clear" w:color="auto" w:fill="auto"/>
            <w:noWrap/>
            <w:vAlign w:val="center"/>
          </w:tcPr>
          <w:p w14:paraId="01C1B51C">
            <w:pPr>
              <w:pStyle w:val="39"/>
            </w:pPr>
            <w:r>
              <w:rPr>
                <w:rFonts w:hint="eastAsia"/>
              </w:rPr>
              <w:t>水泥用灰岩</w:t>
            </w:r>
          </w:p>
        </w:tc>
        <w:tc>
          <w:tcPr>
            <w:tcW w:w="926" w:type="pct"/>
            <w:tcBorders>
              <w:top w:val="nil"/>
              <w:left w:val="nil"/>
              <w:bottom w:val="single" w:color="auto" w:sz="4" w:space="0"/>
              <w:right w:val="single" w:color="auto" w:sz="4" w:space="0"/>
            </w:tcBorders>
            <w:shd w:val="clear" w:color="auto" w:fill="auto"/>
            <w:noWrap/>
            <w:vAlign w:val="center"/>
          </w:tcPr>
          <w:p w14:paraId="70057406">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0DE39135">
            <w:pPr>
              <w:pStyle w:val="39"/>
            </w:pPr>
            <w:r>
              <w:rPr>
                <w:rFonts w:hint="eastAsia"/>
              </w:rPr>
              <w:t>100</w:t>
            </w:r>
          </w:p>
        </w:tc>
        <w:tc>
          <w:tcPr>
            <w:tcW w:w="504" w:type="pct"/>
            <w:tcBorders>
              <w:top w:val="nil"/>
              <w:left w:val="nil"/>
              <w:bottom w:val="single" w:color="auto" w:sz="4" w:space="0"/>
              <w:right w:val="single" w:color="auto" w:sz="4" w:space="0"/>
            </w:tcBorders>
            <w:shd w:val="clear" w:color="auto" w:fill="auto"/>
            <w:noWrap/>
            <w:vAlign w:val="center"/>
          </w:tcPr>
          <w:p w14:paraId="373F9711">
            <w:pPr>
              <w:pStyle w:val="39"/>
            </w:pPr>
            <w:r>
              <w:rPr>
                <w:rFonts w:hint="eastAsia"/>
              </w:rPr>
              <w:t>50</w:t>
            </w:r>
          </w:p>
        </w:tc>
        <w:tc>
          <w:tcPr>
            <w:tcW w:w="504" w:type="pct"/>
            <w:tcBorders>
              <w:top w:val="nil"/>
              <w:left w:val="nil"/>
              <w:bottom w:val="single" w:color="auto" w:sz="4" w:space="0"/>
              <w:right w:val="single" w:color="auto" w:sz="4" w:space="0"/>
            </w:tcBorders>
            <w:shd w:val="clear" w:color="auto" w:fill="auto"/>
            <w:noWrap/>
            <w:vAlign w:val="center"/>
          </w:tcPr>
          <w:p w14:paraId="06C75D4A">
            <w:pPr>
              <w:pStyle w:val="39"/>
            </w:pPr>
            <w:r>
              <w:rPr>
                <w:rFonts w:hint="eastAsia"/>
              </w:rPr>
              <w:t>30</w:t>
            </w:r>
          </w:p>
        </w:tc>
        <w:tc>
          <w:tcPr>
            <w:tcW w:w="813" w:type="pct"/>
            <w:vMerge w:val="continue"/>
            <w:tcBorders>
              <w:left w:val="nil"/>
              <w:right w:val="single" w:color="auto" w:sz="4" w:space="0"/>
            </w:tcBorders>
            <w:vAlign w:val="center"/>
          </w:tcPr>
          <w:p w14:paraId="3E847388">
            <w:pPr>
              <w:pStyle w:val="39"/>
            </w:pPr>
          </w:p>
        </w:tc>
      </w:tr>
      <w:tr w14:paraId="79F1ADCD">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4124DD4D">
            <w:pPr>
              <w:pStyle w:val="39"/>
            </w:pPr>
            <w:r>
              <w:rPr>
                <w:rFonts w:hint="eastAsia"/>
              </w:rPr>
              <w:t>9</w:t>
            </w:r>
          </w:p>
        </w:tc>
        <w:tc>
          <w:tcPr>
            <w:tcW w:w="1245" w:type="pct"/>
            <w:tcBorders>
              <w:top w:val="nil"/>
              <w:left w:val="nil"/>
              <w:bottom w:val="single" w:color="auto" w:sz="4" w:space="0"/>
              <w:right w:val="single" w:color="auto" w:sz="4" w:space="0"/>
            </w:tcBorders>
            <w:shd w:val="clear" w:color="auto" w:fill="auto"/>
            <w:noWrap/>
            <w:vAlign w:val="center"/>
          </w:tcPr>
          <w:p w14:paraId="74DD5898">
            <w:pPr>
              <w:pStyle w:val="39"/>
            </w:pPr>
            <w:r>
              <w:rPr>
                <w:rFonts w:hint="eastAsia"/>
              </w:rPr>
              <w:t>玻璃用白云岩</w:t>
            </w:r>
          </w:p>
        </w:tc>
        <w:tc>
          <w:tcPr>
            <w:tcW w:w="926" w:type="pct"/>
            <w:tcBorders>
              <w:top w:val="nil"/>
              <w:left w:val="nil"/>
              <w:bottom w:val="single" w:color="auto" w:sz="4" w:space="0"/>
              <w:right w:val="single" w:color="auto" w:sz="4" w:space="0"/>
            </w:tcBorders>
            <w:shd w:val="clear" w:color="auto" w:fill="auto"/>
            <w:noWrap/>
            <w:vAlign w:val="center"/>
          </w:tcPr>
          <w:p w14:paraId="2D57550C">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6718F0A3">
            <w:pPr>
              <w:pStyle w:val="39"/>
            </w:pPr>
            <w:r>
              <w:rPr>
                <w:rFonts w:hint="eastAsia"/>
              </w:rPr>
              <w:t>100</w:t>
            </w:r>
          </w:p>
        </w:tc>
        <w:tc>
          <w:tcPr>
            <w:tcW w:w="504" w:type="pct"/>
            <w:tcBorders>
              <w:top w:val="nil"/>
              <w:left w:val="nil"/>
              <w:bottom w:val="single" w:color="auto" w:sz="4" w:space="0"/>
              <w:right w:val="single" w:color="auto" w:sz="4" w:space="0"/>
            </w:tcBorders>
            <w:shd w:val="clear" w:color="auto" w:fill="auto"/>
            <w:noWrap/>
            <w:vAlign w:val="center"/>
          </w:tcPr>
          <w:p w14:paraId="3E75A45F">
            <w:pPr>
              <w:pStyle w:val="39"/>
            </w:pPr>
            <w:r>
              <w:rPr>
                <w:rFonts w:hint="eastAsia"/>
              </w:rPr>
              <w:t>50</w:t>
            </w:r>
          </w:p>
        </w:tc>
        <w:tc>
          <w:tcPr>
            <w:tcW w:w="504" w:type="pct"/>
            <w:tcBorders>
              <w:top w:val="nil"/>
              <w:left w:val="nil"/>
              <w:bottom w:val="single" w:color="auto" w:sz="4" w:space="0"/>
              <w:right w:val="single" w:color="auto" w:sz="4" w:space="0"/>
            </w:tcBorders>
            <w:shd w:val="clear" w:color="auto" w:fill="auto"/>
            <w:noWrap/>
            <w:vAlign w:val="center"/>
          </w:tcPr>
          <w:p w14:paraId="7F719511">
            <w:pPr>
              <w:pStyle w:val="39"/>
            </w:pPr>
            <w:r>
              <w:rPr>
                <w:rFonts w:hint="eastAsia"/>
              </w:rPr>
              <w:t>30</w:t>
            </w:r>
          </w:p>
        </w:tc>
        <w:tc>
          <w:tcPr>
            <w:tcW w:w="813" w:type="pct"/>
            <w:vMerge w:val="continue"/>
            <w:tcBorders>
              <w:left w:val="nil"/>
              <w:right w:val="single" w:color="auto" w:sz="4" w:space="0"/>
            </w:tcBorders>
            <w:vAlign w:val="center"/>
          </w:tcPr>
          <w:p w14:paraId="09196BD5">
            <w:pPr>
              <w:pStyle w:val="39"/>
            </w:pPr>
          </w:p>
        </w:tc>
      </w:tr>
      <w:tr w14:paraId="6CC76EF6">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361C1FFF">
            <w:pPr>
              <w:pStyle w:val="39"/>
            </w:pPr>
            <w:r>
              <w:rPr>
                <w:rFonts w:hint="eastAsia"/>
              </w:rPr>
              <w:t>10</w:t>
            </w:r>
          </w:p>
        </w:tc>
        <w:tc>
          <w:tcPr>
            <w:tcW w:w="1245" w:type="pct"/>
            <w:tcBorders>
              <w:top w:val="nil"/>
              <w:left w:val="nil"/>
              <w:bottom w:val="single" w:color="auto" w:sz="4" w:space="0"/>
              <w:right w:val="single" w:color="auto" w:sz="4" w:space="0"/>
            </w:tcBorders>
            <w:shd w:val="clear" w:color="auto" w:fill="auto"/>
            <w:noWrap/>
            <w:vAlign w:val="center"/>
          </w:tcPr>
          <w:p w14:paraId="7F585D98">
            <w:pPr>
              <w:pStyle w:val="39"/>
            </w:pPr>
            <w:r>
              <w:rPr>
                <w:rFonts w:hint="eastAsia"/>
              </w:rPr>
              <w:t>砖瓦用粘土岩</w:t>
            </w:r>
          </w:p>
        </w:tc>
        <w:tc>
          <w:tcPr>
            <w:tcW w:w="926" w:type="pct"/>
            <w:tcBorders>
              <w:top w:val="nil"/>
              <w:left w:val="nil"/>
              <w:bottom w:val="single" w:color="auto" w:sz="4" w:space="0"/>
              <w:right w:val="single" w:color="auto" w:sz="4" w:space="0"/>
            </w:tcBorders>
            <w:shd w:val="clear" w:color="auto" w:fill="auto"/>
            <w:noWrap/>
            <w:vAlign w:val="center"/>
          </w:tcPr>
          <w:p w14:paraId="0485165F">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4B1E3F54">
            <w:pPr>
              <w:pStyle w:val="39"/>
            </w:pPr>
            <w:r>
              <w:rPr>
                <w:rFonts w:hint="eastAsia"/>
              </w:rPr>
              <w:t>30</w:t>
            </w:r>
          </w:p>
        </w:tc>
        <w:tc>
          <w:tcPr>
            <w:tcW w:w="504" w:type="pct"/>
            <w:tcBorders>
              <w:top w:val="nil"/>
              <w:left w:val="nil"/>
              <w:bottom w:val="single" w:color="auto" w:sz="4" w:space="0"/>
              <w:right w:val="single" w:color="auto" w:sz="4" w:space="0"/>
            </w:tcBorders>
            <w:shd w:val="clear" w:color="auto" w:fill="auto"/>
            <w:noWrap/>
            <w:vAlign w:val="center"/>
          </w:tcPr>
          <w:p w14:paraId="272BBFFF">
            <w:pPr>
              <w:pStyle w:val="39"/>
            </w:pPr>
            <w:r>
              <w:rPr>
                <w:rFonts w:hint="eastAsia"/>
              </w:rPr>
              <w:t>13</w:t>
            </w:r>
          </w:p>
        </w:tc>
        <w:tc>
          <w:tcPr>
            <w:tcW w:w="504" w:type="pct"/>
            <w:tcBorders>
              <w:top w:val="nil"/>
              <w:left w:val="nil"/>
              <w:bottom w:val="single" w:color="auto" w:sz="4" w:space="0"/>
              <w:right w:val="single" w:color="auto" w:sz="4" w:space="0"/>
            </w:tcBorders>
            <w:shd w:val="clear" w:color="auto" w:fill="auto"/>
            <w:noWrap/>
            <w:vAlign w:val="center"/>
          </w:tcPr>
          <w:p w14:paraId="704E3911">
            <w:pPr>
              <w:pStyle w:val="39"/>
            </w:pPr>
            <w:r>
              <w:rPr>
                <w:rFonts w:hint="eastAsia"/>
              </w:rPr>
              <w:t>6</w:t>
            </w:r>
          </w:p>
        </w:tc>
        <w:tc>
          <w:tcPr>
            <w:tcW w:w="813" w:type="pct"/>
            <w:vMerge w:val="continue"/>
            <w:tcBorders>
              <w:left w:val="nil"/>
              <w:right w:val="single" w:color="auto" w:sz="4" w:space="0"/>
            </w:tcBorders>
            <w:vAlign w:val="center"/>
          </w:tcPr>
          <w:p w14:paraId="4BFAB2D6">
            <w:pPr>
              <w:pStyle w:val="39"/>
            </w:pPr>
          </w:p>
        </w:tc>
      </w:tr>
      <w:tr w14:paraId="7A1BCD24">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6101F799">
            <w:pPr>
              <w:pStyle w:val="39"/>
            </w:pPr>
            <w:r>
              <w:rPr>
                <w:rFonts w:hint="eastAsia"/>
              </w:rPr>
              <w:t>11</w:t>
            </w:r>
          </w:p>
        </w:tc>
        <w:tc>
          <w:tcPr>
            <w:tcW w:w="1245" w:type="pct"/>
            <w:tcBorders>
              <w:top w:val="nil"/>
              <w:left w:val="nil"/>
              <w:bottom w:val="single" w:color="auto" w:sz="4" w:space="0"/>
              <w:right w:val="single" w:color="auto" w:sz="4" w:space="0"/>
            </w:tcBorders>
            <w:shd w:val="clear" w:color="auto" w:fill="auto"/>
            <w:noWrap/>
            <w:vAlign w:val="center"/>
          </w:tcPr>
          <w:p w14:paraId="5D98A9B1">
            <w:pPr>
              <w:pStyle w:val="39"/>
            </w:pPr>
            <w:r>
              <w:rPr>
                <w:rFonts w:hint="eastAsia"/>
              </w:rPr>
              <w:t>陶瓷</w:t>
            </w:r>
            <w:r>
              <w:t>用粘土</w:t>
            </w:r>
            <w:r>
              <w:rPr>
                <w:rFonts w:hint="eastAsia"/>
              </w:rPr>
              <w:t>岩</w:t>
            </w:r>
          </w:p>
        </w:tc>
        <w:tc>
          <w:tcPr>
            <w:tcW w:w="926" w:type="pct"/>
            <w:tcBorders>
              <w:top w:val="nil"/>
              <w:left w:val="nil"/>
              <w:bottom w:val="single" w:color="auto" w:sz="4" w:space="0"/>
              <w:right w:val="single" w:color="auto" w:sz="4" w:space="0"/>
            </w:tcBorders>
            <w:shd w:val="clear" w:color="auto" w:fill="auto"/>
            <w:noWrap/>
            <w:vAlign w:val="center"/>
          </w:tcPr>
          <w:p w14:paraId="793A1A37">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18D10603">
            <w:pPr>
              <w:pStyle w:val="39"/>
            </w:pPr>
            <w:r>
              <w:rPr>
                <w:rFonts w:hint="eastAsia"/>
              </w:rPr>
              <w:t>30</w:t>
            </w:r>
          </w:p>
        </w:tc>
        <w:tc>
          <w:tcPr>
            <w:tcW w:w="504" w:type="pct"/>
            <w:tcBorders>
              <w:top w:val="nil"/>
              <w:left w:val="nil"/>
              <w:bottom w:val="single" w:color="auto" w:sz="4" w:space="0"/>
              <w:right w:val="single" w:color="auto" w:sz="4" w:space="0"/>
            </w:tcBorders>
            <w:shd w:val="clear" w:color="auto" w:fill="auto"/>
            <w:noWrap/>
            <w:vAlign w:val="center"/>
          </w:tcPr>
          <w:p w14:paraId="2BFD9F93">
            <w:pPr>
              <w:pStyle w:val="39"/>
            </w:pPr>
            <w:r>
              <w:rPr>
                <w:rFonts w:hint="eastAsia"/>
              </w:rPr>
              <w:t>13</w:t>
            </w:r>
          </w:p>
        </w:tc>
        <w:tc>
          <w:tcPr>
            <w:tcW w:w="504" w:type="pct"/>
            <w:tcBorders>
              <w:top w:val="nil"/>
              <w:left w:val="nil"/>
              <w:bottom w:val="single" w:color="auto" w:sz="4" w:space="0"/>
              <w:right w:val="single" w:color="auto" w:sz="4" w:space="0"/>
            </w:tcBorders>
            <w:shd w:val="clear" w:color="auto" w:fill="auto"/>
            <w:noWrap/>
            <w:vAlign w:val="center"/>
          </w:tcPr>
          <w:p w14:paraId="51AB8292">
            <w:pPr>
              <w:pStyle w:val="39"/>
            </w:pPr>
            <w:r>
              <w:rPr>
                <w:rFonts w:hint="eastAsia"/>
              </w:rPr>
              <w:t>6</w:t>
            </w:r>
          </w:p>
        </w:tc>
        <w:tc>
          <w:tcPr>
            <w:tcW w:w="813" w:type="pct"/>
            <w:vMerge w:val="continue"/>
            <w:tcBorders>
              <w:left w:val="nil"/>
              <w:right w:val="single" w:color="auto" w:sz="4" w:space="0"/>
            </w:tcBorders>
            <w:vAlign w:val="center"/>
          </w:tcPr>
          <w:p w14:paraId="12A41929">
            <w:pPr>
              <w:pStyle w:val="39"/>
            </w:pPr>
          </w:p>
        </w:tc>
      </w:tr>
      <w:tr w14:paraId="46B2BA16">
        <w:tblPrEx>
          <w:tblCellMar>
            <w:top w:w="0" w:type="dxa"/>
            <w:left w:w="108" w:type="dxa"/>
            <w:bottom w:w="0" w:type="dxa"/>
            <w:right w:w="108" w:type="dxa"/>
          </w:tblCellMar>
        </w:tblPrEx>
        <w:trPr>
          <w:jc w:val="center"/>
        </w:trPr>
        <w:tc>
          <w:tcPr>
            <w:tcW w:w="504" w:type="pct"/>
            <w:tcBorders>
              <w:top w:val="nil"/>
              <w:left w:val="single" w:color="auto" w:sz="4" w:space="0"/>
              <w:bottom w:val="single" w:color="auto" w:sz="4" w:space="0"/>
              <w:right w:val="single" w:color="auto" w:sz="4" w:space="0"/>
            </w:tcBorders>
            <w:shd w:val="clear" w:color="auto" w:fill="auto"/>
            <w:noWrap/>
            <w:vAlign w:val="center"/>
          </w:tcPr>
          <w:p w14:paraId="3776F97C">
            <w:pPr>
              <w:pStyle w:val="39"/>
            </w:pPr>
            <w:r>
              <w:rPr>
                <w:rFonts w:hint="eastAsia"/>
              </w:rPr>
              <w:t>12</w:t>
            </w:r>
          </w:p>
        </w:tc>
        <w:tc>
          <w:tcPr>
            <w:tcW w:w="1245" w:type="pct"/>
            <w:tcBorders>
              <w:top w:val="nil"/>
              <w:left w:val="nil"/>
              <w:bottom w:val="single" w:color="auto" w:sz="4" w:space="0"/>
              <w:right w:val="single" w:color="auto" w:sz="4" w:space="0"/>
            </w:tcBorders>
            <w:shd w:val="clear" w:color="auto" w:fill="auto"/>
            <w:noWrap/>
            <w:vAlign w:val="center"/>
          </w:tcPr>
          <w:p w14:paraId="61D12929">
            <w:pPr>
              <w:pStyle w:val="39"/>
            </w:pPr>
            <w:r>
              <w:rPr>
                <w:rFonts w:hint="eastAsia"/>
              </w:rPr>
              <w:t>砖瓦用页岩</w:t>
            </w:r>
          </w:p>
        </w:tc>
        <w:tc>
          <w:tcPr>
            <w:tcW w:w="926" w:type="pct"/>
            <w:tcBorders>
              <w:top w:val="nil"/>
              <w:left w:val="nil"/>
              <w:bottom w:val="single" w:color="auto" w:sz="4" w:space="0"/>
              <w:right w:val="single" w:color="auto" w:sz="4" w:space="0"/>
            </w:tcBorders>
            <w:shd w:val="clear" w:color="auto" w:fill="auto"/>
            <w:noWrap/>
            <w:vAlign w:val="center"/>
          </w:tcPr>
          <w:p w14:paraId="675C5EA4">
            <w:pPr>
              <w:pStyle w:val="39"/>
            </w:pPr>
            <w:r>
              <w:rPr>
                <w:rFonts w:hint="eastAsia"/>
              </w:rPr>
              <w:t>万吨/年</w:t>
            </w:r>
          </w:p>
        </w:tc>
        <w:tc>
          <w:tcPr>
            <w:tcW w:w="504" w:type="pct"/>
            <w:tcBorders>
              <w:top w:val="nil"/>
              <w:left w:val="nil"/>
              <w:bottom w:val="single" w:color="auto" w:sz="4" w:space="0"/>
              <w:right w:val="single" w:color="auto" w:sz="4" w:space="0"/>
            </w:tcBorders>
            <w:shd w:val="clear" w:color="auto" w:fill="auto"/>
            <w:noWrap/>
            <w:vAlign w:val="center"/>
          </w:tcPr>
          <w:p w14:paraId="3DD1DAB1">
            <w:pPr>
              <w:pStyle w:val="39"/>
            </w:pPr>
            <w:r>
              <w:rPr>
                <w:rFonts w:hint="eastAsia"/>
              </w:rPr>
              <w:t>30</w:t>
            </w:r>
          </w:p>
        </w:tc>
        <w:tc>
          <w:tcPr>
            <w:tcW w:w="504" w:type="pct"/>
            <w:tcBorders>
              <w:top w:val="nil"/>
              <w:left w:val="nil"/>
              <w:bottom w:val="single" w:color="auto" w:sz="4" w:space="0"/>
              <w:right w:val="single" w:color="auto" w:sz="4" w:space="0"/>
            </w:tcBorders>
            <w:shd w:val="clear" w:color="auto" w:fill="auto"/>
            <w:noWrap/>
            <w:vAlign w:val="center"/>
          </w:tcPr>
          <w:p w14:paraId="1344D9CF">
            <w:pPr>
              <w:pStyle w:val="39"/>
            </w:pPr>
            <w:r>
              <w:rPr>
                <w:rFonts w:hint="eastAsia"/>
              </w:rPr>
              <w:t>13</w:t>
            </w:r>
          </w:p>
        </w:tc>
        <w:tc>
          <w:tcPr>
            <w:tcW w:w="504" w:type="pct"/>
            <w:tcBorders>
              <w:top w:val="nil"/>
              <w:left w:val="nil"/>
              <w:bottom w:val="single" w:color="auto" w:sz="4" w:space="0"/>
              <w:right w:val="single" w:color="auto" w:sz="4" w:space="0"/>
            </w:tcBorders>
            <w:shd w:val="clear" w:color="auto" w:fill="auto"/>
            <w:noWrap/>
            <w:vAlign w:val="center"/>
          </w:tcPr>
          <w:p w14:paraId="06706682">
            <w:pPr>
              <w:pStyle w:val="39"/>
            </w:pPr>
            <w:r>
              <w:rPr>
                <w:rFonts w:hint="eastAsia"/>
              </w:rPr>
              <w:t>6</w:t>
            </w:r>
          </w:p>
        </w:tc>
        <w:tc>
          <w:tcPr>
            <w:tcW w:w="813" w:type="pct"/>
            <w:vMerge w:val="continue"/>
            <w:tcBorders>
              <w:left w:val="nil"/>
              <w:bottom w:val="single" w:color="auto" w:sz="4" w:space="0"/>
              <w:right w:val="single" w:color="auto" w:sz="4" w:space="0"/>
            </w:tcBorders>
            <w:vAlign w:val="center"/>
          </w:tcPr>
          <w:p w14:paraId="7DECB50F">
            <w:pPr>
              <w:pStyle w:val="39"/>
            </w:pPr>
          </w:p>
        </w:tc>
      </w:tr>
    </w:tbl>
    <w:p w14:paraId="2D05DB13">
      <w:pPr>
        <w:pStyle w:val="4"/>
        <w:ind w:firstLine="643"/>
      </w:pPr>
      <w:bookmarkStart w:id="80" w:name="_Toc472321045"/>
      <w:bookmarkStart w:id="81" w:name="_Toc475349515"/>
      <w:bookmarkStart w:id="82" w:name="_Toc469237507"/>
      <w:bookmarkStart w:id="83" w:name="_Toc469237508"/>
      <w:r>
        <w:t xml:space="preserve"> </w:t>
      </w:r>
      <w:bookmarkStart w:id="84" w:name="_Toc482798188"/>
      <w:bookmarkStart w:id="85" w:name="_Toc479584515"/>
      <w:r>
        <w:rPr>
          <w:rFonts w:hint="eastAsia"/>
        </w:rPr>
        <w:t>规划布局条件</w:t>
      </w:r>
      <w:bookmarkEnd w:id="80"/>
      <w:bookmarkEnd w:id="81"/>
      <w:bookmarkEnd w:id="82"/>
      <w:bookmarkEnd w:id="84"/>
      <w:bookmarkEnd w:id="85"/>
    </w:p>
    <w:p w14:paraId="27274F6C">
      <w:pPr>
        <w:ind w:firstLine="640"/>
      </w:pPr>
      <w:r>
        <w:rPr>
          <w:rFonts w:hint="eastAsia"/>
        </w:rPr>
        <w:t>矿山开采必须符合本规划的分区要求，严禁在禁采区内兴办矿山。未经县和县以上国土资源主管部门的批准，不得在限采区内新建矿山或扩大矿山规模。</w:t>
      </w:r>
    </w:p>
    <w:p w14:paraId="0A8E8A87">
      <w:pPr>
        <w:pStyle w:val="4"/>
        <w:ind w:firstLine="643"/>
      </w:pPr>
      <w:bookmarkStart w:id="86" w:name="_Toc472321046"/>
      <w:bookmarkStart w:id="87" w:name="_Toc475349516"/>
      <w:r>
        <w:t xml:space="preserve"> </w:t>
      </w:r>
      <w:bookmarkStart w:id="88" w:name="_Toc479584516"/>
      <w:bookmarkStart w:id="89" w:name="_Toc482798189"/>
      <w:r>
        <w:rPr>
          <w:rFonts w:hint="eastAsia"/>
        </w:rPr>
        <w:t>资源利用效率条件</w:t>
      </w:r>
      <w:bookmarkEnd w:id="83"/>
      <w:bookmarkEnd w:id="86"/>
      <w:bookmarkEnd w:id="87"/>
      <w:bookmarkEnd w:id="88"/>
      <w:bookmarkEnd w:id="89"/>
    </w:p>
    <w:p w14:paraId="16C3076D">
      <w:pPr>
        <w:ind w:firstLine="640"/>
      </w:pPr>
      <w:r>
        <w:rPr>
          <w:rFonts w:hint="eastAsia"/>
        </w:rPr>
        <w:t>设计的开采回采率、采矿贫化率、选矿回收率指标应符合资源的开采技术条件和矿石的可选性，并满足相关“三率”的最低标准。对可利用的共伴生矿和尾矿有综合利用方案。</w:t>
      </w:r>
    </w:p>
    <w:p w14:paraId="2C9E2DB6">
      <w:pPr>
        <w:pStyle w:val="4"/>
        <w:ind w:firstLine="643"/>
      </w:pPr>
      <w:bookmarkStart w:id="90" w:name="_Toc469237509"/>
      <w:bookmarkStart w:id="91" w:name="_Toc475349517"/>
      <w:bookmarkStart w:id="92" w:name="_Toc472321047"/>
      <w:r>
        <w:t xml:space="preserve"> </w:t>
      </w:r>
      <w:bookmarkStart w:id="93" w:name="_Toc479584517"/>
      <w:bookmarkStart w:id="94" w:name="_Toc482798190"/>
      <w:r>
        <w:rPr>
          <w:rFonts w:hint="eastAsia"/>
        </w:rPr>
        <w:t>环境保护条件</w:t>
      </w:r>
      <w:bookmarkEnd w:id="90"/>
      <w:bookmarkEnd w:id="91"/>
      <w:bookmarkEnd w:id="92"/>
      <w:bookmarkEnd w:id="93"/>
      <w:bookmarkEnd w:id="94"/>
    </w:p>
    <w:p w14:paraId="07BF6061">
      <w:pPr>
        <w:ind w:firstLine="640"/>
      </w:pPr>
      <w:r>
        <w:rPr>
          <w:rFonts w:hint="eastAsia"/>
        </w:rPr>
        <w:t>必须符合国家规定的环保条件及水土保护法规和本规划规定的新建矿山生态环境准入条件。</w:t>
      </w:r>
    </w:p>
    <w:p w14:paraId="3D3B5CC5">
      <w:pPr>
        <w:pStyle w:val="4"/>
        <w:ind w:firstLine="643"/>
      </w:pPr>
      <w:bookmarkStart w:id="95" w:name="_Toc469237510"/>
      <w:bookmarkStart w:id="96" w:name="_Toc472321048"/>
      <w:bookmarkStart w:id="97" w:name="_Toc475349518"/>
      <w:r>
        <w:t xml:space="preserve"> </w:t>
      </w:r>
      <w:bookmarkStart w:id="98" w:name="_Toc479584518"/>
      <w:bookmarkStart w:id="99" w:name="_Toc482798191"/>
      <w:r>
        <w:rPr>
          <w:rFonts w:hint="eastAsia"/>
        </w:rPr>
        <w:t>安全生产条件</w:t>
      </w:r>
      <w:bookmarkEnd w:id="95"/>
      <w:bookmarkEnd w:id="96"/>
      <w:bookmarkEnd w:id="97"/>
      <w:bookmarkEnd w:id="98"/>
      <w:bookmarkEnd w:id="99"/>
    </w:p>
    <w:p w14:paraId="018C111D">
      <w:pPr>
        <w:ind w:firstLine="640"/>
      </w:pPr>
      <w:r>
        <w:rPr>
          <w:rFonts w:hint="eastAsia"/>
        </w:rPr>
        <w:t>必须符合国家关于安全生产的有关规定，严格配置相关安全生产的设施和制定相应的安全生产措施，并设置专门的安全管理机构和人员。</w:t>
      </w:r>
    </w:p>
    <w:p w14:paraId="2E1B9410">
      <w:pPr>
        <w:ind w:firstLine="640"/>
      </w:pPr>
      <w:r>
        <w:rPr>
          <w:rFonts w:hint="eastAsia"/>
        </w:rPr>
        <w:t>在地质灾害危险区内禁止爆破、工程建设以及从事其他可能引发地质灾害的行为，禁止修建建筑物；在地质灾害易发内的工程建设应当进行可行研究，进行地质灾害危险性评估；编制城镇、村庄总体规划时，应当对规划进行地质灾害危险性评估，评估专家应由有资质单位设计、施工。</w:t>
      </w:r>
    </w:p>
    <w:p w14:paraId="1EAC07C8">
      <w:pPr>
        <w:widowControl/>
        <w:adjustRightInd/>
        <w:snapToGrid/>
        <w:spacing w:line="240" w:lineRule="auto"/>
        <w:ind w:firstLine="0" w:firstLineChars="0"/>
        <w:jc w:val="left"/>
      </w:pPr>
      <w:r>
        <w:br w:type="page"/>
      </w:r>
    </w:p>
    <w:p w14:paraId="33157E30">
      <w:pPr>
        <w:ind w:firstLine="640"/>
      </w:pPr>
    </w:p>
    <w:p w14:paraId="60CB5A16">
      <w:pPr>
        <w:pStyle w:val="2"/>
        <w:rPr>
          <w:kern w:val="0"/>
        </w:rPr>
      </w:pPr>
      <w:bookmarkStart w:id="100" w:name="_Toc482798192"/>
      <w:r>
        <w:rPr>
          <w:rFonts w:hint="eastAsia"/>
          <w:kern w:val="0"/>
        </w:rPr>
        <w:t>加强矿山地质环境保护与治理</w:t>
      </w:r>
      <w:bookmarkEnd w:id="100"/>
    </w:p>
    <w:p w14:paraId="5ECAE432">
      <w:pPr>
        <w:pStyle w:val="3"/>
        <w:ind w:firstLine="723"/>
      </w:pPr>
      <w:bookmarkStart w:id="101" w:name="_Toc482798193"/>
      <w:r>
        <w:rPr>
          <w:rFonts w:hint="eastAsia"/>
        </w:rPr>
        <w:t>加强矿山地质环境保护</w:t>
      </w:r>
      <w:bookmarkEnd w:id="101"/>
    </w:p>
    <w:p w14:paraId="6B7C32A0">
      <w:pPr>
        <w:ind w:firstLine="640"/>
      </w:pPr>
      <w:r>
        <w:rPr>
          <w:rFonts w:hint="eastAsia"/>
        </w:rPr>
        <w:t>按照中华人民共和国《矿山地质灾害防治条例》、《矿山地质环境保护条例》的要求，十三五期间，全面开展本市矿山地质环境现状调查，弄清环境现状，根据矿山环境问题的类型和不同特点，因地制宜地开展矿山环境保护与恢复治理工作，改善矿山环境，防治矿山次生地质灾害发生，切实发展与生态建设相适应的绿色矿业。</w:t>
      </w:r>
    </w:p>
    <w:p w14:paraId="07924EE6">
      <w:pPr>
        <w:ind w:firstLine="640"/>
      </w:pPr>
      <w:r>
        <w:rPr>
          <w:rFonts w:hint="eastAsia"/>
        </w:rPr>
        <w:t>加强矿山地质环境调查与监测，建立矿山地质环境调查评价制度，组织开展全市大中比例尺矿山地质环境现状调查，查明矿山地质环境主要问题及重点区域，明确治理责任。实行矿山地质环境监测、预报、预警报告制度，完善市、县矿山地质环境动态监测体系和矿山地质环境动态管理信息系统。加强矿产资源集中开发区和生态脆弱地区的矿山地质环境监测，建立重点区域和重点矿山的地质环境监测网络。落实矿山地质环境治理监督机制和统计报表制度，加强对全市矿山地质环境的有效监控和监测数据的快速采集、分析处理与定期发布。</w:t>
      </w:r>
    </w:p>
    <w:p w14:paraId="316E1BAE">
      <w:pPr>
        <w:ind w:firstLine="640"/>
      </w:pPr>
      <w:r>
        <w:rPr>
          <w:rFonts w:hint="eastAsia"/>
        </w:rPr>
        <w:t>加强生产矿山地质环境保护的监督管理。加强矿产资源开发过程中的环境保护，加大对采矿权人履行矿山地质环境恢复治理义务情况的监督检查。制定和完善矿山建设项目地质环境影响评价的指标体系和标准。</w:t>
      </w:r>
    </w:p>
    <w:p w14:paraId="3873BD5B">
      <w:pPr>
        <w:ind w:firstLine="640"/>
      </w:pPr>
      <w:r>
        <w:rPr>
          <w:rFonts w:hint="eastAsia"/>
        </w:rPr>
        <w:t>严格落实生</w:t>
      </w:r>
      <w:r>
        <w:t>产矿山和</w:t>
      </w:r>
      <w:r>
        <w:rPr>
          <w:rFonts w:hint="eastAsia"/>
        </w:rPr>
        <w:t>新建、改建、扩建矿山的地质环境影响评价制度，必须制定矿山地质环境保护与治理恢复方案，经论证通过后作为申办和换领采矿许可证的依据。将矿山地质环境保护与恢复治理目标纳入矿山企业年度检查重要内容，对造成矿山地质环境严重破坏的，责令限期整改，逾期整改不达标的予以关闭。</w:t>
      </w:r>
    </w:p>
    <w:p w14:paraId="4DF31E2C">
      <w:pPr>
        <w:ind w:firstLine="640"/>
      </w:pPr>
      <w:r>
        <w:rPr>
          <w:rFonts w:hint="eastAsia"/>
        </w:rPr>
        <w:t>对于</w:t>
      </w:r>
      <w:r>
        <w:t>闭</w:t>
      </w:r>
      <w:r>
        <w:rPr>
          <w:rFonts w:hint="eastAsia"/>
        </w:rPr>
        <w:t>坑</w:t>
      </w:r>
      <w:r>
        <w:t>矿山，应严格</w:t>
      </w:r>
      <w:r>
        <w:rPr>
          <w:rFonts w:hint="eastAsia"/>
        </w:rPr>
        <w:t>按照本</w:t>
      </w:r>
      <w:r>
        <w:t>矿山提交的</w:t>
      </w:r>
      <w:r>
        <w:rPr>
          <w:rFonts w:hint="eastAsia"/>
        </w:rPr>
        <w:t>经</w:t>
      </w:r>
      <w:r>
        <w:t>审查</w:t>
      </w:r>
      <w:r>
        <w:rPr>
          <w:rFonts w:hint="eastAsia"/>
        </w:rPr>
        <w:t>通过</w:t>
      </w:r>
      <w:r>
        <w:t>的</w:t>
      </w:r>
      <w:r>
        <w:rPr>
          <w:rFonts w:hint="eastAsia"/>
        </w:rPr>
        <w:t>矿山地质环境保护与治理恢复方案由国土</w:t>
      </w:r>
      <w:r>
        <w:t>资源</w:t>
      </w:r>
      <w:r>
        <w:rPr>
          <w:rFonts w:hint="eastAsia"/>
        </w:rPr>
        <w:t>、</w:t>
      </w:r>
      <w:r>
        <w:t>安全监</w:t>
      </w:r>
      <w:r>
        <w:rPr>
          <w:rFonts w:hint="eastAsia"/>
        </w:rPr>
        <w:t>察</w:t>
      </w:r>
      <w:r>
        <w:t>、环境保护等</w:t>
      </w:r>
      <w:r>
        <w:rPr>
          <w:rFonts w:hint="eastAsia"/>
        </w:rPr>
        <w:t>相</w:t>
      </w:r>
      <w:r>
        <w:t>关</w:t>
      </w:r>
      <w:r>
        <w:rPr>
          <w:rFonts w:hint="eastAsia"/>
        </w:rPr>
        <w:t>部</w:t>
      </w:r>
      <w:r>
        <w:t>门</w:t>
      </w:r>
      <w:r>
        <w:rPr>
          <w:rFonts w:hint="eastAsia"/>
        </w:rPr>
        <w:t>组织</w:t>
      </w:r>
      <w:r>
        <w:t>检查验收，并编制矿山坑报告</w:t>
      </w:r>
      <w:r>
        <w:rPr>
          <w:rFonts w:hint="eastAsia"/>
        </w:rPr>
        <w:t>。对于</w:t>
      </w:r>
      <w:r>
        <w:t>验收不合格的，应</w:t>
      </w:r>
      <w:r>
        <w:rPr>
          <w:rFonts w:hint="eastAsia"/>
        </w:rPr>
        <w:t>限期</w:t>
      </w:r>
      <w:r>
        <w:t>进行整改</w:t>
      </w:r>
      <w:r>
        <w:rPr>
          <w:rFonts w:hint="eastAsia"/>
        </w:rPr>
        <w:t>，</w:t>
      </w:r>
      <w:r>
        <w:t>并</w:t>
      </w:r>
      <w:r>
        <w:rPr>
          <w:rFonts w:hint="eastAsia"/>
        </w:rPr>
        <w:t>进</w:t>
      </w:r>
      <w:r>
        <w:t>行复查</w:t>
      </w:r>
      <w:r>
        <w:rPr>
          <w:rFonts w:hint="eastAsia"/>
        </w:rPr>
        <w:t>验收</w:t>
      </w:r>
      <w:r>
        <w:t>。</w:t>
      </w:r>
    </w:p>
    <w:p w14:paraId="33BAB9F5">
      <w:pPr>
        <w:pStyle w:val="3"/>
        <w:ind w:firstLine="723"/>
      </w:pPr>
      <w:bookmarkStart w:id="102" w:name="_Toc482798194"/>
      <w:r>
        <w:rPr>
          <w:rFonts w:hint="eastAsia"/>
        </w:rPr>
        <w:t>实施矿山地质环境治理重点项目</w:t>
      </w:r>
      <w:bookmarkEnd w:id="102"/>
    </w:p>
    <w:p w14:paraId="75925D07">
      <w:pPr>
        <w:ind w:firstLine="640"/>
      </w:pPr>
      <w:r>
        <w:rPr>
          <w:rFonts w:hint="eastAsia"/>
        </w:rPr>
        <w:t>优先治理对人民生命财产和重要基础设施造成威胁的矿山地质环境问题，优先治理自然保护区和风景名胜区内尤其是国家级自然保护区和风景名胜区内的历史遗留矿山，对矿山地质环境问题进行集中连片治理，统一规划、综合整治。加强矿山地质环境恢复治理技术研究与推广应用。开展矿山地质环境保护与恢复治理示范试点工作，优先安排技术先进、工艺可行、投入产出合理、治理效果显著的项目。矿山地质环境恢复治理项目必须严格按国家和行业技术标准进行设计和组织施工，加强对项目实施的监督检查，确保恢复治理质量，促进矿山地质环境明显改善。</w:t>
      </w:r>
    </w:p>
    <w:p w14:paraId="35E31602">
      <w:pPr>
        <w:ind w:firstLine="640"/>
      </w:pPr>
      <w:r>
        <w:rPr>
          <w:rFonts w:hint="eastAsia"/>
        </w:rPr>
        <w:t>全</w:t>
      </w:r>
      <w:r>
        <w:t>市共设3个</w:t>
      </w:r>
      <w:r>
        <w:rPr>
          <w:rFonts w:hint="eastAsia"/>
        </w:rPr>
        <w:t>矿山地质环境恢复治理重</w:t>
      </w:r>
      <w:r>
        <w:t>点</w:t>
      </w:r>
      <w:r>
        <w:rPr>
          <w:rFonts w:hint="eastAsia"/>
        </w:rPr>
        <w:t>项目，</w:t>
      </w:r>
      <w:r>
        <w:t>详见专栏13</w:t>
      </w:r>
      <w:r>
        <w:rPr>
          <w:rFonts w:hint="eastAsia"/>
        </w:rPr>
        <w:t>。</w:t>
      </w:r>
    </w:p>
    <w:p w14:paraId="5626B729">
      <w:pPr>
        <w:pStyle w:val="34"/>
        <w:spacing w:before="120"/>
      </w:pPr>
      <w:r>
        <w:rPr>
          <w:rFonts w:hint="eastAsia"/>
        </w:rPr>
        <w:t>专栏</w:t>
      </w:r>
      <w:r>
        <w:t>13</w:t>
      </w:r>
      <w:r>
        <w:rPr>
          <w:rFonts w:hint="eastAsia"/>
        </w:rPr>
        <w:t>　</w:t>
      </w:r>
      <w:r>
        <w:t>乐山市矿山地质环境重点治理项目</w:t>
      </w:r>
    </w:p>
    <w:tbl>
      <w:tblPr>
        <w:tblStyle w:val="1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5"/>
      </w:tblGrid>
      <w:tr w14:paraId="55B5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shd w:val="clear" w:color="auto" w:fill="auto"/>
          </w:tcPr>
          <w:p w14:paraId="08E389F1">
            <w:pPr>
              <w:pStyle w:val="37"/>
            </w:pPr>
            <w:r>
              <w:rPr>
                <w:rFonts w:hint="eastAsia"/>
              </w:rPr>
              <w:t>1、峨边五渡钾长石矿区</w:t>
            </w:r>
          </w:p>
          <w:p w14:paraId="1DA13270">
            <w:pPr>
              <w:pStyle w:val="37"/>
            </w:pPr>
            <w:r>
              <w:rPr>
                <w:rFonts w:hint="eastAsia"/>
              </w:rPr>
              <w:t>该矿区位于峨边彝族自治县五渡乡，设有多个采矿权和探矿权，已经开采多年。由于该矿区属于风化型花岗岩露天开采矿床，就地水洗筛选，不仅废渣堆积面积较大，而且由于邻近龚嘴电站库区，已经发生过废渣流入库区的事故。露采后的采场，几乎全为裸露的基岩或者废渣，基本无植被覆盖。</w:t>
            </w:r>
          </w:p>
          <w:p w14:paraId="50B215CD">
            <w:pPr>
              <w:pStyle w:val="37"/>
            </w:pPr>
            <w:r>
              <w:rPr>
                <w:rFonts w:hint="eastAsia"/>
              </w:rPr>
              <w:t>在2016－2020期间，推广坑土植树技术，对废弃矿场进行绿化。正在开采的矿区，必须边开采边绿化。争取在2020年采场绿化率达70%以上，其中独立的采空区绿化率达100%。</w:t>
            </w:r>
          </w:p>
          <w:p w14:paraId="525D54AA">
            <w:pPr>
              <w:pStyle w:val="37"/>
            </w:pPr>
            <w:r>
              <w:rPr>
                <w:rFonts w:hint="eastAsia"/>
              </w:rPr>
              <w:t>2、马边老河坝磷矿区</w:t>
            </w:r>
          </w:p>
          <w:p w14:paraId="5D90E3CE">
            <w:pPr>
              <w:pStyle w:val="37"/>
            </w:pPr>
            <w:r>
              <w:rPr>
                <w:rFonts w:hint="eastAsia"/>
              </w:rPr>
              <w:t>该矿区在上世纪80年代就已经开始进行开采，设有多个采矿权。2007年经过兼并重组，原多个小矿山整合为3个大中型矿山。由于在上世纪80－90年代，这些小矿山多是露天开采地表风化型富矿，造成大量剥土及顶板岩石沿坡堆积，已经发生过几次泥石流灾害，损坏公路，堵塞河道。</w:t>
            </w:r>
          </w:p>
          <w:p w14:paraId="77E18BC6">
            <w:pPr>
              <w:pStyle w:val="37"/>
            </w:pPr>
            <w:r>
              <w:rPr>
                <w:rFonts w:hint="eastAsia"/>
              </w:rPr>
              <w:t>在2016－2020期间，对该区废弃渣场和矿场进行防灾治理工作，消除地灾隐患，并进行绿化。正在开采的矿区，必须边开采边绿化。争取在2020年地灾隐患区治理率80%以上，废弃渣场和采场绿化率达100%。</w:t>
            </w:r>
          </w:p>
          <w:p w14:paraId="3816F207">
            <w:pPr>
              <w:pStyle w:val="37"/>
            </w:pPr>
            <w:r>
              <w:rPr>
                <w:rFonts w:hint="eastAsia"/>
              </w:rPr>
              <w:t>3、峨眉山水泥用石灰岩矿区</w:t>
            </w:r>
          </w:p>
          <w:p w14:paraId="31E75B90">
            <w:pPr>
              <w:pStyle w:val="37"/>
            </w:pPr>
            <w:r>
              <w:rPr>
                <w:rFonts w:hint="eastAsia"/>
              </w:rPr>
              <w:t>该</w:t>
            </w:r>
            <w:r>
              <w:t>矿区为峨眉山水泥生产基地的主要原</w:t>
            </w:r>
            <w:r>
              <w:rPr>
                <w:rFonts w:hint="eastAsia"/>
              </w:rPr>
              <w:t>料供给</w:t>
            </w:r>
            <w:r>
              <w:t>地，含3个</w:t>
            </w:r>
            <w:r>
              <w:rPr>
                <w:rFonts w:hint="eastAsia"/>
              </w:rPr>
              <w:t>大</w:t>
            </w:r>
            <w:r>
              <w:t>型矿</w:t>
            </w:r>
            <w:r>
              <w:rPr>
                <w:rFonts w:hint="eastAsia"/>
              </w:rPr>
              <w:t>山</w:t>
            </w:r>
            <w:r>
              <w:t>和若干</w:t>
            </w:r>
            <w:r>
              <w:rPr>
                <w:rFonts w:hint="eastAsia"/>
              </w:rPr>
              <w:t>个</w:t>
            </w:r>
            <w:r>
              <w:t>中小型矿山，均为露天开采</w:t>
            </w:r>
            <w:r>
              <w:rPr>
                <w:rFonts w:hint="eastAsia"/>
              </w:rPr>
              <w:t>。</w:t>
            </w:r>
          </w:p>
          <w:p w14:paraId="64CF4523">
            <w:pPr>
              <w:pStyle w:val="37"/>
            </w:pPr>
            <w:r>
              <w:rPr>
                <w:rFonts w:hint="eastAsia"/>
              </w:rPr>
              <w:t>在2016－2020期间，对该区废弃渣场和矿场进行防灾治理工作，消除地灾隐患，并进行绿化。正在开采的矿区，必须边开采边绿化。争取在2020年地灾隐患区治理率80%以上，废弃渣场和采场绿化率达100%。</w:t>
            </w:r>
          </w:p>
        </w:tc>
      </w:tr>
    </w:tbl>
    <w:p w14:paraId="7AB70309">
      <w:pPr>
        <w:pStyle w:val="3"/>
        <w:ind w:firstLine="723"/>
      </w:pPr>
      <w:bookmarkStart w:id="103" w:name="_Toc482798195"/>
      <w:r>
        <w:rPr>
          <w:rFonts w:hint="eastAsia"/>
        </w:rPr>
        <w:t>创新矿山地质环境治理恢复工作机制</w:t>
      </w:r>
      <w:bookmarkEnd w:id="103"/>
    </w:p>
    <w:p w14:paraId="38ABD4BD">
      <w:pPr>
        <w:pStyle w:val="4"/>
        <w:ind w:firstLine="643"/>
      </w:pPr>
      <w:bookmarkStart w:id="104" w:name="_Toc482798196"/>
      <w:r>
        <w:rPr>
          <w:rFonts w:hint="eastAsia"/>
        </w:rPr>
        <w:t>严格矿山环境保护和准入要求</w:t>
      </w:r>
      <w:bookmarkEnd w:id="104"/>
    </w:p>
    <w:p w14:paraId="11A962BF">
      <w:pPr>
        <w:ind w:firstLine="640"/>
      </w:pPr>
      <w:r>
        <w:rPr>
          <w:rFonts w:hint="eastAsia"/>
        </w:rPr>
        <w:t>新建、改扩建矿山必须交纳矿山环境治理恢复保证金，编制矿山地质环境保护与治理恢复方案、土地复垦实施方案、地质灾害防治方案，制订矿山环境保护的目标任务、措施和资金预算等，提交经有关部门批准的规划论证材料和绿色矿山建设承诺书。进一步完善矿山建设项目环境影响评价的指标体系和标准，禁止新建对环境产生不可恢复的矿产资源开采项目。</w:t>
      </w:r>
    </w:p>
    <w:p w14:paraId="210202BD">
      <w:pPr>
        <w:ind w:firstLine="640"/>
      </w:pPr>
      <w:r>
        <w:rPr>
          <w:rFonts w:hint="eastAsia"/>
        </w:rPr>
        <w:t>严格矿产资源开发利用的土地复垦准入管理。严格落实矿区土地复垦方案审查制度，新建(改、扩建)矿山项目没有土地复垦方案不予受理采矿权申请。严格实施矿区土地复垦方案，采取有效措施，最大限度减少破坏土地面积、降低破坏程度，切实保护耕地特别是基本农田。努力实现边开采、边保护、边复垦。建立矿区土地复垦监管和监测制度，将矿区土地复垦任务完成情况纳入矿山企业年检内容，未完成土地复垦任务的矿山企业不予通过年检。</w:t>
      </w:r>
    </w:p>
    <w:p w14:paraId="0198048A">
      <w:pPr>
        <w:pStyle w:val="4"/>
        <w:ind w:firstLine="643"/>
      </w:pPr>
      <w:bookmarkStart w:id="105" w:name="_Toc482798197"/>
      <w:r>
        <w:rPr>
          <w:rFonts w:hint="eastAsia"/>
        </w:rPr>
        <w:t>加强对生产矿山地质环境保护的监督管理</w:t>
      </w:r>
      <w:bookmarkEnd w:id="105"/>
    </w:p>
    <w:p w14:paraId="45C80E73">
      <w:pPr>
        <w:ind w:firstLine="640"/>
      </w:pPr>
      <w:r>
        <w:rPr>
          <w:rFonts w:hint="eastAsia"/>
        </w:rPr>
        <w:t>制定完善矿山地质环境保护与恢复治理等技术规范和标准。预防为主、防治结合，将矿山地质环境保护与恢复治理目标纳入矿山企业年度检查重要内容，加强矿山生产过程中对地质环境破坏的控制。对造成矿山地质环境严重破坏的，责令限期整改，逾期整改不达标的予以关闭。</w:t>
      </w:r>
    </w:p>
    <w:p w14:paraId="05C2CCBD">
      <w:pPr>
        <w:pStyle w:val="4"/>
        <w:ind w:firstLine="643"/>
      </w:pPr>
      <w:bookmarkStart w:id="106" w:name="_Toc482798198"/>
      <w:r>
        <w:rPr>
          <w:rFonts w:hint="eastAsia"/>
        </w:rPr>
        <w:t>积极开展矿区土地复垦</w:t>
      </w:r>
      <w:bookmarkEnd w:id="106"/>
    </w:p>
    <w:p w14:paraId="001D9646">
      <w:pPr>
        <w:ind w:firstLine="640"/>
      </w:pPr>
      <w:r>
        <w:rPr>
          <w:rFonts w:hint="eastAsia"/>
        </w:rPr>
        <w:t>加强矿区土地复垦权属管理，明确矿区复垦土地使用权，在优先安排农业利用的前提下，鼓励多用途使用。对历史遗留矿山废弃土地，逐步建立以政府资金为引导的“谁投资、谁受益”的土地复垦多元化投入融资渠道，鼓励各方力量开展矿区土地复垦。继续开展工矿废弃地复垦利用试点，</w:t>
      </w:r>
      <w:r>
        <w:t>复垦后的土地不改变农业用途，</w:t>
      </w:r>
      <w:r>
        <w:rPr>
          <w:rFonts w:hint="eastAsia"/>
        </w:rPr>
        <w:t>质量</w:t>
      </w:r>
      <w:r>
        <w:t>应达到《土地复垦质量控制标准》和国家土壤环境质量有关标准。</w:t>
      </w:r>
      <w:r>
        <w:rPr>
          <w:rFonts w:hint="eastAsia"/>
        </w:rPr>
        <w:t>坚持山、水、田、林、</w:t>
      </w:r>
      <w:r>
        <w:t>湖</w:t>
      </w:r>
      <w:r>
        <w:rPr>
          <w:rFonts w:hint="eastAsia"/>
        </w:rPr>
        <w:t>综合整治，优先复垦为耕地，确保耕地面积不减少、质量有提高。对新建和生产矿山，坚持“谁破坏、谁复垦”，依法落实业主土地复垦责任，建立并推进矿区土地复垦费征收使用管理制度，促进开采造成破坏的土地全面得到复垦利用。</w:t>
      </w:r>
      <w:bookmarkStart w:id="107" w:name="_Toc453684677"/>
    </w:p>
    <w:p w14:paraId="2A96A4B7">
      <w:pPr>
        <w:pStyle w:val="4"/>
        <w:ind w:firstLine="643"/>
      </w:pPr>
      <w:bookmarkStart w:id="108" w:name="_Toc482798199"/>
      <w:r>
        <w:rPr>
          <w:rFonts w:hint="eastAsia"/>
        </w:rPr>
        <w:t>加强矿山地质环境调查与监测</w:t>
      </w:r>
      <w:bookmarkEnd w:id="108"/>
    </w:p>
    <w:p w14:paraId="3456BD14">
      <w:pPr>
        <w:ind w:firstLine="640"/>
      </w:pPr>
      <w:r>
        <w:rPr>
          <w:rFonts w:hint="eastAsia"/>
        </w:rPr>
        <w:t>进一步健全并实行政府主导、矿山企业配合、社会参与的矿山地质环境调查评价制度，组织开展大中比例尺矿山地质环境调查评价。对废弃老矿山、关停闭矿山、生产矿山和改扩建矿山的地质环境现状进行全面调查，查明矿区生态破坏情况、土地占压面积、危岩、滑坡、崩塌、泥石流等地灾隐患及其严重程度、“三废”排放和水土及空气污染情况，分析存在问题及其变化趋势，评估和划分矿山地质环境治理重点区域，提出恢复矿山环境的建议或对策措施，因地制宜地开展矿山环境保护与恢复治理。</w:t>
      </w:r>
    </w:p>
    <w:p w14:paraId="7870BDBB">
      <w:pPr>
        <w:pStyle w:val="4"/>
        <w:ind w:firstLine="643"/>
      </w:pPr>
      <w:bookmarkStart w:id="109" w:name="_Toc479584523"/>
      <w:bookmarkStart w:id="110" w:name="_Toc482798200"/>
      <w:r>
        <w:rPr>
          <w:rFonts w:hint="eastAsia"/>
        </w:rPr>
        <w:t>建立矿山恢复治理的长效机制</w:t>
      </w:r>
      <w:bookmarkEnd w:id="107"/>
      <w:bookmarkEnd w:id="109"/>
      <w:bookmarkEnd w:id="110"/>
    </w:p>
    <w:p w14:paraId="22BB09D2">
      <w:pPr>
        <w:ind w:firstLine="640"/>
      </w:pPr>
      <w:r>
        <w:rPr>
          <w:rFonts w:hint="eastAsia"/>
        </w:rPr>
        <w:t>完善矿山地质环境恢复治理保证金制度，强化保证金收取和使用，切实做到企业所有、政府监管、专款专用。严格执行矿山地质环境保护与恢复治理等技术规范和标准，确保恢复治理工程质量。逐步建立矿山地质环境责任追究制度，构建源头预防、过程控制、损害赔偿、责任追究的制度体系。充分发挥国家财政补贴政策对引导社会资本投入矿山地质环境恢复治理的约束和导向作用，建立矿山地质环境恢复治理收益回报机制，鼓励更多企业参与矿山地质环境恢复治理。</w:t>
      </w:r>
    </w:p>
    <w:p w14:paraId="19867292">
      <w:pPr>
        <w:widowControl/>
        <w:adjustRightInd/>
        <w:snapToGrid/>
        <w:spacing w:line="240" w:lineRule="auto"/>
        <w:ind w:firstLine="0" w:firstLineChars="0"/>
        <w:jc w:val="left"/>
      </w:pPr>
      <w:r>
        <w:br w:type="page"/>
      </w:r>
    </w:p>
    <w:p w14:paraId="21CF883B">
      <w:pPr>
        <w:ind w:firstLine="640"/>
      </w:pPr>
    </w:p>
    <w:p w14:paraId="23DDA5F5">
      <w:pPr>
        <w:pStyle w:val="2"/>
        <w:rPr>
          <w:kern w:val="0"/>
        </w:rPr>
      </w:pPr>
      <w:bookmarkStart w:id="111" w:name="_Toc482798201"/>
      <w:r>
        <w:rPr>
          <w:rFonts w:hint="eastAsia"/>
          <w:kern w:val="0"/>
        </w:rPr>
        <w:t>积极发展绿色矿业</w:t>
      </w:r>
      <w:bookmarkEnd w:id="111"/>
    </w:p>
    <w:p w14:paraId="1B5C93B4">
      <w:pPr>
        <w:pStyle w:val="3"/>
        <w:ind w:firstLine="723"/>
      </w:pPr>
      <w:bookmarkStart w:id="112" w:name="_Toc482798202"/>
      <w:r>
        <w:rPr>
          <w:rFonts w:hint="eastAsia"/>
        </w:rPr>
        <w:t>加快推进绿色矿山建设</w:t>
      </w:r>
      <w:bookmarkEnd w:id="112"/>
    </w:p>
    <w:p w14:paraId="0CFFFAF6">
      <w:pPr>
        <w:ind w:firstLine="640"/>
      </w:pPr>
      <w:r>
        <w:rPr>
          <w:rFonts w:hint="eastAsia"/>
        </w:rPr>
        <w:t>党的十八大 “绿色化”发展要求在“新型工业化、城镇化、信息化、农业现代化”中加入“绿色化”，使原来的“四化同步”变为“五化协同”发展，矿产资源规划必须坚持生态环境保护优先的原则，把生态文明建设放在突出地位，纳入“五位一体”总</w:t>
      </w:r>
      <w:r>
        <w:rPr>
          <w:rFonts w:hint="eastAsia"/>
          <w:lang w:val="en-US" w:eastAsia="zh-CN"/>
        </w:rPr>
        <w:t>体</w:t>
      </w:r>
      <w:r>
        <w:rPr>
          <w:rFonts w:hint="eastAsia"/>
        </w:rPr>
        <w:t>布局，统筹协调资源开发与环境保护关系。大力发展绿色矿业，建设绿色矿山，实现资源安全和生态安全的双重保障，遵循习主席 “既要金山银山，也要绿水青山，宁要绿水青山，不要金山银山”的绿色发展理念。</w:t>
      </w:r>
    </w:p>
    <w:p w14:paraId="60157F95">
      <w:pPr>
        <w:ind w:firstLine="640"/>
      </w:pPr>
      <w:r>
        <w:rPr>
          <w:rFonts w:hint="eastAsia"/>
        </w:rPr>
        <w:t>组织符合条件的大中型矿山积极申报国家级绿色矿山试点，参照国家级绿色矿山建设标准，引导新建矿山按照绿色矿山标准进行规划、设计和建设，督促生产矿山改进开发利用方式，逐步建成符合条件的绿色矿山，全市绿色矿山的数量和比例逐年提高，到2020年，大中型矿山基本达到绿色矿山标准，小型矿山企业绿色矿山的比例达到50%以上。</w:t>
      </w:r>
    </w:p>
    <w:p w14:paraId="4767755A">
      <w:pPr>
        <w:ind w:firstLine="640"/>
      </w:pPr>
      <w:r>
        <w:rPr>
          <w:rFonts w:hint="eastAsia"/>
        </w:rPr>
        <w:t>加快绿色矿业发展示范区建设。选择矿产资源和矿山企业相对集中的地区，探索建立一批绿色矿业发展示范区，集中连片、由点到面，整体推进绿色矿业发展。绿色矿业发展示范区建设主要任务包括推动矿业布局结构优化调整，进一步提升矿业发展质量、延伸产业链条、优化升级产业结构，全面推进绿色矿山建设，完善资源开发利益合理分配机制，构建符合生态文明要求的、适应市场经济规则的绿色矿业开发运行机制和管理制度。</w:t>
      </w:r>
    </w:p>
    <w:p w14:paraId="21A894D4">
      <w:pPr>
        <w:ind w:firstLine="640"/>
      </w:pPr>
      <w:r>
        <w:rPr>
          <w:rFonts w:hint="eastAsia"/>
        </w:rPr>
        <w:t>建立绿色矿山激励约束机制。积极协调相关部门，全面落实已有相关优惠政策，充分运用经济、行政等手段，形成有利于促进资源合理利用、节能减排和保护环境的政策措施和制度。加大危机矿山接替资源勘查、矿山地质环境治理恢复等财政资金向绿色矿山企业的倾斜和支持力度，对绿色矿山企业依法优先配置资源和提供用地，通过加大财税政策支持力度，激励企业高效利用资源。加强政策约束和引导，鼓励矿山企业加大科技投入，加强技术改造，同时按照负面清单要求，淘汰矿山企业落后技术和产能。</w:t>
      </w:r>
    </w:p>
    <w:p w14:paraId="6233FAB6">
      <w:pPr>
        <w:pStyle w:val="3"/>
        <w:ind w:firstLine="723"/>
      </w:pPr>
      <w:bookmarkStart w:id="113" w:name="_Toc482798203"/>
      <w:r>
        <w:rPr>
          <w:rFonts w:hint="eastAsia"/>
        </w:rPr>
        <w:t>建设绿色矿业发展示范区</w:t>
      </w:r>
      <w:bookmarkEnd w:id="113"/>
    </w:p>
    <w:p w14:paraId="7E0FBD4C">
      <w:pPr>
        <w:ind w:firstLine="640"/>
      </w:pPr>
      <w:r>
        <w:rPr>
          <w:rFonts w:hint="eastAsia"/>
        </w:rPr>
        <w:t>首先要建立上下联动的考核机制，以县、市级绿色矿山建设为主体，将发展绿色矿业的目标任务分解落实到各级政府、主管部门和矿山企业；其次是理顺横向关系，为发展绿色矿业创造有利环境；三是大力推进绿色矿业示范企业、示范矿集区、示范矿业城市的建设，以先进典型带动全市矿业全面铺开；四是实行绿色矿业审查准入制度，提倡无痕开采、造景式开采，将生态环境修复和改善民生等费用纳入矿山建设生产成本进行核算，确保闭坑后交还农民的土地可持续利用且具有较高收益；五是落实发展绿色矿业的激励机制，鼓励先进，惩戒落后；六是建设与发展绿色矿业相适应的科技支撑体系。</w:t>
      </w:r>
    </w:p>
    <w:p w14:paraId="016A2A26">
      <w:pPr>
        <w:pStyle w:val="4"/>
        <w:ind w:firstLine="643"/>
      </w:pPr>
      <w:bookmarkStart w:id="114" w:name="_Toc482798204"/>
      <w:r>
        <w:rPr>
          <w:rFonts w:hint="eastAsia"/>
        </w:rPr>
        <w:t>绿色矿业发展示范区</w:t>
      </w:r>
      <w:bookmarkEnd w:id="114"/>
    </w:p>
    <w:p w14:paraId="5FC26C38">
      <w:pPr>
        <w:ind w:firstLine="640"/>
      </w:pPr>
      <w:r>
        <w:rPr>
          <w:rFonts w:hint="eastAsia"/>
        </w:rPr>
        <w:t>在201</w:t>
      </w:r>
      <w:r>
        <w:t>7</w:t>
      </w:r>
      <w:r>
        <w:rPr>
          <w:rFonts w:hint="eastAsia"/>
        </w:rPr>
        <w:t>-20</w:t>
      </w:r>
      <w:r>
        <w:t>20</w:t>
      </w:r>
      <w:r>
        <w:rPr>
          <w:rFonts w:hint="eastAsia"/>
        </w:rPr>
        <w:t>期间，开展</w:t>
      </w:r>
      <w:r>
        <w:rPr>
          <w:rFonts w:hint="eastAsia"/>
        </w:rPr>
        <w:tab/>
      </w:r>
      <w:r>
        <w:rPr>
          <w:rFonts w:hint="eastAsia"/>
        </w:rPr>
        <w:t>峨眉山水泥用石灰岩矿区的绿色矿业试点工作，引导该矿区成立矿业协会并吸收所有水泥</w:t>
      </w:r>
      <w:r>
        <w:t>用</w:t>
      </w:r>
      <w:r>
        <w:rPr>
          <w:rFonts w:hint="eastAsia"/>
        </w:rPr>
        <w:t>石灰</w:t>
      </w:r>
      <w:r>
        <w:t>岩</w:t>
      </w:r>
      <w:r>
        <w:rPr>
          <w:rFonts w:hint="eastAsia"/>
        </w:rPr>
        <w:t>开采加工企业加入协会，以协会为龙头，按绿色矿山有关要求将规划目标分解到各企业，推广坑土植树技术，对废弃矿场进行绿化。正在开采的矿区，必须边开采边绿化。在2016－2020期间，对该区废弃渣场和矿场进行防灾治理工作，消除地灾隐患，并进行绿化。正在开采的矿区，必须边开采边绿化。争取在2020年地灾隐患区治理率80%以上，废弃渣场和采场绿化率达100%。</w:t>
      </w:r>
    </w:p>
    <w:p w14:paraId="13B40450">
      <w:pPr>
        <w:pStyle w:val="4"/>
        <w:ind w:firstLine="643"/>
      </w:pPr>
      <w:bookmarkStart w:id="115" w:name="_Toc482798205"/>
      <w:r>
        <w:rPr>
          <w:rFonts w:hint="eastAsia"/>
        </w:rPr>
        <w:t>建设目标及进度安排</w:t>
      </w:r>
      <w:bookmarkEnd w:id="115"/>
    </w:p>
    <w:p w14:paraId="5EC9B355">
      <w:pPr>
        <w:ind w:firstLine="640"/>
      </w:pPr>
      <w:r>
        <w:t>2017</w:t>
      </w:r>
      <w:r>
        <w:rPr>
          <w:rFonts w:hint="eastAsia"/>
        </w:rPr>
        <w:t>－</w:t>
      </w:r>
      <w:r>
        <w:t>2020年，完成</w:t>
      </w:r>
      <w:r>
        <w:rPr>
          <w:rFonts w:hint="eastAsia"/>
        </w:rPr>
        <w:t>峨眉山水泥用石灰岩矿区的绿色矿业试</w:t>
      </w:r>
      <w:r>
        <w:t>点建设工作。</w:t>
      </w:r>
    </w:p>
    <w:p w14:paraId="67FD9265">
      <w:pPr>
        <w:ind w:firstLine="640"/>
      </w:pPr>
      <w:r>
        <w:rPr>
          <w:rFonts w:hint="eastAsia"/>
        </w:rPr>
        <w:t>20</w:t>
      </w:r>
      <w:r>
        <w:t>20</w:t>
      </w:r>
      <w:r>
        <w:rPr>
          <w:rFonts w:hint="eastAsia"/>
        </w:rPr>
        <w:t>－2025年，全市境内所有矿山都必须按国家、省、市规划要求，全面开展绿色矿山建设工作。全市绿色矿山的数量和比例逐年提高，到2020年，大中型矿山基本达到绿色矿山标准，小型矿山企业绿色矿山的比例达到50%以上。</w:t>
      </w:r>
    </w:p>
    <w:p w14:paraId="245A5E1E">
      <w:pPr>
        <w:pStyle w:val="4"/>
        <w:ind w:firstLine="643"/>
      </w:pPr>
      <w:bookmarkStart w:id="116" w:name="_Toc482798206"/>
      <w:r>
        <w:rPr>
          <w:rFonts w:hint="eastAsia"/>
        </w:rPr>
        <w:t>绿色矿山的基本条件</w:t>
      </w:r>
      <w:bookmarkEnd w:id="116"/>
    </w:p>
    <w:p w14:paraId="65F0CAB8">
      <w:pPr>
        <w:ind w:firstLine="640"/>
      </w:pPr>
      <w:r>
        <w:rPr>
          <w:rFonts w:hint="eastAsia"/>
        </w:rPr>
        <w:t>(1)矿山企业证照齐全，遵守国家法律法规，诚信经营；</w:t>
      </w:r>
    </w:p>
    <w:p w14:paraId="60B318D8">
      <w:pPr>
        <w:ind w:firstLine="640"/>
      </w:pPr>
      <w:r>
        <w:rPr>
          <w:rFonts w:hint="eastAsia"/>
        </w:rPr>
        <w:t>(2)开采规模和服务年限达到低要求，正常开采</w:t>
      </w:r>
      <w:r>
        <w:t>5</w:t>
      </w:r>
      <w:r>
        <w:rPr>
          <w:rFonts w:hint="eastAsia"/>
        </w:rPr>
        <w:t xml:space="preserve">年以上； </w:t>
      </w:r>
    </w:p>
    <w:p w14:paraId="500B65BC">
      <w:pPr>
        <w:ind w:firstLine="640"/>
      </w:pPr>
      <w:r>
        <w:rPr>
          <w:rFonts w:hint="eastAsia"/>
        </w:rPr>
        <w:t>(3)两年以上未发生较大的安全事故、未受到监管部门较大处罚；</w:t>
      </w:r>
    </w:p>
    <w:p w14:paraId="2370C650">
      <w:pPr>
        <w:ind w:firstLine="640"/>
      </w:pPr>
      <w:r>
        <w:rPr>
          <w:rFonts w:hint="eastAsia"/>
        </w:rPr>
        <w:t>(4) “三率”高于最低标准、“三废”达标排放或无污排放；</w:t>
      </w:r>
    </w:p>
    <w:p w14:paraId="0C3A6775">
      <w:pPr>
        <w:ind w:firstLine="640"/>
      </w:pPr>
      <w:r>
        <w:rPr>
          <w:rFonts w:hint="eastAsia"/>
        </w:rPr>
        <w:t>(5)矿区生态保持好、土地占压少、与矿区周边居民关系和谐。</w:t>
      </w:r>
    </w:p>
    <w:p w14:paraId="14A7522B">
      <w:pPr>
        <w:pStyle w:val="4"/>
        <w:ind w:firstLine="643"/>
      </w:pPr>
      <w:bookmarkStart w:id="117" w:name="_Toc482798207"/>
      <w:r>
        <w:rPr>
          <w:rFonts w:hint="eastAsia"/>
        </w:rPr>
        <w:t>绿色矿山的具体要求</w:t>
      </w:r>
      <w:bookmarkEnd w:id="117"/>
    </w:p>
    <w:p w14:paraId="1493B7BB">
      <w:pPr>
        <w:ind w:firstLine="640"/>
      </w:pPr>
      <w:r>
        <w:rPr>
          <w:rFonts w:hint="eastAsia"/>
        </w:rPr>
        <w:t>(1)资源利用集约化：资源利用率较高，居全市先进水平。</w:t>
      </w:r>
    </w:p>
    <w:p w14:paraId="6D0A6D09">
      <w:pPr>
        <w:ind w:firstLine="640"/>
      </w:pPr>
      <w:r>
        <w:rPr>
          <w:rFonts w:hint="eastAsia"/>
        </w:rPr>
        <w:t>(2)开采方式科学化 ：开采方式科学先进，全市领先；</w:t>
      </w:r>
    </w:p>
    <w:p w14:paraId="2A6EA165">
      <w:pPr>
        <w:ind w:firstLine="640"/>
      </w:pPr>
      <w:r>
        <w:rPr>
          <w:rFonts w:hint="eastAsia"/>
        </w:rPr>
        <w:t xml:space="preserve">(3)生产工艺环保化 ：采选冶及加工过程达到清洁要求，“三废”及粉尘、噪声、震动等“三害”达标排放，全市领先。 </w:t>
      </w:r>
    </w:p>
    <w:p w14:paraId="730DF8DC">
      <w:pPr>
        <w:ind w:firstLine="640"/>
      </w:pPr>
      <w:r>
        <w:rPr>
          <w:rFonts w:hint="eastAsia"/>
        </w:rPr>
        <w:t>(</w:t>
      </w:r>
      <w:r>
        <w:t>4</w:t>
      </w:r>
      <w:r>
        <w:rPr>
          <w:rFonts w:hint="eastAsia"/>
        </w:rPr>
        <w:t>)企业管理规范化：体系健全，制度完善，责任落实，全市领先。</w:t>
      </w:r>
    </w:p>
    <w:p w14:paraId="1B738E8B">
      <w:pPr>
        <w:ind w:firstLine="640"/>
      </w:pPr>
      <w:r>
        <w:rPr>
          <w:rFonts w:hint="eastAsia"/>
        </w:rPr>
        <w:t>(5)闭坑矿区生态化 ：有完备的矿山闭坑方案和资金保障。</w:t>
      </w:r>
    </w:p>
    <w:p w14:paraId="73E33D03">
      <w:pPr>
        <w:pStyle w:val="4"/>
        <w:ind w:firstLine="643"/>
      </w:pPr>
      <w:bookmarkStart w:id="118" w:name="_Toc482798208"/>
      <w:r>
        <w:rPr>
          <w:rFonts w:hint="eastAsia"/>
        </w:rPr>
        <w:t>营造良好的政策环境</w:t>
      </w:r>
      <w:bookmarkEnd w:id="118"/>
    </w:p>
    <w:p w14:paraId="26BD4C30">
      <w:pPr>
        <w:ind w:firstLine="640"/>
      </w:pPr>
      <w:r>
        <w:rPr>
          <w:rFonts w:hint="eastAsia"/>
        </w:rPr>
        <w:t xml:space="preserve">制定有利于绿色矿山建设的资源配置制度。在资源配置和矿业用地等方面向达到绿色矿山条件的企业倾斜，依法优先配置资源和提供用地，以鼓励企业做大做强和做好绿色矿山示范带头作用，积极为繁荣地方经济、建设和谐矿区做出贡献。 </w:t>
      </w:r>
    </w:p>
    <w:p w14:paraId="6AFAD04E">
      <w:pPr>
        <w:ind w:firstLine="640"/>
      </w:pPr>
      <w:r>
        <w:rPr>
          <w:rFonts w:hint="eastAsia"/>
        </w:rPr>
        <w:t>逐步完善税费等经济政策。全面落实资源综合利用、矿山环境保护、节能减排等已有相关优惠政策，以资源税费改革和税费减免，促成矿山企业资源消耗的自我约束机制。建立和完善资源综合利用税费减免制度，逐步形成与法律制度相衔接的向绿色矿山企业倾斜的经济政策体系。</w:t>
      </w:r>
    </w:p>
    <w:p w14:paraId="140D27C9">
      <w:pPr>
        <w:widowControl/>
        <w:adjustRightInd/>
        <w:snapToGrid/>
        <w:spacing w:line="240" w:lineRule="auto"/>
        <w:ind w:firstLine="0" w:firstLineChars="0"/>
        <w:jc w:val="left"/>
      </w:pPr>
      <w:r>
        <w:br w:type="page"/>
      </w:r>
    </w:p>
    <w:p w14:paraId="4C134ED7">
      <w:pPr>
        <w:ind w:firstLine="640"/>
      </w:pPr>
    </w:p>
    <w:p w14:paraId="7CFF421B">
      <w:pPr>
        <w:pStyle w:val="2"/>
        <w:rPr>
          <w:kern w:val="0"/>
        </w:rPr>
      </w:pPr>
      <w:bookmarkStart w:id="119" w:name="_Toc482798209"/>
      <w:r>
        <w:rPr>
          <w:rFonts w:hint="eastAsia"/>
          <w:kern w:val="0"/>
        </w:rPr>
        <w:t>矿业权设置区划及监督管理</w:t>
      </w:r>
      <w:bookmarkEnd w:id="119"/>
    </w:p>
    <w:p w14:paraId="4C508FB6">
      <w:pPr>
        <w:pStyle w:val="3"/>
        <w:ind w:firstLine="723"/>
      </w:pPr>
      <w:bookmarkStart w:id="120" w:name="_Toc482798210"/>
      <w:r>
        <w:rPr>
          <w:rFonts w:hint="eastAsia"/>
        </w:rPr>
        <w:t>探矿权设置区划</w:t>
      </w:r>
      <w:bookmarkEnd w:id="120"/>
    </w:p>
    <w:p w14:paraId="1C694C5A">
      <w:pPr>
        <w:ind w:firstLine="640"/>
      </w:pPr>
      <w:r>
        <w:rPr>
          <w:rFonts w:hint="eastAsia"/>
        </w:rPr>
        <w:t>区块划分遵循有利于科学合理地勘查、开采和保护矿产资源的原则，在充分考虑已知勘查信息、勘查程度、自然地理条件、已设矿业权的影响和规划布局要求的基础上，划定勘查规划区块。在重点找矿靶区、大型矿山外围及深部地区，勘查规划区块划分坚持整体勘查的原则。新划定的勘查规划区块勘查程度不得低于原有工作程度。严格控制限制勘查区内勘查规划区块划分总量，保护资源和生态环境。限制勘查区内新设立矿产资源勘查项目或新设探矿权必须经过严格的地质环境影响评价并经相关行政主管部门审核同意，已设立探矿权的矿产勘查项目在勘查过程中要切实做好地质环境评价和环境保护工作，确保生态环境不受破坏。</w:t>
      </w:r>
    </w:p>
    <w:p w14:paraId="54ED83ED">
      <w:pPr>
        <w:ind w:firstLine="640"/>
      </w:pPr>
      <w:r>
        <w:rPr>
          <w:rFonts w:hint="eastAsia"/>
        </w:rPr>
        <w:t>全市范围内在9个规划勘查区和12个限制勘查区内共划分勘查区块137个，其中保留77个,调整4个,空白区新设56个。勘查的主要矿种有：磷、煤、铅、锌、铜、锰、铼、硫铁矿、长石、石膏、方解石、石灰岩、砂岩、水泥配料用砂岩、陶瓷土、伊利石粘土、优质玄武岩、地热等。详见附表5《乐山市主要矿产资源探矿权设置区划表》。</w:t>
      </w:r>
    </w:p>
    <w:p w14:paraId="3D7F3356">
      <w:pPr>
        <w:pStyle w:val="4"/>
        <w:ind w:firstLine="643"/>
      </w:pPr>
      <w:bookmarkStart w:id="121" w:name="_Toc482798211"/>
      <w:r>
        <w:rPr>
          <w:rFonts w:hint="eastAsia"/>
        </w:rPr>
        <w:t>探矿权准入条件</w:t>
      </w:r>
      <w:bookmarkEnd w:id="121"/>
    </w:p>
    <w:p w14:paraId="0E546C98">
      <w:pPr>
        <w:ind w:firstLine="640"/>
      </w:pPr>
      <w:r>
        <w:rPr>
          <w:rFonts w:hint="eastAsia"/>
        </w:rPr>
        <w:t>按照“公益先行、商业跟进、基金衔接、整装勘查、快速突破”的地质找矿新机制和“系统规划、整装勘查、合理配置、有序投放、综合利用”的原则，确定探矿权人。</w:t>
      </w:r>
    </w:p>
    <w:p w14:paraId="40845A5B">
      <w:pPr>
        <w:ind w:firstLine="640"/>
      </w:pPr>
      <w:r>
        <w:rPr>
          <w:rFonts w:hint="eastAsia"/>
        </w:rPr>
        <w:t>(1)勘查的矿种和区域应符合国家产业政策和规划要求，凡不符合规划要求的，不得新设、变更、延续和转让探矿权。</w:t>
      </w:r>
    </w:p>
    <w:p w14:paraId="28D81732">
      <w:pPr>
        <w:ind w:firstLine="640"/>
      </w:pPr>
      <w:r>
        <w:rPr>
          <w:rFonts w:hint="eastAsia"/>
        </w:rPr>
        <w:t>(2)在限制勘查区申请探矿权的，必须经过有关专家论证后，依法取得探矿权。</w:t>
      </w:r>
    </w:p>
    <w:p w14:paraId="25A547AD">
      <w:pPr>
        <w:ind w:firstLine="640"/>
      </w:pPr>
      <w:r>
        <w:rPr>
          <w:rFonts w:hint="eastAsia"/>
        </w:rPr>
        <w:t>(3)探矿权人或委托的勘查单位必须具备矿产资源勘查工作所需的相应等级勘查资质和勘查资金。</w:t>
      </w:r>
    </w:p>
    <w:p w14:paraId="78D944FF">
      <w:pPr>
        <w:ind w:firstLine="640"/>
      </w:pPr>
      <w:r>
        <w:rPr>
          <w:rFonts w:hint="eastAsia"/>
        </w:rPr>
        <w:t>(4)凡有违法违规行为或被处罚的探矿权人申请新探矿权等必须严格限制。</w:t>
      </w:r>
    </w:p>
    <w:p w14:paraId="7064B72C">
      <w:pPr>
        <w:ind w:firstLine="640"/>
      </w:pPr>
      <w:r>
        <w:rPr>
          <w:rFonts w:hint="eastAsia"/>
        </w:rPr>
        <w:t>(5)勘查施工方案必须符合国家、行业标准和有关规范规程要求。</w:t>
      </w:r>
    </w:p>
    <w:p w14:paraId="61F8785C">
      <w:pPr>
        <w:ind w:firstLine="640"/>
      </w:pPr>
      <w:r>
        <w:rPr>
          <w:rFonts w:hint="eastAsia"/>
        </w:rPr>
        <w:t>(6)除国家投资项目有规定外，必须严格限定勘查时限。</w:t>
      </w:r>
    </w:p>
    <w:p w14:paraId="0BD97284">
      <w:pPr>
        <w:pStyle w:val="4"/>
        <w:ind w:firstLine="643"/>
      </w:pPr>
      <w:bookmarkStart w:id="122" w:name="_Toc482798212"/>
      <w:r>
        <w:rPr>
          <w:rFonts w:hint="eastAsia"/>
        </w:rPr>
        <w:t>探矿权设置区块管理</w:t>
      </w:r>
      <w:bookmarkEnd w:id="122"/>
    </w:p>
    <w:p w14:paraId="71D8905F">
      <w:pPr>
        <w:ind w:firstLine="640"/>
      </w:pPr>
      <w:r>
        <w:rPr>
          <w:rFonts w:hint="eastAsia"/>
        </w:rPr>
        <w:t>勘查区块一经划定，不得擅自更改。一个勘查规划区块原则上只设置一个勘查主体。探矿权的设立、延续、变更、保留和整合，应以划定的勘查规划区块为依据，并符合规划准入条件。规划中已设勘查区块范围调整或者新设勘查规划区块，应经省级国土资源主管部门同意后对市级矿产资源规划的探矿权设置区划进行调整，划定新的勘查规划区块，并经市级国土资源主管部门组织专家论证后报省级国土资源主管部门批复后纳入规划。包含或切割已设矿业权勘查开采范围的勘查规划区块，划定前应征求相关矿业权人的意见，维护其合法权益。</w:t>
      </w:r>
    </w:p>
    <w:p w14:paraId="73F7206C">
      <w:pPr>
        <w:pStyle w:val="4"/>
        <w:ind w:firstLine="643"/>
      </w:pPr>
      <w:bookmarkStart w:id="123" w:name="_Toc482798213"/>
      <w:r>
        <w:rPr>
          <w:rFonts w:hint="eastAsia"/>
        </w:rPr>
        <w:t>矿产资源勘查管理</w:t>
      </w:r>
      <w:bookmarkEnd w:id="123"/>
    </w:p>
    <w:p w14:paraId="3EB856BB">
      <w:pPr>
        <w:ind w:firstLine="643"/>
      </w:pPr>
      <w:r>
        <w:rPr>
          <w:rFonts w:hint="eastAsia"/>
          <w:b/>
        </w:rPr>
        <w:t>加强勘查活动监管。</w:t>
      </w:r>
      <w:r>
        <w:rPr>
          <w:rFonts w:hint="eastAsia"/>
        </w:rPr>
        <w:t>依法规范地质勘查行业准入，加强地质勘查资质管理工作。加强对勘查实施方案的审查及勘查合同的管理，严格审查探矿权人的勘查实施方案，督促探矿权人依法履行合同。依法查处圈而不探、以采代探、非法转让等行为。探索推进适应市场经济要求的地质勘查质量监理工作，充分发挥行业协会、学会在地质勘查质量监管中的作用，推进注册地质师制度建设，探索形成个人负责和单位负责相结合的责任机制。增强矿产开发活动卫星遥感监测覆盖面及效率，提升监督执法精准度。</w:t>
      </w:r>
    </w:p>
    <w:p w14:paraId="16678B41">
      <w:pPr>
        <w:ind w:firstLine="643"/>
      </w:pPr>
      <w:r>
        <w:rPr>
          <w:rFonts w:hint="eastAsia"/>
          <w:b/>
        </w:rPr>
        <w:t>引导和规范商业性勘查工作。</w:t>
      </w:r>
      <w:r>
        <w:rPr>
          <w:rFonts w:hint="eastAsia"/>
        </w:rPr>
        <w:t>加强公益性地质工作对商业性矿产勘查的引导，切实做好国家基础性、公益性地质调查评价，提高公益性地质资料的服务能力和水平，降低商业性地质勘查工作的风险。健全商业性勘查工作的市场、政策体系，建立企业在商业性矿产勘查中的市场主体地位。鼓励社会各类投资主体参与矿产勘查，承担找矿风险、获得成果收益，切实保护矿业权人的合法权益。</w:t>
      </w:r>
    </w:p>
    <w:p w14:paraId="316F0787">
      <w:pPr>
        <w:ind w:firstLine="643"/>
      </w:pPr>
      <w:r>
        <w:rPr>
          <w:rFonts w:hint="eastAsia"/>
          <w:b/>
        </w:rPr>
        <w:t>推进绿色勘查。</w:t>
      </w:r>
      <w:r>
        <w:rPr>
          <w:rFonts w:hint="eastAsia"/>
        </w:rPr>
        <w:t>按照生态文明建设新要求，按照“生态优先、保护优先”的原则，优化勘查开发布局。改进对生态环境影响较大的勘查技术方法，大力推进绿色勘查。</w:t>
      </w:r>
    </w:p>
    <w:p w14:paraId="666494E9">
      <w:pPr>
        <w:pStyle w:val="3"/>
        <w:ind w:firstLine="723"/>
      </w:pPr>
      <w:bookmarkStart w:id="124" w:name="_Toc482798214"/>
      <w:r>
        <w:rPr>
          <w:rFonts w:hint="eastAsia"/>
        </w:rPr>
        <w:t>采矿权设置区划</w:t>
      </w:r>
      <w:bookmarkEnd w:id="124"/>
    </w:p>
    <w:p w14:paraId="7241204B">
      <w:pPr>
        <w:ind w:firstLine="640"/>
      </w:pPr>
      <w:r>
        <w:rPr>
          <w:rFonts w:hint="eastAsia"/>
        </w:rPr>
        <w:t>由</w:t>
      </w:r>
      <w:r>
        <w:t>于</w:t>
      </w:r>
      <w:r>
        <w:rPr>
          <w:rFonts w:hint="eastAsia"/>
        </w:rPr>
        <w:t>境内采</w:t>
      </w:r>
      <w:r>
        <w:t>矿权</w:t>
      </w:r>
      <w:r>
        <w:rPr>
          <w:rFonts w:hint="eastAsia"/>
        </w:rPr>
        <w:t>分布范围</w:t>
      </w:r>
      <w:r>
        <w:t>广，</w:t>
      </w:r>
      <w:r>
        <w:rPr>
          <w:rFonts w:hint="eastAsia"/>
        </w:rPr>
        <w:t>包</w:t>
      </w:r>
      <w:r>
        <w:t>含</w:t>
      </w:r>
      <w:r>
        <w:rPr>
          <w:rFonts w:hint="eastAsia"/>
        </w:rPr>
        <w:t>现已</w:t>
      </w:r>
      <w:r>
        <w:t>开发的所有39</w:t>
      </w:r>
      <w:r>
        <w:rPr>
          <w:rFonts w:hint="eastAsia"/>
        </w:rPr>
        <w:t>个</w:t>
      </w:r>
      <w:r>
        <w:t>矿种</w:t>
      </w:r>
      <w:r>
        <w:rPr>
          <w:rFonts w:hint="eastAsia"/>
        </w:rPr>
        <w:t>(注</w:t>
      </w:r>
      <w:r>
        <w:t>：</w:t>
      </w:r>
      <w:r>
        <w:rPr>
          <w:rFonts w:hint="eastAsia"/>
        </w:rPr>
        <w:t>由</w:t>
      </w:r>
      <w:r>
        <w:t>于命名的</w:t>
      </w:r>
      <w:r>
        <w:rPr>
          <w:rFonts w:hint="eastAsia"/>
        </w:rPr>
        <w:t>原因</w:t>
      </w:r>
      <w:r>
        <w:t>，</w:t>
      </w:r>
      <w:r>
        <w:rPr>
          <w:rFonts w:hint="eastAsia"/>
        </w:rPr>
        <w:t>部份</w:t>
      </w:r>
      <w:r>
        <w:t>矿</w:t>
      </w:r>
      <w:r>
        <w:rPr>
          <w:rFonts w:hint="eastAsia"/>
        </w:rPr>
        <w:t>种</w:t>
      </w:r>
      <w:r>
        <w:t>有重叠)</w:t>
      </w:r>
      <w:r>
        <w:rPr>
          <w:rFonts w:hint="eastAsia"/>
        </w:rPr>
        <w:t>，</w:t>
      </w:r>
      <w:r>
        <w:t>且</w:t>
      </w:r>
      <w:r>
        <w:rPr>
          <w:rFonts w:hint="eastAsia"/>
        </w:rPr>
        <w:t>分布极</w:t>
      </w:r>
      <w:r>
        <w:t>不均匀</w:t>
      </w:r>
      <w:r>
        <w:rPr>
          <w:rFonts w:hint="eastAsia"/>
        </w:rPr>
        <w:t>，采矿</w:t>
      </w:r>
      <w:r>
        <w:t>权与</w:t>
      </w:r>
      <w:r>
        <w:rPr>
          <w:rFonts w:hint="eastAsia"/>
        </w:rPr>
        <w:t>探</w:t>
      </w:r>
      <w:r>
        <w:t>矿权</w:t>
      </w:r>
      <w:r>
        <w:rPr>
          <w:rFonts w:hint="eastAsia"/>
        </w:rPr>
        <w:t>难</w:t>
      </w:r>
      <w:r>
        <w:t>以按区分列，</w:t>
      </w:r>
      <w:r>
        <w:rPr>
          <w:rFonts w:hint="eastAsia"/>
        </w:rPr>
        <w:t>考虑</w:t>
      </w:r>
      <w:r>
        <w:t>到</w:t>
      </w:r>
      <w:r>
        <w:rPr>
          <w:rFonts w:hint="eastAsia"/>
        </w:rPr>
        <w:t>从</w:t>
      </w:r>
      <w:r>
        <w:t>2016－2020</w:t>
      </w:r>
      <w:r>
        <w:rPr>
          <w:rFonts w:hint="eastAsia"/>
        </w:rPr>
        <w:t>－</w:t>
      </w:r>
      <w:r>
        <w:t>2025期间，绝大部</w:t>
      </w:r>
      <w:r>
        <w:rPr>
          <w:rFonts w:hint="eastAsia"/>
          <w:lang w:val="en-US" w:eastAsia="zh-CN"/>
        </w:rPr>
        <w:t>分</w:t>
      </w:r>
      <w:r>
        <w:t>探</w:t>
      </w:r>
      <w:r>
        <w:rPr>
          <w:rFonts w:hint="eastAsia"/>
        </w:rPr>
        <w:t>矿</w:t>
      </w:r>
      <w:r>
        <w:t>权将完成勘探并转</w:t>
      </w:r>
      <w:r>
        <w:rPr>
          <w:rFonts w:hint="eastAsia"/>
        </w:rPr>
        <w:t>为</w:t>
      </w:r>
      <w:r>
        <w:t>采矿权，因此本次</w:t>
      </w:r>
      <w:r>
        <w:rPr>
          <w:rFonts w:hint="eastAsia"/>
        </w:rPr>
        <w:t>规划</w:t>
      </w:r>
      <w:r>
        <w:t>的</w:t>
      </w:r>
      <w:r>
        <w:rPr>
          <w:rFonts w:hint="eastAsia"/>
        </w:rPr>
        <w:t>所设</w:t>
      </w:r>
      <w:r>
        <w:t>采矿矿区划与勘查区划</w:t>
      </w:r>
      <w:r>
        <w:rPr>
          <w:rFonts w:hint="eastAsia"/>
        </w:rPr>
        <w:t>基本</w:t>
      </w:r>
      <w:r>
        <w:t>一致</w:t>
      </w:r>
      <w:r>
        <w:rPr>
          <w:rFonts w:hint="eastAsia"/>
        </w:rPr>
        <w:t>，</w:t>
      </w:r>
      <w:r>
        <w:t>勘查区即为开采区，</w:t>
      </w:r>
      <w:r>
        <w:rPr>
          <w:rFonts w:hint="eastAsia"/>
        </w:rPr>
        <w:t>限制</w:t>
      </w:r>
      <w:r>
        <w:t>勘查区即</w:t>
      </w:r>
      <w:r>
        <w:rPr>
          <w:rFonts w:hint="eastAsia"/>
        </w:rPr>
        <w:t>为限制</w:t>
      </w:r>
      <w:r>
        <w:t>开采区</w:t>
      </w:r>
      <w:r>
        <w:rPr>
          <w:rFonts w:hint="eastAsia"/>
        </w:rPr>
        <w:t>，共</w:t>
      </w:r>
      <w:r>
        <w:t>设开采</w:t>
      </w:r>
      <w:r>
        <w:rPr>
          <w:rFonts w:hint="eastAsia"/>
        </w:rPr>
        <w:t>规划</w:t>
      </w:r>
      <w:r>
        <w:t>区23个(</w:t>
      </w:r>
      <w:r>
        <w:rPr>
          <w:rFonts w:hint="eastAsia"/>
        </w:rPr>
        <w:t>其</w:t>
      </w:r>
      <w:r>
        <w:t>中</w:t>
      </w:r>
      <w:r>
        <w:rPr>
          <w:rFonts w:hint="eastAsia"/>
        </w:rPr>
        <w:t>限制开</w:t>
      </w:r>
      <w:r>
        <w:t>采区5</w:t>
      </w:r>
      <w:r>
        <w:rPr>
          <w:rFonts w:hint="eastAsia"/>
        </w:rPr>
        <w:t>个，</w:t>
      </w:r>
      <w:r>
        <w:t>禁止</w:t>
      </w:r>
      <w:r>
        <w:rPr>
          <w:rFonts w:hint="eastAsia"/>
        </w:rPr>
        <w:t>开</w:t>
      </w:r>
      <w:r>
        <w:t>采</w:t>
      </w:r>
      <w:r>
        <w:rPr>
          <w:rFonts w:hint="eastAsia"/>
        </w:rPr>
        <w:t>区</w:t>
      </w:r>
      <w:r>
        <w:t>12个)。</w:t>
      </w:r>
    </w:p>
    <w:p w14:paraId="0A39B737">
      <w:pPr>
        <w:ind w:firstLine="640"/>
      </w:pPr>
      <w:r>
        <w:t>本次</w:t>
      </w:r>
      <w:r>
        <w:rPr>
          <w:rFonts w:hint="eastAsia"/>
        </w:rPr>
        <w:t>规划在</w:t>
      </w:r>
      <w:r>
        <w:t>11个开采</w:t>
      </w:r>
      <w:r>
        <w:rPr>
          <w:rFonts w:hint="eastAsia"/>
        </w:rPr>
        <w:t>规划</w:t>
      </w:r>
      <w:r>
        <w:t>区中拟设</w:t>
      </w:r>
      <w:r>
        <w:rPr>
          <w:rFonts w:hint="eastAsia" w:ascii="仿宋" w:hAnsi="仿宋"/>
          <w:szCs w:val="32"/>
        </w:rPr>
        <w:t>采矿权总数</w:t>
      </w:r>
      <w:r>
        <w:rPr>
          <w:rFonts w:ascii="仿宋" w:hAnsi="仿宋"/>
          <w:szCs w:val="32"/>
        </w:rPr>
        <w:t>4</w:t>
      </w:r>
      <w:r>
        <w:rPr>
          <w:rFonts w:hint="eastAsia" w:ascii="仿宋" w:hAnsi="仿宋"/>
          <w:szCs w:val="32"/>
        </w:rPr>
        <w:t>67个，较</w:t>
      </w:r>
      <w:r>
        <w:rPr>
          <w:rFonts w:ascii="仿宋" w:hAnsi="仿宋"/>
          <w:szCs w:val="32"/>
        </w:rPr>
        <w:t>2015年</w:t>
      </w:r>
      <w:r>
        <w:rPr>
          <w:rFonts w:hint="eastAsia" w:ascii="仿宋" w:hAnsi="仿宋"/>
          <w:szCs w:val="32"/>
        </w:rPr>
        <w:t>基</w:t>
      </w:r>
      <w:r>
        <w:rPr>
          <w:rFonts w:ascii="仿宋" w:hAnsi="仿宋"/>
          <w:szCs w:val="32"/>
        </w:rPr>
        <w:t>期的48</w:t>
      </w:r>
      <w:r>
        <w:rPr>
          <w:rFonts w:hint="eastAsia" w:ascii="仿宋" w:hAnsi="仿宋"/>
          <w:szCs w:val="32"/>
        </w:rPr>
        <w:t>3</w:t>
      </w:r>
      <w:r>
        <w:rPr>
          <w:rFonts w:ascii="仿宋" w:hAnsi="仿宋"/>
          <w:szCs w:val="32"/>
        </w:rPr>
        <w:t>个</w:t>
      </w:r>
      <w:r>
        <w:rPr>
          <w:rFonts w:hint="eastAsia" w:ascii="仿宋" w:hAnsi="仿宋"/>
          <w:szCs w:val="32"/>
        </w:rPr>
        <w:t>减少了16个。其中保留采矿权302个，新设采矿权57个，探转采6个，采</w:t>
      </w:r>
      <w:r>
        <w:rPr>
          <w:rFonts w:ascii="仿宋" w:hAnsi="仿宋"/>
          <w:szCs w:val="32"/>
        </w:rPr>
        <w:t>矿</w:t>
      </w:r>
      <w:r>
        <w:rPr>
          <w:rFonts w:hint="eastAsia" w:ascii="仿宋" w:hAnsi="仿宋"/>
          <w:szCs w:val="32"/>
        </w:rPr>
        <w:t>权</w:t>
      </w:r>
      <w:r>
        <w:rPr>
          <w:rFonts w:ascii="仿宋" w:hAnsi="仿宋"/>
          <w:szCs w:val="32"/>
        </w:rPr>
        <w:t>调整</w:t>
      </w:r>
      <w:r>
        <w:rPr>
          <w:rFonts w:hint="eastAsia" w:ascii="仿宋" w:hAnsi="仿宋"/>
          <w:szCs w:val="32"/>
        </w:rPr>
        <w:t>103</w:t>
      </w:r>
      <w:r>
        <w:rPr>
          <w:rFonts w:ascii="仿宋" w:hAnsi="仿宋"/>
          <w:szCs w:val="32"/>
        </w:rPr>
        <w:t>个</w:t>
      </w:r>
      <w:r>
        <w:rPr>
          <w:rFonts w:hint="eastAsia" w:ascii="仿宋" w:hAnsi="仿宋"/>
          <w:szCs w:val="32"/>
        </w:rPr>
        <w:t>。</w:t>
      </w:r>
      <w:r>
        <w:t>大型</w:t>
      </w:r>
      <w:r>
        <w:rPr>
          <w:rFonts w:hint="eastAsia"/>
        </w:rPr>
        <w:t>1</w:t>
      </w:r>
      <w:r>
        <w:t>2个，中</w:t>
      </w:r>
      <w:r>
        <w:rPr>
          <w:rFonts w:hint="eastAsia"/>
        </w:rPr>
        <w:t>型41</w:t>
      </w:r>
      <w:r>
        <w:t>个，</w:t>
      </w:r>
      <w:r>
        <w:rPr>
          <w:rFonts w:hint="eastAsia"/>
        </w:rPr>
        <w:t>大</w:t>
      </w:r>
      <w:r>
        <w:t>中型所占比例为11%</w:t>
      </w:r>
      <w:r>
        <w:rPr>
          <w:rFonts w:hint="eastAsia"/>
        </w:rPr>
        <w:t>。详见附</w:t>
      </w:r>
      <w:r>
        <w:t>表</w:t>
      </w:r>
      <w:r>
        <w:rPr>
          <w:rFonts w:hint="eastAsia"/>
        </w:rPr>
        <w:t>7</w:t>
      </w:r>
      <w:r>
        <w:t>《</w:t>
      </w:r>
      <w:r>
        <w:rPr>
          <w:rFonts w:hint="eastAsia"/>
        </w:rPr>
        <w:t>乐山市主要矿产资源采矿权设置区划表</w:t>
      </w:r>
      <w:r>
        <w:t>》</w:t>
      </w:r>
      <w:r>
        <w:rPr>
          <w:rFonts w:hint="eastAsia"/>
        </w:rPr>
        <w:t>。</w:t>
      </w:r>
    </w:p>
    <w:p w14:paraId="5FEAFDD7">
      <w:pPr>
        <w:ind w:firstLine="640"/>
      </w:pPr>
      <w:r>
        <w:rPr>
          <w:rFonts w:hint="eastAsia"/>
        </w:rPr>
        <w:t>集中</w:t>
      </w:r>
      <w:r>
        <w:t>开采区由</w:t>
      </w:r>
      <w:r>
        <w:rPr>
          <w:rFonts w:hint="eastAsia"/>
        </w:rPr>
        <w:t>各区</w:t>
      </w:r>
      <w:r>
        <w:t>市县在市级矿</w:t>
      </w:r>
      <w:r>
        <w:rPr>
          <w:rFonts w:hint="eastAsia"/>
        </w:rPr>
        <w:t>产</w:t>
      </w:r>
      <w:r>
        <w:t>资源</w:t>
      </w:r>
      <w:r>
        <w:rPr>
          <w:rFonts w:hint="eastAsia"/>
        </w:rPr>
        <w:t>总</w:t>
      </w:r>
      <w:r>
        <w:t>体规划</w:t>
      </w:r>
      <w:r>
        <w:rPr>
          <w:rFonts w:hint="eastAsia"/>
        </w:rPr>
        <w:t>的</w:t>
      </w:r>
      <w:r>
        <w:t>基础上分别落实，并</w:t>
      </w:r>
      <w:r>
        <w:rPr>
          <w:rFonts w:hint="eastAsia"/>
        </w:rPr>
        <w:t>在</w:t>
      </w:r>
      <w:r>
        <w:t>本</w:t>
      </w:r>
      <w:r>
        <w:rPr>
          <w:rFonts w:hint="eastAsia"/>
        </w:rPr>
        <w:t>级</w:t>
      </w:r>
      <w:r>
        <w:t>矿</w:t>
      </w:r>
      <w:r>
        <w:rPr>
          <w:rFonts w:hint="eastAsia"/>
        </w:rPr>
        <w:t>产资源</w:t>
      </w:r>
      <w:r>
        <w:t>总体规划中体现</w:t>
      </w:r>
      <w:r>
        <w:rPr>
          <w:rFonts w:hint="eastAsia"/>
        </w:rPr>
        <w:t>。</w:t>
      </w:r>
    </w:p>
    <w:p w14:paraId="02E6FE5D">
      <w:pPr>
        <w:ind w:firstLine="640"/>
      </w:pPr>
      <w:r>
        <w:rPr>
          <w:rFonts w:hint="eastAsia"/>
        </w:rPr>
        <w:t>对</w:t>
      </w:r>
      <w:r>
        <w:t>于国</w:t>
      </w:r>
      <w:r>
        <w:rPr>
          <w:rFonts w:hint="eastAsia"/>
        </w:rPr>
        <w:t>家</w:t>
      </w:r>
      <w:r>
        <w:t>重点项目所需</w:t>
      </w:r>
      <w:r>
        <w:rPr>
          <w:rFonts w:hint="eastAsia"/>
        </w:rPr>
        <w:t>的</w:t>
      </w:r>
      <w:r>
        <w:t>备采区，由各区市县根据项目</w:t>
      </w:r>
      <w:r>
        <w:rPr>
          <w:rFonts w:hint="eastAsia"/>
        </w:rPr>
        <w:t>需求</w:t>
      </w:r>
      <w:r>
        <w:t>和本地资源情况，结合</w:t>
      </w:r>
      <w:r>
        <w:rPr>
          <w:rFonts w:hint="eastAsia"/>
        </w:rPr>
        <w:t>环境</w:t>
      </w:r>
      <w:r>
        <w:t>保护和生态保护</w:t>
      </w:r>
      <w:r>
        <w:rPr>
          <w:rFonts w:hint="eastAsia"/>
        </w:rPr>
        <w:t>的原则</w:t>
      </w:r>
      <w:r>
        <w:t>，在本</w:t>
      </w:r>
      <w:r>
        <w:rPr>
          <w:rFonts w:hint="eastAsia"/>
        </w:rPr>
        <w:t>级</w:t>
      </w:r>
      <w:r>
        <w:t>人民政府的</w:t>
      </w:r>
      <w:r>
        <w:rPr>
          <w:rFonts w:hint="eastAsia"/>
        </w:rPr>
        <w:t>第</w:t>
      </w:r>
      <w:r>
        <w:t>三轮矿产资源总</w:t>
      </w:r>
      <w:r>
        <w:rPr>
          <w:rFonts w:hint="eastAsia"/>
        </w:rPr>
        <w:t>体</w:t>
      </w:r>
      <w:r>
        <w:t>规划</w:t>
      </w:r>
      <w:r>
        <w:rPr>
          <w:rFonts w:hint="eastAsia"/>
        </w:rPr>
        <w:t>中具体</w:t>
      </w:r>
      <w:r>
        <w:t>落实</w:t>
      </w:r>
      <w:r>
        <w:rPr>
          <w:rFonts w:hint="eastAsia"/>
        </w:rPr>
        <w:t>。</w:t>
      </w:r>
      <w:r>
        <w:t>当</w:t>
      </w:r>
      <w:r>
        <w:rPr>
          <w:rFonts w:hint="eastAsia"/>
        </w:rPr>
        <w:t>项目</w:t>
      </w:r>
      <w:r>
        <w:t>结束后，应</w:t>
      </w:r>
      <w:r>
        <w:rPr>
          <w:rFonts w:hint="eastAsia"/>
        </w:rPr>
        <w:t>按</w:t>
      </w:r>
      <w:r>
        <w:t>有关规</w:t>
      </w:r>
      <w:r>
        <w:rPr>
          <w:rFonts w:hint="eastAsia"/>
        </w:rPr>
        <w:t>定</w:t>
      </w:r>
      <w:r>
        <w:t>，在做好</w:t>
      </w:r>
      <w:r>
        <w:rPr>
          <w:rFonts w:hint="eastAsia"/>
        </w:rPr>
        <w:t>矿</w:t>
      </w:r>
      <w:r>
        <w:t>山环境</w:t>
      </w:r>
      <w:r>
        <w:rPr>
          <w:rFonts w:hint="eastAsia"/>
        </w:rPr>
        <w:t>恢复</w:t>
      </w:r>
      <w:r>
        <w:t>治理后</w:t>
      </w:r>
      <w:r>
        <w:rPr>
          <w:rFonts w:hint="eastAsia"/>
        </w:rPr>
        <w:t>立即</w:t>
      </w:r>
      <w:r>
        <w:t>关闭，提交</w:t>
      </w:r>
      <w:r>
        <w:rPr>
          <w:rFonts w:hint="eastAsia"/>
        </w:rPr>
        <w:t>闭</w:t>
      </w:r>
      <w:r>
        <w:t>坑报告</w:t>
      </w:r>
      <w:r>
        <w:rPr>
          <w:rFonts w:hint="eastAsia"/>
        </w:rPr>
        <w:t>并经</w:t>
      </w:r>
      <w:r>
        <w:t>有关部门现场</w:t>
      </w:r>
      <w:r>
        <w:rPr>
          <w:rFonts w:hint="eastAsia"/>
        </w:rPr>
        <w:t>验收</w:t>
      </w:r>
      <w:r>
        <w:t>。</w:t>
      </w:r>
    </w:p>
    <w:p w14:paraId="12C0FB22">
      <w:pPr>
        <w:pStyle w:val="3"/>
        <w:ind w:firstLine="723"/>
      </w:pPr>
      <w:bookmarkStart w:id="125" w:name="_Toc482798215"/>
      <w:r>
        <w:rPr>
          <w:rFonts w:hint="eastAsia"/>
        </w:rPr>
        <w:t>严格勘查开发监督管理</w:t>
      </w:r>
      <w:bookmarkEnd w:id="125"/>
    </w:p>
    <w:p w14:paraId="0700037C">
      <w:pPr>
        <w:pStyle w:val="4"/>
        <w:ind w:firstLine="643"/>
      </w:pPr>
      <w:bookmarkStart w:id="126" w:name="_Toc482798216"/>
      <w:bookmarkStart w:id="127" w:name="_Toc453684685"/>
      <w:r>
        <w:rPr>
          <w:rFonts w:hint="eastAsia"/>
        </w:rPr>
        <w:t>推进矿产资源勘查开发市场体系建设</w:t>
      </w:r>
      <w:bookmarkEnd w:id="126"/>
      <w:bookmarkEnd w:id="127"/>
    </w:p>
    <w:p w14:paraId="7A500A6E">
      <w:pPr>
        <w:ind w:firstLine="640"/>
      </w:pPr>
      <w:r>
        <w:rPr>
          <w:rFonts w:hint="eastAsia"/>
        </w:rPr>
        <w:t>充分发挥市场配置资源的决定性作用，着力处理好政府和市场的关系，做实简政放权、释放市场空间、营造公平环境，进一步提高矿业权市场化配置的程度。大力推进公益性地质调查工作，通过地勘基金拉动社会资金投入，加大地质勘查风险投入，有效降低矿业权市场化配置的自然风险。</w:t>
      </w:r>
    </w:p>
    <w:p w14:paraId="2F7ACD4E">
      <w:pPr>
        <w:ind w:firstLine="640"/>
      </w:pPr>
      <w:r>
        <w:rPr>
          <w:rFonts w:hint="eastAsia"/>
        </w:rPr>
        <w:t>着力培育矿业权市场体系建设，建立和完善矿业权交易机构，健全矿业权市场的中介机构，促进矿业权市场要素全面发展，构建和谐有序的矿业权市场。加快建立和完善适应市场化配置的行政管理工作体系，推进综合监管平台建设，加强矿业权有形市场监管，保护矿业权人合法权益，保障矿业权有形市场健康稳定发展。</w:t>
      </w:r>
    </w:p>
    <w:p w14:paraId="6FA8A4F1">
      <w:pPr>
        <w:pStyle w:val="4"/>
        <w:ind w:firstLine="643"/>
      </w:pPr>
      <w:bookmarkStart w:id="128" w:name="_Toc453684686"/>
      <w:bookmarkStart w:id="129" w:name="_Toc482798217"/>
      <w:r>
        <w:rPr>
          <w:rFonts w:hint="eastAsia"/>
        </w:rPr>
        <w:t>理顺资源开发收益分配关系</w:t>
      </w:r>
      <w:bookmarkEnd w:id="128"/>
      <w:bookmarkEnd w:id="129"/>
    </w:p>
    <w:p w14:paraId="2A0853B0">
      <w:pPr>
        <w:ind w:firstLine="640"/>
      </w:pPr>
      <w:r>
        <w:rPr>
          <w:rFonts w:hint="eastAsia"/>
        </w:rPr>
        <w:t>合理调整现行矿产资源开发收入分配关系，将资源收益更多留给地方，并在省、市、县、乡之间合理分配，重点向资源原产地县、乡倾斜，促进资源开发地区可持续发展。省级分成所得的探矿权、采矿权使用费及其价款收入依照有关规定，以项目方式全部用于矿产的勘查、保护、管理以及矿山地质环境恢复治理工作。市(州)、县(市、区)两级政府探矿权、采矿权使用费及其价款收入的分成所得部分原则上应分别将不低于50%的资金用于改善矿区群众的生产生活条件和解决其长远生计。鼓励和支持在我市从事矿产资源开发的企业捐资建设资源开发地公共设施和公益事业，履行社会责任。</w:t>
      </w:r>
    </w:p>
    <w:p w14:paraId="64059451">
      <w:pPr>
        <w:pStyle w:val="4"/>
        <w:ind w:firstLine="643"/>
      </w:pPr>
      <w:bookmarkStart w:id="130" w:name="_Toc453684687"/>
      <w:bookmarkStart w:id="131" w:name="_Toc482798218"/>
      <w:r>
        <w:rPr>
          <w:rFonts w:hint="eastAsia"/>
        </w:rPr>
        <w:t>强化矿产资源宏观管理与公共服务</w:t>
      </w:r>
      <w:bookmarkEnd w:id="130"/>
      <w:bookmarkEnd w:id="131"/>
    </w:p>
    <w:p w14:paraId="0F5C33E0">
      <w:pPr>
        <w:ind w:firstLine="640"/>
      </w:pPr>
      <w:r>
        <w:rPr>
          <w:rFonts w:hint="eastAsia"/>
        </w:rPr>
        <w:t xml:space="preserve"> 进一步加快国土资源管理部门由单一</w:t>
      </w:r>
      <w:r>
        <w:fldChar w:fldCharType="begin"/>
      </w:r>
      <w:r>
        <w:instrText xml:space="preserve"> HYPERLINK "http://cpro.baidu.com/cpro/ui/uijs.php?app_id=0&amp;c=news&amp;cf=1001&amp;ch=0&amp;di=128&amp;fv=11&amp;is_app=0&amp;jk=cb2a4131c06c1d76&amp;k=%D0%D0%D5%FE%B9%DC%C0%ED&amp;k0=%D0%D0%D5%FE%B9%DC%C0%ED&amp;kdi0=0&amp;luki=7&amp;n=10&amp;p=baidu&amp;q=52066088_cpr&amp;rb=0&amp;rs=1&amp;seller_id=1&amp;sid=761d6cc031412acb&amp;ssp2=1&amp;stid=0&amp;t=tpclicked3_hc&amp;tu=u1847666&amp;u=http%3A%2F%2Fwww%2Exzbu%2Ecom%2F4%2Fview%2D1556996%2Ehtm&amp;urlid=0" \t "_blank" </w:instrText>
      </w:r>
      <w:r>
        <w:fldChar w:fldCharType="separate"/>
      </w:r>
      <w:r>
        <w:rPr>
          <w:rFonts w:hint="eastAsia"/>
        </w:rPr>
        <w:t>行政管理</w:t>
      </w:r>
      <w:r>
        <w:rPr>
          <w:rFonts w:hint="eastAsia"/>
        </w:rPr>
        <w:fldChar w:fldCharType="end"/>
      </w:r>
      <w:r>
        <w:rPr>
          <w:rFonts w:hint="eastAsia"/>
        </w:rPr>
        <w:t>向综合管理、公共服务方向的职能转变，调整处理好行政许可和市场调控、行政权力和民事权利、行政管理和社会服务之间的关系。公平对待矿产资源勘查开发中的各个市场主体，做好服务和监管，通过准确提供市场信息、规范市场主体的市场行为、加大对违法行为打击力度，维护市场秩序，营造公平公正透明的市场环境，保障资源开发过程中公共利益不受侵害，促进矿产资源的保护和合理开发利用。</w:t>
      </w:r>
      <w:r>
        <w:rPr>
          <w:rFonts w:hint="eastAsia" w:ascii="宋体" w:hAnsi="宋体" w:cs="宋体"/>
        </w:rPr>
        <w:t> </w:t>
      </w:r>
    </w:p>
    <w:p w14:paraId="27E167BF">
      <w:pPr>
        <w:pStyle w:val="4"/>
        <w:ind w:firstLine="643"/>
      </w:pPr>
      <w:bookmarkStart w:id="132" w:name="_Toc482798219"/>
      <w:bookmarkStart w:id="133" w:name="_Toc453684688"/>
      <w:r>
        <w:rPr>
          <w:rFonts w:hint="eastAsia"/>
        </w:rPr>
        <w:t>健全完善开发利用监督管理体系</w:t>
      </w:r>
      <w:bookmarkEnd w:id="132"/>
      <w:bookmarkEnd w:id="133"/>
    </w:p>
    <w:p w14:paraId="404A0BA2">
      <w:pPr>
        <w:ind w:firstLine="640"/>
      </w:pPr>
      <w:r>
        <w:rPr>
          <w:rFonts w:hint="eastAsia"/>
        </w:rPr>
        <w:t>建立以储量为核心的全程监管思路，以储量为矿产资源勘查、开发、闭坑的信息中心，建立以储量为核心的信息数据平台，实现信息化全程监管。完善矿产资源开发利用方案设计审查和设计实施监管等细节管理，加强矿山闭坑管理的薄弱环节，完善矿产资源勘查和开发利用年检制度，规范年检工作管理。</w:t>
      </w:r>
    </w:p>
    <w:p w14:paraId="7F2B8FB9">
      <w:pPr>
        <w:ind w:firstLine="640"/>
      </w:pPr>
      <w:r>
        <w:rPr>
          <w:rFonts w:hint="eastAsia"/>
        </w:rPr>
        <w:t>建立地方政府统筹、部门联动的执法监管制度，构建共同责任机制、发挥联动作用。建立健全保障机制，加强机构、队伍建设，通过增加基层国土资源管理人员编制，开展地方矿产资源勘查开采监督管理和执法监察人员培训，加强基层执法力量。完善考核制度，形成有效的激励约束机制。进一步改善监督管理工作条件，加强执法监察装备建设。发挥地质勘查和矿产开发技术单位优势，建立矿产资源开发监督管理技术支撑体系，加强矿产开发监督管理中的技术核查。</w:t>
      </w:r>
    </w:p>
    <w:p w14:paraId="223DE1BE">
      <w:pPr>
        <w:pStyle w:val="4"/>
        <w:ind w:firstLine="643"/>
      </w:pPr>
      <w:bookmarkStart w:id="134" w:name="_Toc482798220"/>
      <w:r>
        <w:rPr>
          <w:rFonts w:hint="eastAsia"/>
        </w:rPr>
        <w:t>严格勘查开发监督管理</w:t>
      </w:r>
      <w:bookmarkEnd w:id="134"/>
    </w:p>
    <w:p w14:paraId="18A4800B">
      <w:pPr>
        <w:ind w:firstLine="640"/>
      </w:pPr>
      <w:r>
        <w:rPr>
          <w:rFonts w:hint="eastAsia"/>
        </w:rPr>
        <w:t>进入本市境内进行矿产开发的采矿权人或矿山企业，开工前应主动到国土资源主管部门备案，并自觉遵守《中华人民共和国矿产资源法》及其相关法律法规和条例。市国土资源管理部门应积极配合做好相关服务，保护矿业权人的合法权益。市国土资源主管部门联合安监局相关管理人员应对其矿业开采活动进行日常监督管理和年度检查。采矿前，检查其是否有有效采矿权证和土地使用证、是否交纳环境保证金和资源使用费等各种税费、是否有安全生产和环保措施等；在生产过程中检查其是否按开发利用方案施工,开采规模和“三率”指标是否达到国家规定最低要求，是否存在严重安全隐患，是否超程越界开采，是否对生态环境造成严重破坏，废渣石堆放是否规范安全，“三废”排放是否达标、矿山是否存在严重地灾隐患等；矿山闭坑后，要进行矿山地质环境保护与恢复治理情况和土地复垦情况检查。发现问题应及时提出，及时整改。</w:t>
      </w:r>
    </w:p>
    <w:p w14:paraId="122EBB3A">
      <w:pPr>
        <w:pStyle w:val="4"/>
        <w:ind w:firstLine="643"/>
      </w:pPr>
      <w:bookmarkStart w:id="135" w:name="_Toc482798221"/>
      <w:bookmarkStart w:id="136" w:name="_Toc453684689"/>
      <w:r>
        <w:rPr>
          <w:rFonts w:hint="eastAsia"/>
        </w:rPr>
        <w:t>探索矿业扶贫新机制</w:t>
      </w:r>
      <w:bookmarkEnd w:id="135"/>
      <w:bookmarkEnd w:id="136"/>
    </w:p>
    <w:p w14:paraId="45CC5510">
      <w:pPr>
        <w:ind w:firstLine="640"/>
      </w:pPr>
      <w:r>
        <w:t>探索建立矿业扶贫新机制，以矿产资源合理开发利用助推贫困地区脱贫攻坚</w:t>
      </w:r>
      <w:r>
        <w:rPr>
          <w:rFonts w:hint="eastAsia"/>
        </w:rPr>
        <w:t>。完善资源开发收益共享机制，支持开展和谐矿区建设，探索矿区农村集体和农民以征地拆迁款、补偿提留款等多途径入股矿山资源开发新途径，拓宽农民长期稳定性财产收入渠道。鼓励矿山企业与村集体或贫困户通过协商方式取得地面采矿用地临时使用权。对特困地区适当降低矿业开发和整合门槛，加大片区矿业权配置力度，发挥小矿在贫困地区经济增长、脱贫致富、安置农村剩余劳动力就业等方面的特殊重要作用。</w:t>
      </w:r>
    </w:p>
    <w:p w14:paraId="5735690C">
      <w:pPr>
        <w:pStyle w:val="2"/>
      </w:pPr>
      <w:bookmarkStart w:id="137" w:name="_Toc482798222"/>
      <w:bookmarkStart w:id="138" w:name="_Toc479584533"/>
      <w:r>
        <w:rPr>
          <w:rFonts w:hint="eastAsia"/>
        </w:rPr>
        <w:t>环境保护</w:t>
      </w:r>
      <w:r>
        <w:t>与</w:t>
      </w:r>
      <w:r>
        <w:rPr>
          <w:rFonts w:hint="eastAsia"/>
        </w:rPr>
        <w:t>生</w:t>
      </w:r>
      <w:r>
        <w:t>态</w:t>
      </w:r>
      <w:r>
        <w:rPr>
          <w:rFonts w:hint="eastAsia"/>
        </w:rPr>
        <w:t>保护</w:t>
      </w:r>
      <w:bookmarkEnd w:id="137"/>
      <w:bookmarkEnd w:id="138"/>
    </w:p>
    <w:p w14:paraId="2E8202E5">
      <w:pPr>
        <w:ind w:firstLine="640"/>
      </w:pPr>
      <w:r>
        <w:rPr>
          <w:rFonts w:hint="eastAsia"/>
        </w:rPr>
        <w:t>为了深入贯彻党的十八大和十八届二中、三中、四中全会精神，坚持科学发展观，加强生态文明建设，发展绿色矿业，建设绿色矿山，保护生态环境，促进矿产资源勘查开发与经济、社会和环境的协调发展，依据《中华人民共和国环境影响评价法》、《规划环境影响评价条例》、《规划环境影响评价技术导则总纲》HJ130-2014、《关于做好矿产资源规划环境影响评价工作的通知》(环发[2015年]158号)、《关于规划环境影响评价加强空间管制、总量管控和环境准入的指导意见(试行)》(环办环评[2016]14号)、《</w:t>
      </w:r>
      <w:r>
        <w:t>四川省生态保护红线实施意见</w:t>
      </w:r>
      <w:r>
        <w:rPr>
          <w:rFonts w:hint="eastAsia"/>
        </w:rPr>
        <w:t>》等相关环境影响评价规定和规范，编制《四川省乐山市矿产资源总体规划》环境保护与</w:t>
      </w:r>
      <w:r>
        <w:t>生态保护</w:t>
      </w:r>
      <w:r>
        <w:rPr>
          <w:rFonts w:hint="eastAsia"/>
        </w:rPr>
        <w:t>篇章。</w:t>
      </w:r>
    </w:p>
    <w:p w14:paraId="5602BC02">
      <w:pPr>
        <w:ind w:firstLine="640"/>
      </w:pPr>
      <w:r>
        <w:rPr>
          <w:rFonts w:hint="eastAsia"/>
        </w:rPr>
        <w:t>乐山</w:t>
      </w:r>
      <w:r>
        <w:t>市第三</w:t>
      </w:r>
      <w:r>
        <w:rPr>
          <w:rFonts w:hint="eastAsia"/>
        </w:rPr>
        <w:t>轮</w:t>
      </w:r>
      <w:r>
        <w:t>矿产资源规划</w:t>
      </w:r>
      <w:r>
        <w:rPr>
          <w:rFonts w:hint="eastAsia"/>
        </w:rPr>
        <w:t>是从环境保护和</w:t>
      </w:r>
      <w:r>
        <w:t>生态保护</w:t>
      </w:r>
      <w:r>
        <w:rPr>
          <w:rFonts w:hint="eastAsia"/>
        </w:rPr>
        <w:t xml:space="preserve">方面论证《规划》的可行性和安全性，通过对《规划》实施后可能造成的不良环境影响的分析、预测和评估，提出预防或者减轻不良环境影响的对策措施，最终得出环境影响评价结论，为矿山企业及乐山市相关主管部门重大项目的决策提供基础资料，为《规划》实施过程中的矿山地质环境监察管理和保护提供科学依据，保证乐山市矿产勘查开发与经济、社会和环境的协调发展。 </w:t>
      </w:r>
    </w:p>
    <w:p w14:paraId="18B5F6D3">
      <w:pPr>
        <w:ind w:firstLine="640"/>
      </w:pPr>
      <w:r>
        <w:rPr>
          <w:rFonts w:hint="eastAsia"/>
        </w:rPr>
        <w:t>评价内容为《规划》实施过程可能产生的不良环境问题，环境评价有效期2016—2020年，</w:t>
      </w:r>
      <w:r>
        <w:t>并展望到2025年</w:t>
      </w:r>
      <w:r>
        <w:rPr>
          <w:rFonts w:hint="eastAsia"/>
        </w:rPr>
        <w:t>，适用于乐山市所辖行政区划内的所有区、市、县。</w:t>
      </w:r>
    </w:p>
    <w:p w14:paraId="3BCA88F9">
      <w:pPr>
        <w:pStyle w:val="3"/>
        <w:ind w:firstLine="723"/>
      </w:pPr>
      <w:bookmarkStart w:id="139" w:name="_Toc202262028"/>
      <w:bookmarkStart w:id="140" w:name="_Toc457211197"/>
      <w:bookmarkStart w:id="141" w:name="_Toc464574636"/>
      <w:bookmarkStart w:id="142" w:name="_Toc479584534"/>
      <w:bookmarkStart w:id="143" w:name="_Toc482798223"/>
      <w:r>
        <w:rPr>
          <w:rFonts w:hint="eastAsia"/>
        </w:rPr>
        <w:t>矿产资源总体规划</w:t>
      </w:r>
      <w:bookmarkEnd w:id="139"/>
      <w:r>
        <w:rPr>
          <w:rFonts w:hint="eastAsia"/>
        </w:rPr>
        <w:t>分析</w:t>
      </w:r>
      <w:bookmarkEnd w:id="140"/>
      <w:bookmarkEnd w:id="141"/>
      <w:bookmarkEnd w:id="142"/>
      <w:bookmarkEnd w:id="143"/>
    </w:p>
    <w:p w14:paraId="66133027">
      <w:pPr>
        <w:ind w:firstLine="640"/>
      </w:pPr>
      <w:r>
        <w:rPr>
          <w:rFonts w:hint="eastAsia"/>
        </w:rPr>
        <w:t>《四川省乐山市矿产资源总体规划》(2016—2020年)是依据《中华人民共和国矿产资源法》及其相关法律法规、《矿产资源规划编制实施办法》、(国土资源部令第55号)《国土资源部关于开展第三轮矿产资源规划编制工作的通知》(国土资发〔2014〕35号)、国土资源部办公厅关于印发《省级矿产资源总体规划编制技术规程》和《市县级矿产资源规划编制指导意见》的通知(国土资厅发[2015] 9号)等相关规范性文件要求，以及第三轮《四川省矿产资源总体规划》、已有</w:t>
      </w:r>
      <w:r>
        <w:t>的</w:t>
      </w:r>
      <w:r>
        <w:rPr>
          <w:rFonts w:hint="eastAsia"/>
        </w:rPr>
        <w:t>《乐山市矿业权设置方案》及</w:t>
      </w:r>
      <w:r>
        <w:t>单矿种矿业</w:t>
      </w:r>
      <w:r>
        <w:rPr>
          <w:rFonts w:hint="eastAsia"/>
        </w:rPr>
        <w:t>权</w:t>
      </w:r>
      <w:r>
        <w:t>设置方案</w:t>
      </w:r>
      <w:r>
        <w:rPr>
          <w:rFonts w:hint="eastAsia"/>
        </w:rPr>
        <w:t>、乐山市国民经济和社会发展</w:t>
      </w:r>
      <w:r>
        <w:rPr>
          <w:rFonts w:hint="eastAsia"/>
          <w:lang w:eastAsia="zh-CN"/>
        </w:rPr>
        <w:t>“</w:t>
      </w:r>
      <w:r>
        <w:rPr>
          <w:rFonts w:hint="eastAsia"/>
        </w:rPr>
        <w:t>十三五</w:t>
      </w:r>
      <w:r>
        <w:rPr>
          <w:rFonts w:hint="eastAsia"/>
          <w:lang w:eastAsia="zh-CN"/>
        </w:rPr>
        <w:t>”</w:t>
      </w:r>
      <w:r>
        <w:rPr>
          <w:rFonts w:hint="eastAsia"/>
        </w:rPr>
        <w:t>规划纲要、结合乐山市经济实际和资源状况以及相关技术规范要求编写而成。规划基准年为2016年，规划至2020年，展望到2025年。《规划》成果包括规划附表、附图和规划文本。</w:t>
      </w:r>
    </w:p>
    <w:p w14:paraId="396568F9">
      <w:pPr>
        <w:ind w:firstLine="640"/>
      </w:pPr>
      <w:r>
        <w:rPr>
          <w:rFonts w:hint="eastAsia"/>
        </w:rPr>
        <w:t>乐山市内矿山地质环境问题主要有三类：一是地下开采矿山造成的空气水土污染和地下水疏干或漏失等环境问题；二是露天开采矿山造成的边</w:t>
      </w:r>
      <w:r>
        <w:t>坡</w:t>
      </w:r>
      <w:r>
        <w:rPr>
          <w:rFonts w:hint="eastAsia"/>
        </w:rPr>
        <w:t>垮</w:t>
      </w:r>
      <w:r>
        <w:t>塌、</w:t>
      </w:r>
      <w:r>
        <w:rPr>
          <w:rFonts w:hint="eastAsia"/>
        </w:rPr>
        <w:t>植被破坏和弃</w:t>
      </w:r>
      <w:r>
        <w:t>渣</w:t>
      </w:r>
      <w:r>
        <w:rPr>
          <w:rFonts w:hint="eastAsia"/>
        </w:rPr>
        <w:t>占压土地、粉尘、噪音、震动扰民等环境问题；</w:t>
      </w:r>
      <w:r>
        <w:t>三是选矿</w:t>
      </w:r>
      <w:r>
        <w:rPr>
          <w:rFonts w:hint="eastAsia"/>
        </w:rPr>
        <w:t>废水</w:t>
      </w:r>
      <w:r>
        <w:t>、尾渣排放造</w:t>
      </w:r>
      <w:r>
        <w:rPr>
          <w:rFonts w:hint="eastAsia"/>
        </w:rPr>
        <w:t>成</w:t>
      </w:r>
      <w:r>
        <w:t>的</w:t>
      </w:r>
      <w:r>
        <w:rPr>
          <w:rFonts w:hint="eastAsia"/>
        </w:rPr>
        <w:t>水土污染、弃</w:t>
      </w:r>
      <w:r>
        <w:t>渣</w:t>
      </w:r>
      <w:r>
        <w:rPr>
          <w:rFonts w:hint="eastAsia"/>
        </w:rPr>
        <w:t>占压土地等</w:t>
      </w:r>
      <w:r>
        <w:t>问题</w:t>
      </w:r>
      <w:r>
        <w:rPr>
          <w:rFonts w:hint="eastAsia"/>
        </w:rPr>
        <w:t>。</w:t>
      </w:r>
    </w:p>
    <w:p w14:paraId="47749C57">
      <w:pPr>
        <w:pStyle w:val="4"/>
        <w:ind w:firstLine="643"/>
      </w:pPr>
      <w:bookmarkStart w:id="144" w:name="_Toc202262030"/>
      <w:bookmarkStart w:id="145" w:name="_Toc482798224"/>
      <w:bookmarkStart w:id="146" w:name="_Toc479584535"/>
      <w:bookmarkStart w:id="147" w:name="_Toc457211199"/>
      <w:bookmarkStart w:id="148" w:name="_Toc464574638"/>
      <w:bookmarkStart w:id="149" w:name="_Toc475349542"/>
      <w:r>
        <w:rPr>
          <w:rFonts w:hint="eastAsia"/>
        </w:rPr>
        <w:t>规划目标</w:t>
      </w:r>
      <w:bookmarkEnd w:id="144"/>
      <w:r>
        <w:rPr>
          <w:rFonts w:hint="eastAsia"/>
        </w:rPr>
        <w:t>分析</w:t>
      </w:r>
      <w:bookmarkEnd w:id="145"/>
      <w:bookmarkEnd w:id="146"/>
      <w:bookmarkEnd w:id="147"/>
      <w:bookmarkEnd w:id="148"/>
      <w:bookmarkEnd w:id="149"/>
    </w:p>
    <w:p w14:paraId="57D990F3">
      <w:pPr>
        <w:ind w:firstLine="640"/>
      </w:pPr>
      <w:bookmarkStart w:id="150" w:name="_Toc202262031"/>
      <w:r>
        <w:rPr>
          <w:rFonts w:hint="eastAsia"/>
        </w:rPr>
        <w:t>本《规划》制定的目标指标，无论是矿业经济指标、探、采矿权总数指标、还是查明资源储量和开采总量指标均相对较低，充分考虑了乐山市本地的生态环境承载能力，《规划》实施过程可能对环境有一定不良影响，但属承载能力内的可控范围。</w:t>
      </w:r>
    </w:p>
    <w:p w14:paraId="76C84586">
      <w:pPr>
        <w:pStyle w:val="4"/>
        <w:ind w:firstLine="643"/>
      </w:pPr>
      <w:bookmarkStart w:id="151" w:name="_Toc475349543"/>
      <w:bookmarkStart w:id="152" w:name="_Toc457211200"/>
      <w:bookmarkStart w:id="153" w:name="_Toc464574639"/>
      <w:bookmarkStart w:id="154" w:name="_Toc479584536"/>
      <w:bookmarkStart w:id="155" w:name="_Toc482798225"/>
      <w:r>
        <w:rPr>
          <w:rFonts w:hint="eastAsia"/>
        </w:rPr>
        <w:t>规划布局和矿业权设置</w:t>
      </w:r>
      <w:bookmarkEnd w:id="150"/>
      <w:r>
        <w:rPr>
          <w:rFonts w:hint="eastAsia"/>
        </w:rPr>
        <w:t>区划分析</w:t>
      </w:r>
      <w:bookmarkEnd w:id="151"/>
      <w:bookmarkEnd w:id="152"/>
      <w:bookmarkEnd w:id="153"/>
      <w:bookmarkEnd w:id="154"/>
      <w:bookmarkEnd w:id="155"/>
    </w:p>
    <w:p w14:paraId="01328D94">
      <w:pPr>
        <w:pStyle w:val="5"/>
        <w:ind w:firstLine="643"/>
      </w:pPr>
      <w:r>
        <w:rPr>
          <w:rFonts w:hint="eastAsia"/>
        </w:rPr>
        <w:t>规划布局</w:t>
      </w:r>
    </w:p>
    <w:p w14:paraId="59C231E2">
      <w:pPr>
        <w:ind w:firstLine="643"/>
        <w:rPr>
          <w:b/>
        </w:rPr>
      </w:pPr>
      <w:r>
        <w:rPr>
          <w:rFonts w:hint="eastAsia"/>
          <w:b/>
        </w:rPr>
        <w:t>矿产资源禁止开采区(1</w:t>
      </w:r>
      <w:r>
        <w:rPr>
          <w:b/>
        </w:rPr>
        <w:t>2个)</w:t>
      </w:r>
      <w:r>
        <w:rPr>
          <w:rFonts w:hint="eastAsia"/>
          <w:b/>
        </w:rPr>
        <w:t xml:space="preserve">： </w:t>
      </w:r>
    </w:p>
    <w:p w14:paraId="6E3CC937">
      <w:pPr>
        <w:ind w:firstLine="640"/>
      </w:pPr>
      <w:r>
        <w:t>1</w:t>
      </w:r>
      <w:r>
        <w:rPr>
          <w:rFonts w:hint="eastAsia"/>
        </w:rPr>
        <w:t>、(</w:t>
      </w:r>
      <w:r>
        <w:t>CJ01</w:t>
      </w:r>
      <w:r>
        <w:rPr>
          <w:rFonts w:hint="eastAsia"/>
        </w:rPr>
        <w:t>)乐山大佛风景名胜保护区</w:t>
      </w:r>
    </w:p>
    <w:p w14:paraId="25084ABC">
      <w:pPr>
        <w:ind w:firstLine="640"/>
      </w:pPr>
      <w:r>
        <w:t>2</w:t>
      </w:r>
      <w:r>
        <w:rPr>
          <w:rFonts w:hint="eastAsia"/>
        </w:rPr>
        <w:t>、(</w:t>
      </w:r>
      <w:r>
        <w:t>CJ02</w:t>
      </w:r>
      <w:r>
        <w:rPr>
          <w:rFonts w:hint="eastAsia"/>
        </w:rPr>
        <w:t>)峨眉山风景名胜保护区</w:t>
      </w:r>
    </w:p>
    <w:p w14:paraId="54B9875A">
      <w:pPr>
        <w:ind w:firstLine="640"/>
      </w:pPr>
      <w:r>
        <w:t>3</w:t>
      </w:r>
      <w:r>
        <w:rPr>
          <w:rFonts w:hint="eastAsia"/>
        </w:rPr>
        <w:t>、(</w:t>
      </w:r>
      <w:r>
        <w:t>CJ03</w:t>
      </w:r>
      <w:r>
        <w:rPr>
          <w:rFonts w:hint="eastAsia"/>
        </w:rPr>
        <w:t>)四川大瓦山天池国家湿地公园</w:t>
      </w:r>
    </w:p>
    <w:p w14:paraId="2B5E1364">
      <w:pPr>
        <w:ind w:firstLine="640"/>
      </w:pPr>
      <w:r>
        <w:t>4</w:t>
      </w:r>
      <w:r>
        <w:rPr>
          <w:rFonts w:hint="eastAsia"/>
        </w:rPr>
        <w:t>、(</w:t>
      </w:r>
      <w:r>
        <w:t>CJ04</w:t>
      </w:r>
      <w:r>
        <w:rPr>
          <w:rFonts w:hint="eastAsia"/>
        </w:rPr>
        <w:t>)沙湾美女峰石林风景保护区</w:t>
      </w:r>
    </w:p>
    <w:p w14:paraId="204935E6">
      <w:pPr>
        <w:ind w:firstLine="640"/>
      </w:pPr>
      <w:r>
        <w:t>5</w:t>
      </w:r>
      <w:r>
        <w:rPr>
          <w:rFonts w:hint="eastAsia"/>
        </w:rPr>
        <w:t>、(</w:t>
      </w:r>
      <w:r>
        <w:t>CJ05</w:t>
      </w:r>
      <w:r>
        <w:rPr>
          <w:rFonts w:hint="eastAsia"/>
        </w:rPr>
        <w:t>)峨边黑竹沟森林公园</w:t>
      </w:r>
    </w:p>
    <w:p w14:paraId="632F8BFB">
      <w:pPr>
        <w:ind w:firstLine="640"/>
      </w:pPr>
      <w:r>
        <w:t>6</w:t>
      </w:r>
      <w:r>
        <w:rPr>
          <w:rFonts w:hint="eastAsia"/>
        </w:rPr>
        <w:t>、(</w:t>
      </w:r>
      <w:r>
        <w:t>CJ06</w:t>
      </w:r>
      <w:r>
        <w:rPr>
          <w:rFonts w:hint="eastAsia"/>
        </w:rPr>
        <w:t>)马边大风顶自然保护区</w:t>
      </w:r>
    </w:p>
    <w:p w14:paraId="660DDE5B">
      <w:pPr>
        <w:ind w:firstLine="640"/>
      </w:pPr>
      <w:r>
        <w:t>7</w:t>
      </w:r>
      <w:r>
        <w:rPr>
          <w:rFonts w:hint="eastAsia"/>
        </w:rPr>
        <w:t>、(</w:t>
      </w:r>
      <w:r>
        <w:t>CJ07</w:t>
      </w:r>
      <w:r>
        <w:rPr>
          <w:rFonts w:hint="eastAsia"/>
        </w:rPr>
        <w:t xml:space="preserve">)夹江千佛岩遗址保护区 </w:t>
      </w:r>
    </w:p>
    <w:p w14:paraId="421609D5">
      <w:pPr>
        <w:ind w:firstLine="640"/>
      </w:pPr>
      <w:r>
        <w:t>8</w:t>
      </w:r>
      <w:r>
        <w:rPr>
          <w:rFonts w:hint="eastAsia"/>
        </w:rPr>
        <w:t>、(</w:t>
      </w:r>
      <w:r>
        <w:t>CJ08</w:t>
      </w:r>
      <w:r>
        <w:rPr>
          <w:rFonts w:hint="eastAsia"/>
        </w:rPr>
        <w:t>)峨边八月林自然保护区</w:t>
      </w:r>
    </w:p>
    <w:p w14:paraId="0C48B7F5">
      <w:pPr>
        <w:ind w:firstLine="640"/>
      </w:pPr>
      <w:r>
        <w:t>9</w:t>
      </w:r>
      <w:r>
        <w:rPr>
          <w:rFonts w:hint="eastAsia"/>
        </w:rPr>
        <w:t>、(</w:t>
      </w:r>
      <w:r>
        <w:t>CJ09</w:t>
      </w:r>
      <w:r>
        <w:rPr>
          <w:rFonts w:hint="eastAsia"/>
        </w:rPr>
        <w:t>)峨</w:t>
      </w:r>
      <w:r>
        <w:t>边黑</w:t>
      </w:r>
      <w:r>
        <w:rPr>
          <w:rFonts w:hint="eastAsia"/>
        </w:rPr>
        <w:t>竹沟</w:t>
      </w:r>
      <w:r>
        <w:t>自然保护区</w:t>
      </w:r>
    </w:p>
    <w:p w14:paraId="6F5C6D39">
      <w:pPr>
        <w:ind w:firstLine="640"/>
      </w:pPr>
      <w:r>
        <w:t>10</w:t>
      </w:r>
      <w:r>
        <w:rPr>
          <w:rFonts w:hint="eastAsia"/>
        </w:rPr>
        <w:t>、(</w:t>
      </w:r>
      <w:r>
        <w:t>CJ010</w:t>
      </w:r>
      <w:r>
        <w:rPr>
          <w:rFonts w:hint="eastAsia"/>
        </w:rPr>
        <w:t>)金口河大渡河峡谷自然保护区</w:t>
      </w:r>
    </w:p>
    <w:p w14:paraId="0ECC7092">
      <w:pPr>
        <w:ind w:firstLine="640"/>
      </w:pPr>
      <w:r>
        <w:rPr>
          <w:rFonts w:hint="eastAsia"/>
        </w:rPr>
        <w:t>1</w:t>
      </w:r>
      <w:r>
        <w:t>1</w:t>
      </w:r>
      <w:r>
        <w:rPr>
          <w:rFonts w:hint="eastAsia"/>
        </w:rPr>
        <w:t>、(</w:t>
      </w:r>
      <w:r>
        <w:t>CJ011</w:t>
      </w:r>
      <w:r>
        <w:rPr>
          <w:rFonts w:hint="eastAsia"/>
        </w:rPr>
        <w:t>)沐川芹菜坪自然保护区</w:t>
      </w:r>
    </w:p>
    <w:p w14:paraId="3EA72784">
      <w:pPr>
        <w:ind w:firstLine="640"/>
      </w:pPr>
      <w:r>
        <w:t>12、</w:t>
      </w:r>
      <w:r>
        <w:rPr>
          <w:rFonts w:hint="eastAsia"/>
        </w:rPr>
        <w:t>(</w:t>
      </w:r>
      <w:r>
        <w:t>CJ012</w:t>
      </w:r>
      <w:r>
        <w:rPr>
          <w:rFonts w:hint="eastAsia"/>
        </w:rPr>
        <w:t>)犍为桫椤湖国家湿地公园</w:t>
      </w:r>
    </w:p>
    <w:p w14:paraId="5E755D52">
      <w:pPr>
        <w:ind w:firstLine="640"/>
      </w:pPr>
      <w:r>
        <w:rPr>
          <w:rFonts w:hint="eastAsia"/>
        </w:rPr>
        <w:t>此外，禁止开采区还包括乐山市境内或途经乐山境内的成昆铁路、绵阳－</w:t>
      </w:r>
      <w:r>
        <w:t>乐山</w:t>
      </w:r>
      <w:r>
        <w:rPr>
          <w:rFonts w:hint="eastAsia"/>
        </w:rPr>
        <w:t>城际高速铁路，高速</w:t>
      </w:r>
      <w:r>
        <w:t>公路、国道、省道及重要的县道</w:t>
      </w:r>
      <w:r>
        <w:rPr>
          <w:rFonts w:hint="eastAsia"/>
        </w:rPr>
        <w:t>等重要交通设施，岷江、大渡</w:t>
      </w:r>
      <w:r>
        <w:t>河、青衣江、</w:t>
      </w:r>
      <w:r>
        <w:rPr>
          <w:rFonts w:hint="eastAsia"/>
        </w:rPr>
        <w:t>各大水库、电站等重要水利、水电、重要供水、供电工程</w:t>
      </w:r>
      <w:r>
        <w:t>，</w:t>
      </w:r>
      <w:r>
        <w:rPr>
          <w:rFonts w:hint="eastAsia"/>
        </w:rPr>
        <w:t>供气、供油管道设施两侧，重要桥梁、重大工程、城镇规划区、重要军事设施、机场、港口、学校、医院建设区外墙周边</w:t>
      </w:r>
      <w:r>
        <w:t>3</w:t>
      </w:r>
      <w:r>
        <w:rPr>
          <w:rFonts w:hint="eastAsia"/>
        </w:rPr>
        <w:t>00—</w:t>
      </w:r>
      <w:r>
        <w:t>1000</w:t>
      </w:r>
      <w:r>
        <w:rPr>
          <w:rFonts w:hint="eastAsia"/>
        </w:rPr>
        <w:t>米范围。</w:t>
      </w:r>
    </w:p>
    <w:p w14:paraId="471D4536">
      <w:pPr>
        <w:ind w:firstLine="640"/>
      </w:pPr>
      <w:r>
        <w:rPr>
          <w:rFonts w:hint="eastAsia"/>
        </w:rPr>
        <w:t>禁止开采区内原则上不再进行商业性勘查开采活动，但在不影响禁止区主体功能，并征得相关管理部门同意的情况下，可以进行地热、矿泉水等清洁能源矿产资源的勘查开发。已有的探、采矿权按照差别化对待政策，根据情况续存或退出。</w:t>
      </w:r>
    </w:p>
    <w:p w14:paraId="7D90A0E0">
      <w:pPr>
        <w:ind w:firstLine="643"/>
      </w:pPr>
      <w:r>
        <w:rPr>
          <w:rFonts w:hint="eastAsia"/>
          <w:b/>
        </w:rPr>
        <w:t>分析：</w:t>
      </w:r>
      <w:r>
        <w:rPr>
          <w:rFonts w:hint="eastAsia"/>
        </w:rPr>
        <w:t>以上禁止开采区的设置和</w:t>
      </w:r>
      <w:r>
        <w:t>保护措施的</w:t>
      </w:r>
      <w:r>
        <w:rPr>
          <w:rFonts w:hint="eastAsia"/>
        </w:rPr>
        <w:t>规定，有效地保护了敏感区自然风景、名胜古迹、生态环境，以及重要基础设施、重要建筑设施的地质环境。</w:t>
      </w:r>
    </w:p>
    <w:p w14:paraId="38651B9E">
      <w:pPr>
        <w:pStyle w:val="5"/>
        <w:ind w:firstLine="643"/>
      </w:pPr>
      <w:bookmarkStart w:id="156" w:name="_Toc479584537"/>
      <w:r>
        <w:rPr>
          <w:rFonts w:hint="eastAsia"/>
        </w:rPr>
        <w:t>矿业权设置区划</w:t>
      </w:r>
      <w:bookmarkEnd w:id="156"/>
    </w:p>
    <w:p w14:paraId="29021C2B">
      <w:pPr>
        <w:ind w:firstLine="640"/>
      </w:pPr>
      <w:r>
        <w:rPr>
          <w:rFonts w:hint="eastAsia"/>
        </w:rPr>
        <w:t>本《规划》共划定省市级审批矿产的探、采矿权规划区</w:t>
      </w:r>
      <w:r>
        <w:t>23</w:t>
      </w:r>
      <w:r>
        <w:rPr>
          <w:rFonts w:hint="eastAsia"/>
        </w:rPr>
        <w:t>个。其中，省</w:t>
      </w:r>
      <w:r>
        <w:t>级</w:t>
      </w:r>
      <w:r>
        <w:rPr>
          <w:rFonts w:hint="eastAsia"/>
        </w:rPr>
        <w:t>勘查规划区</w:t>
      </w:r>
      <w:r>
        <w:t>3</w:t>
      </w:r>
      <w:r>
        <w:rPr>
          <w:rFonts w:hint="eastAsia"/>
        </w:rPr>
        <w:t>个，市</w:t>
      </w:r>
      <w:r>
        <w:t>级</w:t>
      </w:r>
      <w:r>
        <w:rPr>
          <w:rFonts w:hint="eastAsia"/>
        </w:rPr>
        <w:t>勘查规划区</w:t>
      </w:r>
      <w:r>
        <w:t>6</w:t>
      </w:r>
      <w:r>
        <w:rPr>
          <w:rFonts w:hint="eastAsia"/>
        </w:rPr>
        <w:t>个，开采规划区</w:t>
      </w:r>
      <w:r>
        <w:t>10</w:t>
      </w:r>
      <w:r>
        <w:rPr>
          <w:rFonts w:hint="eastAsia"/>
        </w:rPr>
        <w:t>个(注：</w:t>
      </w:r>
      <w:r>
        <w:t>部份</w:t>
      </w:r>
      <w:r>
        <w:rPr>
          <w:rFonts w:hint="eastAsia"/>
        </w:rPr>
        <w:t>勘查区</w:t>
      </w:r>
      <w:r>
        <w:t>与开采区重叠)</w:t>
      </w:r>
      <w:r>
        <w:rPr>
          <w:rFonts w:hint="eastAsia"/>
        </w:rPr>
        <w:t>。</w:t>
      </w:r>
    </w:p>
    <w:p w14:paraId="523AA736">
      <w:pPr>
        <w:pStyle w:val="6"/>
        <w:ind w:firstLine="643"/>
      </w:pPr>
      <w:r>
        <w:rPr>
          <w:rFonts w:hint="eastAsia"/>
        </w:rPr>
        <w:t>规划</w:t>
      </w:r>
      <w:r>
        <w:t>勘查区</w:t>
      </w:r>
      <w:r>
        <w:rPr>
          <w:rFonts w:hint="eastAsia"/>
        </w:rPr>
        <w:t>(11</w:t>
      </w:r>
      <w:r>
        <w:t>个)</w:t>
      </w:r>
      <w:r>
        <w:rPr>
          <w:rFonts w:hint="eastAsia"/>
        </w:rPr>
        <w:t xml:space="preserve"> </w:t>
      </w:r>
    </w:p>
    <w:p w14:paraId="113C08A3">
      <w:pPr>
        <w:ind w:firstLine="640"/>
        <w:rPr>
          <w:rFonts w:ascii="仿宋_GB2312" w:eastAsia="仿宋_GB2312"/>
        </w:rPr>
      </w:pPr>
      <w:r>
        <w:rPr>
          <w:rFonts w:hint="eastAsia"/>
        </w:rPr>
        <w:t>含勘查规划区块13</w:t>
      </w:r>
      <w:r>
        <w:t>7</w:t>
      </w:r>
      <w:r>
        <w:rPr>
          <w:rFonts w:hint="eastAsia"/>
        </w:rPr>
        <w:t>个，其中，空白区新设勘查规划区块5</w:t>
      </w:r>
      <w:r>
        <w:t>6</w:t>
      </w:r>
      <w:r>
        <w:rPr>
          <w:rFonts w:hint="eastAsia"/>
        </w:rPr>
        <w:t>个，调整探矿权区块</w:t>
      </w:r>
      <w:r>
        <w:t>4</w:t>
      </w:r>
      <w:r>
        <w:rPr>
          <w:rFonts w:hint="eastAsia"/>
        </w:rPr>
        <w:t>个，保留已设探矿权区块7</w:t>
      </w:r>
      <w:r>
        <w:t>7</w:t>
      </w:r>
      <w:r>
        <w:rPr>
          <w:rFonts w:hint="eastAsia"/>
        </w:rPr>
        <w:t>个。在新设、保留已设探矿权区块中，勘查的主要矿种有：磷、煤、铅、锌、铜、锰、铼、硫铁矿、长石、石膏、方解石、石灰岩、砂岩、水泥配料用砂岩、陶瓷土、伊利石粘土、优质玄武岩、地热等。</w:t>
      </w:r>
    </w:p>
    <w:p w14:paraId="29C83F96">
      <w:pPr>
        <w:pStyle w:val="7"/>
        <w:ind w:firstLine="643"/>
      </w:pPr>
      <w:r>
        <w:rPr>
          <w:rFonts w:hint="eastAsia"/>
        </w:rPr>
        <w:t>勘查</w:t>
      </w:r>
      <w:r>
        <w:t>规划区</w:t>
      </w:r>
      <w:r>
        <w:rPr>
          <w:rFonts w:hint="eastAsia"/>
        </w:rPr>
        <w:t>(7</w:t>
      </w:r>
      <w:r>
        <w:t>个)</w:t>
      </w:r>
    </w:p>
    <w:p w14:paraId="6AEC559F">
      <w:pPr>
        <w:ind w:firstLine="640"/>
      </w:pPr>
      <w:r>
        <w:rPr>
          <w:rFonts w:hint="eastAsia"/>
        </w:rPr>
        <w:t>1、攀西重点勘查区暨攀西重点调查评价区(乐山部份)</w:t>
      </w:r>
    </w:p>
    <w:p w14:paraId="61D23284">
      <w:pPr>
        <w:ind w:firstLine="640"/>
      </w:pPr>
      <w:r>
        <w:rPr>
          <w:rFonts w:hint="eastAsia"/>
        </w:rPr>
        <w:t>2、马边－雷波磷矿重点勘查区(乐山部份)</w:t>
      </w:r>
    </w:p>
    <w:p w14:paraId="0257C73C">
      <w:pPr>
        <w:ind w:firstLine="640"/>
      </w:pPr>
      <w:r>
        <w:rPr>
          <w:rFonts w:hint="eastAsia"/>
        </w:rPr>
        <w:t>3、德阳－马边－雷波磷矿专项勘查区(乐山部份)</w:t>
      </w:r>
    </w:p>
    <w:p w14:paraId="1CA9C6B9">
      <w:pPr>
        <w:ind w:firstLine="640"/>
      </w:pPr>
      <w:r>
        <w:t>4</w:t>
      </w:r>
      <w:r>
        <w:rPr>
          <w:rFonts w:hint="eastAsia"/>
        </w:rPr>
        <w:t>、夹江中兴建筑陶瓷用粘土岩资源勘查区</w:t>
      </w:r>
    </w:p>
    <w:p w14:paraId="3AACF7A9">
      <w:pPr>
        <w:ind w:firstLine="640"/>
      </w:pPr>
      <w:r>
        <w:t>5</w:t>
      </w:r>
      <w:r>
        <w:rPr>
          <w:rFonts w:hint="eastAsia"/>
        </w:rPr>
        <w:t>、犍为罗城至沐川永福煤炭资源勘查区</w:t>
      </w:r>
    </w:p>
    <w:p w14:paraId="2C298043">
      <w:pPr>
        <w:ind w:firstLine="640"/>
      </w:pPr>
      <w:r>
        <w:t>6</w:t>
      </w:r>
      <w:r>
        <w:rPr>
          <w:rFonts w:hint="eastAsia"/>
        </w:rPr>
        <w:t>、沙湾牛石至峨边平等有色金属及稀有金属勘查区</w:t>
      </w:r>
    </w:p>
    <w:p w14:paraId="7563982A">
      <w:pPr>
        <w:ind w:firstLine="640"/>
      </w:pPr>
      <w:r>
        <w:t>7</w:t>
      </w:r>
      <w:r>
        <w:rPr>
          <w:rFonts w:hint="eastAsia"/>
        </w:rPr>
        <w:t>、沐川喻家坪至周沟铜多金属勘查区</w:t>
      </w:r>
    </w:p>
    <w:p w14:paraId="50084379">
      <w:pPr>
        <w:pStyle w:val="7"/>
        <w:ind w:firstLine="643"/>
      </w:pPr>
      <w:r>
        <w:rPr>
          <w:rFonts w:hint="eastAsia"/>
        </w:rPr>
        <w:t>限制勘查规划</w:t>
      </w:r>
      <w:r>
        <w:t>区</w:t>
      </w:r>
      <w:r>
        <w:rPr>
          <w:rFonts w:hint="eastAsia"/>
        </w:rPr>
        <w:t>(</w:t>
      </w:r>
      <w:r>
        <w:t>4个)</w:t>
      </w:r>
    </w:p>
    <w:p w14:paraId="2B0082C4">
      <w:pPr>
        <w:ind w:firstLine="640"/>
      </w:pPr>
      <w:r>
        <w:t>1</w:t>
      </w:r>
      <w:r>
        <w:rPr>
          <w:rFonts w:hint="eastAsia"/>
        </w:rPr>
        <w:t>、峨眉山－乐山地热、矿泉水限制勘查区</w:t>
      </w:r>
    </w:p>
    <w:p w14:paraId="2E5AD449">
      <w:pPr>
        <w:ind w:firstLine="640"/>
      </w:pPr>
      <w:r>
        <w:t>2</w:t>
      </w:r>
      <w:r>
        <w:rPr>
          <w:rFonts w:hint="eastAsia"/>
        </w:rPr>
        <w:t>、威西盐矿限制勘查区(乐山部份)</w:t>
      </w:r>
    </w:p>
    <w:p w14:paraId="21D90871">
      <w:pPr>
        <w:ind w:firstLine="640"/>
      </w:pPr>
      <w:r>
        <w:t>3</w:t>
      </w:r>
      <w:r>
        <w:rPr>
          <w:rFonts w:hint="eastAsia"/>
        </w:rPr>
        <w:t>、峨眉山乐都水泥用石灰岩、石膏矿资源限制勘查区</w:t>
      </w:r>
    </w:p>
    <w:p w14:paraId="1D84425A">
      <w:pPr>
        <w:ind w:firstLine="640"/>
      </w:pPr>
      <w:r>
        <w:rPr>
          <w:rFonts w:hint="eastAsia"/>
        </w:rPr>
        <w:t>4</w:t>
      </w:r>
      <w:r>
        <w:t>、大为</w:t>
      </w:r>
      <w:r>
        <w:rPr>
          <w:rFonts w:hint="eastAsia"/>
        </w:rPr>
        <w:t>至</w:t>
      </w:r>
      <w:r>
        <w:t>永福磷及多金属限制勘查区</w:t>
      </w:r>
    </w:p>
    <w:p w14:paraId="1EDDC683">
      <w:pPr>
        <w:pStyle w:val="6"/>
        <w:ind w:firstLine="643"/>
      </w:pPr>
      <w:r>
        <w:rPr>
          <w:rFonts w:hint="eastAsia"/>
        </w:rPr>
        <w:t>规划开</w:t>
      </w:r>
      <w:r>
        <w:t>采</w:t>
      </w:r>
      <w:r>
        <w:rPr>
          <w:rFonts w:hint="eastAsia"/>
        </w:rPr>
        <w:t>区(1</w:t>
      </w:r>
      <w:r>
        <w:t>1个)</w:t>
      </w:r>
    </w:p>
    <w:p w14:paraId="68D0CC9B">
      <w:pPr>
        <w:ind w:firstLine="640"/>
      </w:pPr>
      <w:r>
        <w:rPr>
          <w:rFonts w:hint="eastAsia"/>
        </w:rPr>
        <w:t>含各类采矿权</w:t>
      </w:r>
      <w:r>
        <w:t>467</w:t>
      </w:r>
      <w:r>
        <w:rPr>
          <w:rFonts w:hint="eastAsia"/>
        </w:rPr>
        <w:t>个，其中大型</w:t>
      </w:r>
      <w:r>
        <w:t>12</w:t>
      </w:r>
      <w:r>
        <w:rPr>
          <w:rFonts w:hint="eastAsia"/>
        </w:rPr>
        <w:t>个，中型</w:t>
      </w:r>
      <w:r>
        <w:t>41</w:t>
      </w:r>
      <w:r>
        <w:rPr>
          <w:rFonts w:hint="eastAsia"/>
        </w:rPr>
        <w:t>个，大中型所占比例为</w:t>
      </w:r>
      <w:r>
        <w:t>11%</w:t>
      </w:r>
      <w:r>
        <w:rPr>
          <w:rFonts w:hint="eastAsia"/>
        </w:rPr>
        <w:t>。</w:t>
      </w:r>
    </w:p>
    <w:p w14:paraId="3C753718">
      <w:pPr>
        <w:pStyle w:val="7"/>
        <w:ind w:firstLine="643"/>
      </w:pPr>
      <w:r>
        <w:t>开采</w:t>
      </w:r>
      <w:r>
        <w:rPr>
          <w:rFonts w:hint="eastAsia"/>
        </w:rPr>
        <w:t>规划区(</w:t>
      </w:r>
      <w:r>
        <w:t>6个)</w:t>
      </w:r>
    </w:p>
    <w:p w14:paraId="4E0EB715">
      <w:pPr>
        <w:ind w:firstLine="640"/>
      </w:pPr>
      <w:r>
        <w:rPr>
          <w:rFonts w:hint="eastAsia"/>
        </w:rPr>
        <w:t>1、马边老河坝磷矿开采(勘查)区</w:t>
      </w:r>
    </w:p>
    <w:p w14:paraId="65049AA5">
      <w:pPr>
        <w:ind w:firstLine="640"/>
      </w:pPr>
      <w:r>
        <w:rPr>
          <w:rFonts w:hint="eastAsia"/>
        </w:rPr>
        <w:t>2、峨边平等磷矿开采(勘查)区</w:t>
      </w:r>
    </w:p>
    <w:p w14:paraId="53AD6339">
      <w:pPr>
        <w:ind w:firstLine="640"/>
      </w:pPr>
      <w:r>
        <w:t>3</w:t>
      </w:r>
      <w:r>
        <w:rPr>
          <w:rFonts w:hint="eastAsia"/>
        </w:rPr>
        <w:t>、夹江中兴至黄土建筑陶瓷用粘土岩资源开采区</w:t>
      </w:r>
    </w:p>
    <w:p w14:paraId="22724773">
      <w:pPr>
        <w:ind w:firstLine="640"/>
      </w:pPr>
      <w:r>
        <w:t>4</w:t>
      </w:r>
      <w:r>
        <w:rPr>
          <w:rFonts w:hint="eastAsia"/>
        </w:rPr>
        <w:t>、犍为罗城至沐川永福煤炭资源开采区</w:t>
      </w:r>
    </w:p>
    <w:p w14:paraId="6F349021">
      <w:pPr>
        <w:ind w:firstLine="640"/>
      </w:pPr>
      <w:r>
        <w:t>5</w:t>
      </w:r>
      <w:r>
        <w:rPr>
          <w:rFonts w:hint="eastAsia"/>
        </w:rPr>
        <w:t>、沙湾牛石至峨边平等有色金属及稀有金属开采区</w:t>
      </w:r>
    </w:p>
    <w:p w14:paraId="21F9C6CE">
      <w:pPr>
        <w:ind w:firstLine="640"/>
      </w:pPr>
      <w:r>
        <w:t>6</w:t>
      </w:r>
      <w:r>
        <w:rPr>
          <w:rFonts w:hint="eastAsia"/>
        </w:rPr>
        <w:t>、</w:t>
      </w:r>
      <w:r>
        <w:tab/>
      </w:r>
      <w:r>
        <w:rPr>
          <w:rFonts w:hint="eastAsia"/>
        </w:rPr>
        <w:t>沐川喻家坪至周沟铜多金属开采(勘查)区</w:t>
      </w:r>
    </w:p>
    <w:p w14:paraId="7A7AB4D9">
      <w:pPr>
        <w:pStyle w:val="7"/>
        <w:ind w:firstLine="643"/>
      </w:pPr>
      <w:r>
        <w:rPr>
          <w:rFonts w:hint="eastAsia"/>
        </w:rPr>
        <w:t>限制</w:t>
      </w:r>
      <w:r>
        <w:t>开采规划区(5个)</w:t>
      </w:r>
    </w:p>
    <w:p w14:paraId="17C3C6ED">
      <w:pPr>
        <w:ind w:firstLine="640"/>
      </w:pPr>
      <w:r>
        <w:t>1</w:t>
      </w:r>
      <w:r>
        <w:rPr>
          <w:rFonts w:hint="eastAsia"/>
        </w:rPr>
        <w:t>、峨眉山－乐山地热、矿泉水限制开采区</w:t>
      </w:r>
    </w:p>
    <w:p w14:paraId="1754C4EE">
      <w:pPr>
        <w:ind w:firstLine="640"/>
      </w:pPr>
      <w:r>
        <w:t>2</w:t>
      </w:r>
      <w:r>
        <w:rPr>
          <w:rFonts w:hint="eastAsia"/>
        </w:rPr>
        <w:t>、威西盐矿限制开采区(乐山部份)</w:t>
      </w:r>
    </w:p>
    <w:p w14:paraId="328C55EB">
      <w:pPr>
        <w:ind w:firstLine="640"/>
      </w:pPr>
      <w:r>
        <w:t>3</w:t>
      </w:r>
      <w:r>
        <w:rPr>
          <w:rFonts w:hint="eastAsia"/>
        </w:rPr>
        <w:t>、峨眉山乐都建材资源限制开采(勘查)区</w:t>
      </w:r>
    </w:p>
    <w:p w14:paraId="6E6AEC22">
      <w:pPr>
        <w:ind w:firstLine="640"/>
      </w:pPr>
      <w:r>
        <w:t>4</w:t>
      </w:r>
      <w:r>
        <w:rPr>
          <w:rFonts w:hint="eastAsia"/>
        </w:rPr>
        <w:t>、大为至永福磷及多金属限制开采(勘查)区</w:t>
      </w:r>
    </w:p>
    <w:p w14:paraId="6ADFFC46">
      <w:pPr>
        <w:ind w:firstLine="640"/>
      </w:pPr>
      <w:r>
        <w:t>5</w:t>
      </w:r>
      <w:r>
        <w:rPr>
          <w:rFonts w:hint="eastAsia"/>
        </w:rPr>
        <w:t>、</w:t>
      </w:r>
      <w:r>
        <w:t>峨</w:t>
      </w:r>
      <w:r>
        <w:rPr>
          <w:rFonts w:hint="eastAsia"/>
        </w:rPr>
        <w:t>边</w:t>
      </w:r>
      <w:r>
        <w:t>黑竹沟</w:t>
      </w:r>
      <w:r>
        <w:rPr>
          <w:rFonts w:hint="eastAsia"/>
        </w:rPr>
        <w:t>森林</w:t>
      </w:r>
      <w:r>
        <w:t>公园限制</w:t>
      </w:r>
      <w:r>
        <w:rPr>
          <w:rFonts w:hint="eastAsia"/>
        </w:rPr>
        <w:t>开</w:t>
      </w:r>
      <w:r>
        <w:t>采(</w:t>
      </w:r>
      <w:r>
        <w:rPr>
          <w:rFonts w:hint="eastAsia"/>
        </w:rPr>
        <w:t>勘查</w:t>
      </w:r>
      <w:r>
        <w:t>)</w:t>
      </w:r>
      <w:r>
        <w:rPr>
          <w:rFonts w:hint="eastAsia"/>
        </w:rPr>
        <w:t>区</w:t>
      </w:r>
    </w:p>
    <w:p w14:paraId="6A3F580B">
      <w:pPr>
        <w:ind w:firstLine="649" w:firstLineChars="202"/>
      </w:pPr>
      <w:r>
        <w:rPr>
          <w:rFonts w:hint="eastAsia"/>
          <w:b/>
        </w:rPr>
        <w:t>分析：</w:t>
      </w:r>
      <w:r>
        <w:rPr>
          <w:rFonts w:hint="eastAsia"/>
        </w:rPr>
        <w:t>实施《规划》划定的勘查规划区和开采规划区，共</w:t>
      </w:r>
      <w:r>
        <w:t>有各类矿权483</w:t>
      </w:r>
      <w:r>
        <w:rPr>
          <w:rFonts w:hint="eastAsia"/>
        </w:rPr>
        <w:t>个</w:t>
      </w:r>
      <w:r>
        <w:t>，</w:t>
      </w:r>
      <w:r>
        <w:rPr>
          <w:rFonts w:hint="eastAsia"/>
        </w:rPr>
        <w:t>并</w:t>
      </w:r>
      <w:r>
        <w:t>作了</w:t>
      </w:r>
      <w:r>
        <w:rPr>
          <w:rFonts w:hint="eastAsia"/>
        </w:rPr>
        <w:t>限制勘查开采和禁止开采矿种的规定，充分考虑了矿产开发对环境的造成的不良影响，以减少不必要的环境破坏，为矿山地质环境起到了明显的保护和减缓破坏的作用。</w:t>
      </w:r>
    </w:p>
    <w:p w14:paraId="4319E3E6">
      <w:pPr>
        <w:ind w:firstLine="640"/>
      </w:pPr>
      <w:r>
        <w:rPr>
          <w:rFonts w:hint="eastAsia"/>
        </w:rPr>
        <w:t>随着矿产资源利用水平提高、共伴生矿产的综合勘查、综合评价和综合回收利用水平的增强、 “三率”指标不断提高、 “三废”排放的不断减少、矿业人员环保意识的增强、矿山地质环境保护与恢复治理保证金制度的全面落实、绿色矿山建设的全面推进等各种环保和防治措施全面实施，《规划》实施造成的不良环境影响不会太大，应属环境承载能力内的可控可恢复范围。</w:t>
      </w:r>
    </w:p>
    <w:p w14:paraId="2E23933B">
      <w:pPr>
        <w:pStyle w:val="4"/>
        <w:ind w:firstLine="643"/>
      </w:pPr>
      <w:bookmarkStart w:id="157" w:name="_Toc202262032"/>
      <w:bookmarkStart w:id="158" w:name="_Toc464574640"/>
      <w:bookmarkStart w:id="159" w:name="_Toc475349544"/>
      <w:bookmarkStart w:id="160" w:name="_Toc457211201"/>
      <w:bookmarkStart w:id="161" w:name="_Toc482798226"/>
      <w:bookmarkStart w:id="162" w:name="_Toc479584538"/>
      <w:r>
        <w:rPr>
          <w:rFonts w:hint="eastAsia"/>
        </w:rPr>
        <w:t>矿山地质环境保护与恢复治理</w:t>
      </w:r>
      <w:bookmarkEnd w:id="157"/>
      <w:r>
        <w:rPr>
          <w:rFonts w:hint="eastAsia"/>
        </w:rPr>
        <w:t>分析</w:t>
      </w:r>
      <w:bookmarkEnd w:id="158"/>
      <w:bookmarkEnd w:id="159"/>
      <w:bookmarkEnd w:id="160"/>
      <w:bookmarkEnd w:id="161"/>
      <w:bookmarkEnd w:id="162"/>
    </w:p>
    <w:p w14:paraId="06FA2507">
      <w:pPr>
        <w:ind w:firstLine="640"/>
      </w:pPr>
      <w:r>
        <w:rPr>
          <w:rFonts w:hint="eastAsia"/>
        </w:rPr>
        <w:t>乐山市已开发利用各类</w:t>
      </w:r>
      <w:r>
        <w:t>矿种，大都</w:t>
      </w:r>
      <w:r>
        <w:rPr>
          <w:rFonts w:hint="eastAsia"/>
        </w:rPr>
        <w:t>为地下深部开采，对矿山地表生态环境破坏较小，但是尾液、尾气排放对空气和沿河水土有一定影响，须加强井口空气检测和沿河下游汇水域水土的取样分析。部份矿山为露天开采，主要矿山环境问题是对生态环境破坏和土地占压，特别砖瓦页岩矿山存在小散多的现象，对生态环境和土地占压较为突出。其次是开矿和制砖机器噪音扰民，以及产生的粉尘对周边空气环境的影响。</w:t>
      </w:r>
    </w:p>
    <w:p w14:paraId="409EDF4C">
      <w:pPr>
        <w:ind w:firstLine="640"/>
      </w:pPr>
      <w:r>
        <w:rPr>
          <w:rFonts w:hint="eastAsia"/>
        </w:rPr>
        <w:t>针对不同矿山和不同的矿山地质环境问题，开展矿山地质环境恢复治理工作。针对历史遗留的无主矿山，主要由政府出资，鼓励社会资金参与治理恢复和复垦复绿工作。</w:t>
      </w:r>
    </w:p>
    <w:p w14:paraId="04825048">
      <w:pPr>
        <w:ind w:firstLine="640"/>
      </w:pPr>
      <w:r>
        <w:rPr>
          <w:rFonts w:hint="eastAsia"/>
        </w:rPr>
        <w:t>分期分批将历史遗留矿山造成的地质环境破坏和土地毁损进行全面恢复和复垦；针对有主矿山采取征收矿山地质环境保证金，督促矿山企业做好矿山地质环境恢复治理工作。要求按照“谁破坏，谁恢复；谁污染，谁治理”的原则，对矿山地质环境进行全面恢复治理和土地复垦工作，并经国土资源相关部门检查验收过关后，方可退还保证金。未进行恢复治理或治理不合格者，不与退还或部分退还保证金。</w:t>
      </w:r>
      <w:bookmarkStart w:id="163" w:name="_Toc457211211"/>
      <w:bookmarkStart w:id="164" w:name="_Toc464574651"/>
    </w:p>
    <w:p w14:paraId="05C76E06">
      <w:pPr>
        <w:pStyle w:val="3"/>
        <w:ind w:firstLine="723"/>
      </w:pPr>
      <w:bookmarkStart w:id="165" w:name="_Toc479584539"/>
      <w:bookmarkStart w:id="166" w:name="_Toc482798227"/>
      <w:r>
        <w:rPr>
          <w:rFonts w:hint="eastAsia"/>
        </w:rPr>
        <w:t>预测与评价</w:t>
      </w:r>
      <w:bookmarkEnd w:id="163"/>
      <w:bookmarkEnd w:id="164"/>
      <w:bookmarkEnd w:id="165"/>
      <w:bookmarkEnd w:id="166"/>
    </w:p>
    <w:p w14:paraId="38F932CA">
      <w:pPr>
        <w:pStyle w:val="4"/>
        <w:ind w:firstLine="643"/>
      </w:pPr>
      <w:bookmarkStart w:id="167" w:name="_Toc482798228"/>
      <w:bookmarkStart w:id="168" w:name="_Toc479584540"/>
      <w:bookmarkStart w:id="169" w:name="_Toc475349546"/>
      <w:r>
        <w:rPr>
          <w:rFonts w:hint="eastAsia"/>
        </w:rPr>
        <w:t>规划分区环境影响预测与评价</w:t>
      </w:r>
      <w:bookmarkEnd w:id="167"/>
      <w:bookmarkEnd w:id="168"/>
      <w:bookmarkEnd w:id="169"/>
    </w:p>
    <w:p w14:paraId="3A30E556">
      <w:pPr>
        <w:ind w:firstLine="640"/>
      </w:pPr>
      <w:r>
        <w:rPr>
          <w:rFonts w:hint="eastAsia"/>
        </w:rPr>
        <w:t>根据各类规划分区要求，划出</w:t>
      </w:r>
      <w:r>
        <w:t>12</w:t>
      </w:r>
      <w:r>
        <w:rPr>
          <w:rFonts w:hint="eastAsia"/>
        </w:rPr>
        <w:t>处具环境保护功能的禁止开采区，</w:t>
      </w:r>
      <w:bookmarkStart w:id="170" w:name="_Toc130556970"/>
      <w:bookmarkStart w:id="171" w:name="_Toc168196968"/>
      <w:r>
        <w:rPr>
          <w:rFonts w:hint="eastAsia"/>
        </w:rPr>
        <w:t>禁止开采区还包括：城市饮用水源地、基本农田、重要交通、重要河流、重大工程基础设施以及法律法规规定的其它禁止开采区周围或两侧一定可视范围内。有拐点坐标的，按拐点划出禁止开采区范围为准，无拐点坐标的，按周边或两侧500—1000米可视范围作为禁止开采区。还包括《</w:t>
      </w:r>
      <w:r>
        <w:t>四川省生态保护红线实施意见</w:t>
      </w:r>
      <w:r>
        <w:rPr>
          <w:rFonts w:hint="eastAsia"/>
        </w:rPr>
        <w:t>》中</w:t>
      </w:r>
      <w:r>
        <w:t>规定的乐乐山市第一水厂饮用水新水源保护区，乐山市苏稽水口片区集中供水工程饮用水水源保护区</w:t>
      </w:r>
      <w:r>
        <w:rPr>
          <w:rFonts w:hint="eastAsia"/>
        </w:rPr>
        <w:t>。</w:t>
      </w:r>
    </w:p>
    <w:p w14:paraId="0FB31A0B">
      <w:pPr>
        <w:ind w:firstLine="640"/>
      </w:pPr>
      <w:r>
        <w:rPr>
          <w:rFonts w:hint="eastAsia"/>
        </w:rPr>
        <w:t>《规划》规定，禁止开采区内以环境保护为重，禁止开采矿产资源。</w:t>
      </w:r>
      <w:bookmarkEnd w:id="170"/>
      <w:bookmarkEnd w:id="171"/>
      <w:r>
        <w:rPr>
          <w:rFonts w:hint="eastAsia"/>
        </w:rPr>
        <w:t>该项《规划》的实施将更有效地保护重要基础设施、重要文物古迹、地质遗迹和生态环境，不会造成不良环境影响。</w:t>
      </w:r>
    </w:p>
    <w:p w14:paraId="79BAF8FA">
      <w:pPr>
        <w:pStyle w:val="4"/>
        <w:ind w:firstLine="643"/>
      </w:pPr>
      <w:bookmarkStart w:id="172" w:name="_Toc457211212"/>
      <w:bookmarkStart w:id="173" w:name="_Toc482798229"/>
      <w:bookmarkStart w:id="174" w:name="_Toc474923299"/>
      <w:bookmarkStart w:id="175" w:name="_Toc475349547"/>
      <w:bookmarkStart w:id="176" w:name="_Toc479584541"/>
      <w:bookmarkStart w:id="177" w:name="_Toc464574652"/>
      <w:bookmarkStart w:id="178" w:name="_Toc474923629"/>
      <w:r>
        <w:rPr>
          <w:rFonts w:hint="eastAsia"/>
        </w:rPr>
        <w:t>矿业权设置区划环境影响预测与评价</w:t>
      </w:r>
      <w:bookmarkEnd w:id="172"/>
      <w:bookmarkEnd w:id="173"/>
      <w:bookmarkEnd w:id="174"/>
      <w:bookmarkEnd w:id="175"/>
      <w:bookmarkEnd w:id="176"/>
      <w:bookmarkEnd w:id="177"/>
      <w:bookmarkEnd w:id="178"/>
    </w:p>
    <w:p w14:paraId="29BF169C">
      <w:pPr>
        <w:ind w:firstLine="640"/>
      </w:pPr>
      <w:r>
        <w:rPr>
          <w:rFonts w:hint="eastAsia"/>
        </w:rPr>
        <w:t>矿业权区划分拟设探矿权勘查规划区块和拟设采矿权开采规划区块。以下分别按勘查规划区块和开采规划区块中不同矿种进行环境影响预测和评价。</w:t>
      </w:r>
    </w:p>
    <w:p w14:paraId="66105C9F">
      <w:pPr>
        <w:pStyle w:val="4"/>
        <w:ind w:firstLine="643"/>
      </w:pPr>
      <w:bookmarkStart w:id="179" w:name="_Toc479584542"/>
      <w:bookmarkStart w:id="180" w:name="_Toc482798230"/>
      <w:r>
        <w:rPr>
          <w:rFonts w:hint="eastAsia"/>
        </w:rPr>
        <w:t>勘查规划区设置环境影响预测与评价</w:t>
      </w:r>
      <w:bookmarkEnd w:id="179"/>
      <w:bookmarkEnd w:id="180"/>
    </w:p>
    <w:p w14:paraId="0A68F0A9">
      <w:pPr>
        <w:ind w:firstLine="640"/>
      </w:pPr>
      <w:r>
        <w:rPr>
          <w:rFonts w:hint="eastAsia"/>
        </w:rPr>
        <w:t>本《规划》拟设置勘查规划区</w:t>
      </w:r>
      <w:r>
        <w:t>中，除</w:t>
      </w:r>
      <w:r>
        <w:rPr>
          <w:rFonts w:hint="eastAsia"/>
        </w:rPr>
        <w:t>峨眉山乐都水泥用石灰岩石膏矿资源限制勘查区和夹江中兴建筑陶瓷用粘土岩资源勘查区为</w:t>
      </w:r>
      <w:r>
        <w:t>露天开采</w:t>
      </w:r>
      <w:r>
        <w:rPr>
          <w:rFonts w:hint="eastAsia"/>
        </w:rPr>
        <w:t>外</w:t>
      </w:r>
      <w:r>
        <w:t>，</w:t>
      </w:r>
      <w:r>
        <w:rPr>
          <w:rFonts w:hint="eastAsia"/>
        </w:rPr>
        <w:t>大</w:t>
      </w:r>
      <w:r>
        <w:t>都为</w:t>
      </w:r>
      <w:r>
        <w:rPr>
          <w:rFonts w:hint="eastAsia"/>
        </w:rPr>
        <w:t>地</w:t>
      </w:r>
      <w:r>
        <w:t>下开采矿种，</w:t>
      </w:r>
      <w:r>
        <w:rPr>
          <w:rFonts w:hint="eastAsia"/>
        </w:rPr>
        <w:t>主要勘查手段为钻探，勘查过程中所造成的环境问题，主要为生产的卤水及</w:t>
      </w:r>
      <w:r>
        <w:t>回</w:t>
      </w:r>
      <w:r>
        <w:rPr>
          <w:rFonts w:hint="eastAsia"/>
        </w:rPr>
        <w:t>灌</w:t>
      </w:r>
      <w:r>
        <w:t>热水</w:t>
      </w:r>
      <w:r>
        <w:rPr>
          <w:rFonts w:hint="eastAsia"/>
        </w:rPr>
        <w:t>在管道输送</w:t>
      </w:r>
      <w:r>
        <w:t>过程中</w:t>
      </w:r>
      <w:r>
        <w:rPr>
          <w:rFonts w:hint="eastAsia"/>
        </w:rPr>
        <w:t>若发</w:t>
      </w:r>
      <w:r>
        <w:t>生</w:t>
      </w:r>
      <w:r>
        <w:rPr>
          <w:rFonts w:hint="eastAsia"/>
        </w:rPr>
        <w:t>泄漏，可能造成的大气和水土污染。其次是钻井及周边很小范围的植被破坏和土地占压，以及钻机噪音、震动扰民等。随着勘查程度提高，工程密度加大，强度增加，以上环境问题还可能会逐渐加重，并可能会给矿区及附近居民生产生活造成一定不良影响。若勘查过程中加强环境保护，并加强共伴生气液体的回收处理，并采取有效的防治措施封好井口，预测在勘查阶段，不会造成较大的环境影响。</w:t>
      </w:r>
    </w:p>
    <w:p w14:paraId="6E905FCE">
      <w:pPr>
        <w:pStyle w:val="4"/>
        <w:ind w:firstLine="643"/>
      </w:pPr>
      <w:bookmarkStart w:id="181" w:name="_Toc479584543"/>
      <w:bookmarkStart w:id="182" w:name="_Toc482798231"/>
      <w:r>
        <w:rPr>
          <w:rFonts w:hint="eastAsia"/>
        </w:rPr>
        <w:t>开采规划区块设置环境影响预测与评价</w:t>
      </w:r>
      <w:bookmarkEnd w:id="181"/>
      <w:bookmarkEnd w:id="182"/>
    </w:p>
    <w:p w14:paraId="2E585B0B">
      <w:pPr>
        <w:ind w:firstLine="640"/>
      </w:pPr>
      <w:r>
        <w:rPr>
          <w:rFonts w:hint="eastAsia"/>
        </w:rPr>
        <w:t>本轮《规划》共设置省市级审批的开采规划区现按</w:t>
      </w:r>
      <w:r>
        <w:t>开</w:t>
      </w:r>
      <w:r>
        <w:rPr>
          <w:rFonts w:hint="eastAsia"/>
        </w:rPr>
        <w:t>采</w:t>
      </w:r>
      <w:r>
        <w:t>矿种及开采</w:t>
      </w:r>
      <w:r>
        <w:rPr>
          <w:rFonts w:hint="eastAsia"/>
        </w:rPr>
        <w:t>方式</w:t>
      </w:r>
      <w:r>
        <w:t>类型分</w:t>
      </w:r>
      <w:r>
        <w:rPr>
          <w:rFonts w:hint="eastAsia"/>
        </w:rPr>
        <w:t>述</w:t>
      </w:r>
      <w:r>
        <w:t>如下</w:t>
      </w:r>
      <w:r>
        <w:rPr>
          <w:rFonts w:hint="eastAsia"/>
        </w:rPr>
        <w:t>：</w:t>
      </w:r>
    </w:p>
    <w:p w14:paraId="13481811">
      <w:pPr>
        <w:ind w:firstLine="643"/>
      </w:pPr>
      <w:r>
        <w:rPr>
          <w:rFonts w:hint="eastAsia"/>
          <w:b/>
        </w:rPr>
        <w:t>露天开采规划区(2个</w:t>
      </w:r>
      <w:r>
        <w:rPr>
          <w:b/>
        </w:rPr>
        <w:t>)</w:t>
      </w:r>
      <w:r>
        <w:rPr>
          <w:rFonts w:hint="eastAsia"/>
          <w:b/>
        </w:rPr>
        <w:t>：</w:t>
      </w:r>
      <w:r>
        <w:rPr>
          <w:rFonts w:hint="eastAsia"/>
        </w:rPr>
        <w:t>峨眉山乐都建材资源限制开采(勘查)区和夹江中兴至黄土建筑陶瓷用粘土岩资源允许开采区位。</w:t>
      </w:r>
    </w:p>
    <w:p w14:paraId="030146F9">
      <w:pPr>
        <w:ind w:firstLine="640"/>
      </w:pPr>
      <w:r>
        <w:rPr>
          <w:rFonts w:hint="eastAsia"/>
        </w:rPr>
        <w:t>开采方式为露天开采，所造成的环境问题主要为植被破坏和土地占压、边坡和渣石堆失稳、粉尘、噪音和震动扰民等，过去开采已造成了矿区较大面积的植被破坏和土地占压，以及废渣石无序堆放等环境问题。继续开采可能还会造成矿山环境的加重，给矿区附近居民造成一定的不良影响。由于</w:t>
      </w:r>
      <w:r>
        <w:t>这类矿山的回采率均大于95%，废弃物很少，故</w:t>
      </w:r>
      <w:r>
        <w:rPr>
          <w:rFonts w:hint="eastAsia"/>
        </w:rPr>
        <w:t>影响范围较小，仅为矿区及周边很小范围内有轻微</w:t>
      </w:r>
      <w:r>
        <w:t>的</w:t>
      </w:r>
      <w:r>
        <w:rPr>
          <w:rFonts w:hint="eastAsia"/>
        </w:rPr>
        <w:t>物理影响，不会对大气和水土环境造成大范围的化学污染。</w:t>
      </w:r>
    </w:p>
    <w:p w14:paraId="31964A56">
      <w:pPr>
        <w:ind w:firstLine="640"/>
      </w:pPr>
      <w:r>
        <w:rPr>
          <w:rFonts w:hint="eastAsia"/>
        </w:rPr>
        <w:t xml:space="preserve">另外，本次规划已将该峨眉山乐都建材资源限制开采(勘查)区的矿山作为矿山地质环境重点治理项目进行重点整治。通过治理，因开采造成的不良环境影响会得到逐渐减轻或消除。 </w:t>
      </w:r>
    </w:p>
    <w:p w14:paraId="0A078DED">
      <w:pPr>
        <w:ind w:firstLine="643"/>
      </w:pPr>
      <w:r>
        <w:rPr>
          <w:rFonts w:hint="eastAsia"/>
          <w:b/>
        </w:rPr>
        <w:t>岩盐和卤水开采规划区(1</w:t>
      </w:r>
      <w:r>
        <w:rPr>
          <w:b/>
        </w:rPr>
        <w:t>个)</w:t>
      </w:r>
      <w:r>
        <w:rPr>
          <w:rFonts w:hint="eastAsia"/>
          <w:b/>
        </w:rPr>
        <w:t>：</w:t>
      </w:r>
      <w:r>
        <w:rPr>
          <w:rFonts w:hint="eastAsia"/>
        </w:rPr>
        <w:t>威西盐矿限制开采区(乐山部份)。</w:t>
      </w:r>
    </w:p>
    <w:p w14:paraId="4F625D33">
      <w:pPr>
        <w:ind w:firstLine="640"/>
      </w:pPr>
      <w:r>
        <w:rPr>
          <w:rFonts w:hint="eastAsia"/>
        </w:rPr>
        <w:t>为已设采矿权保留，主要是</w:t>
      </w:r>
      <w:r>
        <w:t>以</w:t>
      </w:r>
      <w:r>
        <w:rPr>
          <w:rFonts w:hint="eastAsia"/>
        </w:rPr>
        <w:t>深井</w:t>
      </w:r>
      <w:r>
        <w:t>水溶法</w:t>
      </w:r>
      <w:r>
        <w:rPr>
          <w:rFonts w:hint="eastAsia"/>
        </w:rPr>
        <w:t>开采岩盐卤水。过去开采已造成一定的植被破坏和大气、水土的污染。继续开采，可能会造成进一步环境问题，主</w:t>
      </w:r>
      <w:r>
        <w:t>要</w:t>
      </w:r>
      <w:r>
        <w:rPr>
          <w:rFonts w:hint="eastAsia"/>
        </w:rPr>
        <w:t>表现为生</w:t>
      </w:r>
      <w:r>
        <w:t>产</w:t>
      </w:r>
      <w:r>
        <w:rPr>
          <w:rFonts w:hint="eastAsia"/>
        </w:rPr>
        <w:t>盐井</w:t>
      </w:r>
      <w:r>
        <w:t>及运输管道的</w:t>
      </w:r>
      <w:r>
        <w:rPr>
          <w:rFonts w:hint="eastAsia"/>
        </w:rPr>
        <w:t>渗漏</w:t>
      </w:r>
      <w:r>
        <w:t>，</w:t>
      </w:r>
      <w:r>
        <w:rPr>
          <w:rFonts w:hint="eastAsia"/>
        </w:rPr>
        <w:t>必须采取防治措施。由于</w:t>
      </w:r>
      <w:r>
        <w:t>这类矿山开采深度多</w:t>
      </w:r>
      <w:r>
        <w:rPr>
          <w:rFonts w:hint="eastAsia"/>
        </w:rPr>
        <w:t>在千</w:t>
      </w:r>
      <w:r>
        <w:t>米左右，故对地表</w:t>
      </w:r>
      <w:r>
        <w:rPr>
          <w:rFonts w:hint="eastAsia"/>
        </w:rPr>
        <w:t>地貌</w:t>
      </w:r>
      <w:r>
        <w:t>影响轻微</w:t>
      </w:r>
      <w:r>
        <w:rPr>
          <w:rFonts w:hint="eastAsia"/>
        </w:rPr>
        <w:t>。</w:t>
      </w:r>
    </w:p>
    <w:p w14:paraId="760E0F1E">
      <w:pPr>
        <w:ind w:firstLine="643"/>
      </w:pPr>
      <w:r>
        <w:rPr>
          <w:rFonts w:hint="eastAsia"/>
          <w:b/>
        </w:rPr>
        <w:t>地</w:t>
      </w:r>
      <w:r>
        <w:rPr>
          <w:b/>
        </w:rPr>
        <w:t>热及</w:t>
      </w:r>
      <w:r>
        <w:rPr>
          <w:rFonts w:hint="eastAsia"/>
          <w:b/>
        </w:rPr>
        <w:t>矿泉水开采规划区(1个</w:t>
      </w:r>
      <w:r>
        <w:rPr>
          <w:b/>
        </w:rPr>
        <w:t>)</w:t>
      </w:r>
      <w:r>
        <w:rPr>
          <w:rFonts w:hint="eastAsia"/>
          <w:b/>
        </w:rPr>
        <w:t>：</w:t>
      </w:r>
      <w:r>
        <w:rPr>
          <w:rFonts w:hint="eastAsia"/>
        </w:rPr>
        <w:t>峨眉山－乐山地热、矿泉水限制开采区。</w:t>
      </w:r>
    </w:p>
    <w:p w14:paraId="6609EC0E">
      <w:pPr>
        <w:ind w:firstLine="640"/>
      </w:pPr>
      <w:r>
        <w:rPr>
          <w:rFonts w:hint="eastAsia"/>
        </w:rPr>
        <w:t>为已设采矿权保留，开采地</w:t>
      </w:r>
      <w:r>
        <w:t>热及</w:t>
      </w:r>
      <w:r>
        <w:rPr>
          <w:rFonts w:hint="eastAsia"/>
        </w:rPr>
        <w:t xml:space="preserve">饮用矿泉水对环境造成的不良影响很小。 </w:t>
      </w:r>
    </w:p>
    <w:p w14:paraId="3EE8BECD">
      <w:pPr>
        <w:ind w:firstLine="643"/>
      </w:pPr>
      <w:r>
        <w:rPr>
          <w:rFonts w:hint="eastAsia"/>
          <w:b/>
        </w:rPr>
        <w:t>地下</w:t>
      </w:r>
      <w:r>
        <w:rPr>
          <w:b/>
        </w:rPr>
        <w:t>开采规划区</w:t>
      </w:r>
      <w:r>
        <w:rPr>
          <w:rFonts w:hint="eastAsia"/>
          <w:b/>
        </w:rPr>
        <w:t>(6</w:t>
      </w:r>
      <w:r>
        <w:rPr>
          <w:b/>
        </w:rPr>
        <w:t>个)</w:t>
      </w:r>
      <w:r>
        <w:rPr>
          <w:rFonts w:hint="eastAsia"/>
          <w:b/>
        </w:rPr>
        <w:t>：</w:t>
      </w:r>
      <w:r>
        <w:rPr>
          <w:rFonts w:hint="eastAsia"/>
        </w:rPr>
        <w:t>主</w:t>
      </w:r>
      <w:r>
        <w:t>要开采矿</w:t>
      </w:r>
      <w:r>
        <w:rPr>
          <w:rFonts w:hint="eastAsia"/>
        </w:rPr>
        <w:t>种</w:t>
      </w:r>
      <w:r>
        <w:t>为</w:t>
      </w:r>
      <w:r>
        <w:rPr>
          <w:rFonts w:hint="eastAsia"/>
        </w:rPr>
        <w:t>磷</w:t>
      </w:r>
      <w:r>
        <w:t>、</w:t>
      </w:r>
      <w:r>
        <w:rPr>
          <w:rFonts w:hint="eastAsia"/>
        </w:rPr>
        <w:t>煤、</w:t>
      </w:r>
      <w:r>
        <w:t>铜</w:t>
      </w:r>
      <w:r>
        <w:rPr>
          <w:rFonts w:hint="eastAsia"/>
        </w:rPr>
        <w:t>、</w:t>
      </w:r>
      <w:r>
        <w:t>铅</w:t>
      </w:r>
      <w:r>
        <w:rPr>
          <w:rFonts w:hint="eastAsia"/>
        </w:rPr>
        <w:t>锌</w:t>
      </w:r>
      <w:r>
        <w:t>等，</w:t>
      </w:r>
      <w:r>
        <w:rPr>
          <w:rFonts w:hint="eastAsia"/>
        </w:rPr>
        <w:t>均</w:t>
      </w:r>
      <w:r>
        <w:t>为平硐、</w:t>
      </w:r>
      <w:r>
        <w:rPr>
          <w:rFonts w:hint="eastAsia"/>
        </w:rPr>
        <w:t>斜井或</w:t>
      </w:r>
      <w:r>
        <w:t>竖井开采，</w:t>
      </w:r>
      <w:r>
        <w:rPr>
          <w:rFonts w:hint="eastAsia"/>
        </w:rPr>
        <w:t>主</w:t>
      </w:r>
      <w:r>
        <w:t>要表现为</w:t>
      </w:r>
      <w:r>
        <w:rPr>
          <w:rFonts w:hint="eastAsia"/>
        </w:rPr>
        <w:t>井巷</w:t>
      </w:r>
      <w:r>
        <w:t>、</w:t>
      </w:r>
      <w:r>
        <w:rPr>
          <w:rFonts w:hint="eastAsia"/>
        </w:rPr>
        <w:t>井筒周边很小范围的植被破坏和弃渣堆放土地占压，以及钻机噪音、爆破震动扰民等。其</w:t>
      </w:r>
      <w:r>
        <w:t>中，</w:t>
      </w:r>
      <w:r>
        <w:rPr>
          <w:rFonts w:hint="eastAsia"/>
        </w:rPr>
        <w:t>马</w:t>
      </w:r>
      <w:r>
        <w:t>边老河坝</w:t>
      </w:r>
      <w:r>
        <w:rPr>
          <w:rFonts w:hint="eastAsia"/>
        </w:rPr>
        <w:t>磷</w:t>
      </w:r>
      <w:r>
        <w:t>矿区在过去大量的</w:t>
      </w:r>
      <w:r>
        <w:rPr>
          <w:rFonts w:hint="eastAsia"/>
        </w:rPr>
        <w:t>露天</w:t>
      </w:r>
      <w:r>
        <w:t>开采过</w:t>
      </w:r>
      <w:r>
        <w:rPr>
          <w:rFonts w:hint="eastAsia"/>
        </w:rPr>
        <w:t>程</w:t>
      </w:r>
      <w:r>
        <w:t>中，剥离的盖层顺坡堆放</w:t>
      </w:r>
      <w:r>
        <w:rPr>
          <w:rFonts w:hint="eastAsia"/>
        </w:rPr>
        <w:t>，</w:t>
      </w:r>
      <w:r>
        <w:t>已经形成小</w:t>
      </w:r>
      <w:r>
        <w:rPr>
          <w:rFonts w:hint="eastAsia"/>
        </w:rPr>
        <w:t>规模</w:t>
      </w:r>
      <w:r>
        <w:t>的泥</w:t>
      </w:r>
      <w:r>
        <w:rPr>
          <w:rFonts w:hint="eastAsia"/>
        </w:rPr>
        <w:t>石流灾害。</w:t>
      </w:r>
      <w:r>
        <w:t>虽然</w:t>
      </w:r>
      <w:r>
        <w:rPr>
          <w:rFonts w:hint="eastAsia"/>
        </w:rPr>
        <w:t>现</w:t>
      </w:r>
      <w:r>
        <w:t>在该矿区已经全部转为地下开采，但</w:t>
      </w:r>
      <w:r>
        <w:rPr>
          <w:rFonts w:hint="eastAsia"/>
        </w:rPr>
        <w:t>露天</w:t>
      </w:r>
      <w:r>
        <w:t>开采造成的遗留问题</w:t>
      </w:r>
      <w:r>
        <w:rPr>
          <w:rFonts w:hint="eastAsia"/>
        </w:rPr>
        <w:t>尚</w:t>
      </w:r>
      <w:r>
        <w:t>未根本解决</w:t>
      </w:r>
      <w:r>
        <w:rPr>
          <w:rFonts w:hint="eastAsia"/>
        </w:rPr>
        <w:t>。</w:t>
      </w:r>
      <w:r>
        <w:t>本</w:t>
      </w:r>
      <w:r>
        <w:rPr>
          <w:rFonts w:hint="eastAsia"/>
        </w:rPr>
        <w:t>次</w:t>
      </w:r>
      <w:r>
        <w:t>规划已经将该矿区列为</w:t>
      </w:r>
      <w:r>
        <w:rPr>
          <w:rFonts w:hint="eastAsia"/>
        </w:rPr>
        <w:t>地</w:t>
      </w:r>
      <w:r>
        <w:t>质灾害重点整治项目</w:t>
      </w:r>
      <w:r>
        <w:rPr>
          <w:rFonts w:hint="eastAsia"/>
        </w:rPr>
        <w:t>之</w:t>
      </w:r>
      <w:r>
        <w:t>一，</w:t>
      </w:r>
      <w:r>
        <w:rPr>
          <w:rFonts w:hint="eastAsia"/>
        </w:rPr>
        <w:t xml:space="preserve">通过治理，因开采造成的不良环境影响会得到逐渐减轻或消除。 </w:t>
      </w:r>
    </w:p>
    <w:p w14:paraId="1F51EC24">
      <w:pPr>
        <w:pStyle w:val="4"/>
        <w:ind w:firstLine="643"/>
      </w:pPr>
      <w:bookmarkStart w:id="183" w:name="_Toc475349548"/>
      <w:bookmarkStart w:id="184" w:name="_Toc202262043"/>
      <w:bookmarkStart w:id="185" w:name="_Toc457211213"/>
      <w:bookmarkStart w:id="186" w:name="_Toc464574653"/>
      <w:bookmarkStart w:id="187" w:name="_Toc479584544"/>
      <w:bookmarkStart w:id="188" w:name="_Toc474923300"/>
      <w:bookmarkStart w:id="189" w:name="_Toc474923630"/>
      <w:bookmarkStart w:id="190" w:name="_Toc482798232"/>
      <w:r>
        <w:rPr>
          <w:rFonts w:hint="eastAsia"/>
        </w:rPr>
        <w:t>矿山环境治理分区与治理项目预测与评价</w:t>
      </w:r>
      <w:bookmarkEnd w:id="183"/>
      <w:bookmarkEnd w:id="184"/>
      <w:bookmarkEnd w:id="185"/>
      <w:bookmarkEnd w:id="186"/>
      <w:bookmarkEnd w:id="187"/>
      <w:bookmarkEnd w:id="188"/>
      <w:bookmarkEnd w:id="189"/>
      <w:bookmarkEnd w:id="190"/>
    </w:p>
    <w:p w14:paraId="399C2E58">
      <w:pPr>
        <w:ind w:firstLine="640"/>
      </w:pPr>
      <w:r>
        <w:rPr>
          <w:rFonts w:hint="eastAsia"/>
        </w:rPr>
        <w:t>《规划》划分了矿山地质环境重点治理项目</w:t>
      </w:r>
      <w:r>
        <w:t>3</w:t>
      </w:r>
      <w:r>
        <w:rPr>
          <w:rFonts w:hint="eastAsia"/>
        </w:rPr>
        <w:t>个：</w:t>
      </w:r>
    </w:p>
    <w:p w14:paraId="67929296">
      <w:pPr>
        <w:ind w:firstLine="640"/>
      </w:pPr>
      <w:r>
        <w:rPr>
          <w:rFonts w:hint="eastAsia"/>
        </w:rPr>
        <w:t>(1)</w:t>
      </w:r>
      <w:r>
        <w:t>峨边五渡</w:t>
      </w:r>
      <w:r>
        <w:rPr>
          <w:rFonts w:hint="eastAsia"/>
        </w:rPr>
        <w:t>长</w:t>
      </w:r>
      <w:r>
        <w:t>石</w:t>
      </w:r>
      <w:r>
        <w:rPr>
          <w:rFonts w:hint="eastAsia"/>
        </w:rPr>
        <w:t>矿</w:t>
      </w:r>
      <w:r>
        <w:t>区</w:t>
      </w:r>
    </w:p>
    <w:p w14:paraId="106109DE">
      <w:pPr>
        <w:ind w:firstLine="640"/>
      </w:pPr>
      <w:r>
        <w:rPr>
          <w:rFonts w:hint="eastAsia"/>
        </w:rPr>
        <w:t>(2)马</w:t>
      </w:r>
      <w:r>
        <w:t>边老河坝磷矿区</w:t>
      </w:r>
    </w:p>
    <w:p w14:paraId="2FA5B7C1">
      <w:pPr>
        <w:ind w:firstLine="640"/>
      </w:pPr>
      <w:r>
        <w:rPr>
          <w:rFonts w:hint="eastAsia"/>
        </w:rPr>
        <w:t>(3)峨眉</w:t>
      </w:r>
      <w:r>
        <w:t>山水泥用石灰岩矿区</w:t>
      </w:r>
    </w:p>
    <w:p w14:paraId="4AC168A8">
      <w:pPr>
        <w:ind w:firstLine="640"/>
      </w:pPr>
      <w:r>
        <w:t>绿色矿</w:t>
      </w:r>
      <w:r>
        <w:rPr>
          <w:rFonts w:hint="eastAsia"/>
        </w:rPr>
        <w:t>山示范</w:t>
      </w:r>
      <w:r>
        <w:t>区1个</w:t>
      </w:r>
      <w:r>
        <w:rPr>
          <w:rFonts w:hint="eastAsia"/>
        </w:rPr>
        <w:t>：峨眉</w:t>
      </w:r>
      <w:r>
        <w:t>山水泥用石灰岩矿区</w:t>
      </w:r>
    </w:p>
    <w:p w14:paraId="50FA421A">
      <w:pPr>
        <w:ind w:firstLine="640"/>
      </w:pPr>
      <w:r>
        <w:rPr>
          <w:rFonts w:hint="eastAsia"/>
        </w:rPr>
        <w:t>这些治理区主要为过去闭坑矿山或近露天开</w:t>
      </w:r>
      <w:r>
        <w:t>采</w:t>
      </w:r>
      <w:r>
        <w:rPr>
          <w:rFonts w:hint="eastAsia"/>
        </w:rPr>
        <w:t>矿山集中分布区，矿山环境问题主要是植被破坏、土地占压、废渣石无序堆放、边坡失稳等。矿山环境问题对周边居民的生活、工农业生产、经济发展等造成一定影响，同时还可能诱发地质灾害。必须通过废弃物、废渣石清理，边坡加固、采坑回填、采场平整、覆土复垦或植树种草恢复生态，消除各种安全隐患，改善人居环境，提升矿区</w:t>
      </w:r>
      <w:r>
        <w:t>整体</w:t>
      </w:r>
      <w:r>
        <w:rPr>
          <w:rFonts w:hint="eastAsia"/>
        </w:rPr>
        <w:t>形象。通过治理，因历史</w:t>
      </w:r>
      <w:r>
        <w:t>原因或现正</w:t>
      </w:r>
      <w:r>
        <w:rPr>
          <w:rFonts w:hint="eastAsia"/>
        </w:rPr>
        <w:t>开采所造成的不良环境影响会得到逐渐减轻或消除。</w:t>
      </w:r>
    </w:p>
    <w:p w14:paraId="1FB5ACA4">
      <w:pPr>
        <w:ind w:firstLine="640"/>
      </w:pPr>
      <w:r>
        <w:rPr>
          <w:rFonts w:hint="eastAsia"/>
        </w:rPr>
        <w:t>随着国家生态文明建设的推进、环保意识和绿色理念的增强、国土</w:t>
      </w:r>
      <w:r>
        <w:t>资源</w:t>
      </w:r>
      <w:r>
        <w:rPr>
          <w:rFonts w:hint="eastAsia"/>
        </w:rPr>
        <w:t>部和四川省关于环境保护的法律法规逐步完善，本</w:t>
      </w:r>
      <w:r>
        <w:t>市</w:t>
      </w:r>
      <w:r>
        <w:rPr>
          <w:rFonts w:hint="eastAsia"/>
        </w:rPr>
        <w:t>执法监督力度的加大，矿山地质环境保证金制度的全面落实，矿山地质环境恢复治理和土地复垦重点项目的全面展开、绿色化发展理念和绿色矿山示范区形成和推广、矿产资源综合利用水平的不断提高、采选冶加工方法技术的不断改进、开采准入条件的提高，历史矿山和现有矿山环境破坏将陆续得以治理恢复，新建矿山将全面绿色化。</w:t>
      </w:r>
    </w:p>
    <w:p w14:paraId="7DFAADF4">
      <w:pPr>
        <w:ind w:firstLine="640"/>
      </w:pPr>
      <w:r>
        <w:rPr>
          <w:rFonts w:hint="eastAsia"/>
        </w:rPr>
        <w:t>为此，预测乐山市的矿山环境发展趋势是：矿山地质环境将会越来越好，人居环境将更加生态化或绿色化。</w:t>
      </w:r>
    </w:p>
    <w:p w14:paraId="52742AC0">
      <w:pPr>
        <w:pStyle w:val="3"/>
        <w:ind w:firstLine="723"/>
      </w:pPr>
      <w:bookmarkStart w:id="191" w:name="_Toc464574655"/>
      <w:bookmarkStart w:id="192" w:name="_Toc482798233"/>
      <w:bookmarkStart w:id="193" w:name="_Toc479584545"/>
      <w:bookmarkStart w:id="194" w:name="_Toc457211215"/>
      <w:bookmarkStart w:id="195" w:name="_Toc202262045"/>
      <w:r>
        <w:rPr>
          <w:rFonts w:hint="eastAsia"/>
        </w:rPr>
        <w:t>规划方案综合论证</w:t>
      </w:r>
      <w:bookmarkEnd w:id="191"/>
      <w:bookmarkEnd w:id="192"/>
      <w:bookmarkEnd w:id="193"/>
      <w:bookmarkEnd w:id="194"/>
    </w:p>
    <w:p w14:paraId="2CB3BE9E">
      <w:pPr>
        <w:ind w:firstLine="640"/>
      </w:pPr>
      <w:r>
        <w:rPr>
          <w:rFonts w:hint="eastAsia"/>
        </w:rPr>
        <w:t>《规划》划分的</w:t>
      </w:r>
      <w:r>
        <w:t>12</w:t>
      </w:r>
      <w:r>
        <w:rPr>
          <w:rFonts w:hint="eastAsia"/>
        </w:rPr>
        <w:t>个具环境保护功能的禁止开采区，并提出相关的重要基础设施两侧500—1000米范围，重要保护区和重要建筑周围500米范围为禁止开采区，有效地保护了这些重要区域的生态环境、重要文物古迹、重要地质遗迹、重要基础设施、重要构筑物、建筑物和人居安全，具科学性、合理性和可操作性。</w:t>
      </w:r>
    </w:p>
    <w:p w14:paraId="3AC82968">
      <w:pPr>
        <w:ind w:firstLine="640"/>
      </w:pPr>
      <w:r>
        <w:rPr>
          <w:rFonts w:hint="eastAsia"/>
        </w:rPr>
        <w:t>《规划》划定的勘查规划区，在实施过程</w:t>
      </w:r>
      <w:r>
        <w:t>中</w:t>
      </w:r>
      <w:r>
        <w:rPr>
          <w:rFonts w:hint="eastAsia"/>
        </w:rPr>
        <w:t>，可能造成一定的不良环境影响，但通过采取有效环保措施进行勘查，查明资源储量并投入开发生产，不仅能充分利用本地资源缓解市场供需矛盾，还能解决地方部分剩余劳力。通过矿业经济的联动效应、辐射效应，将形成一个有机的经济圈，带动圈内各行各业的发展，其产生的直接和间接经济效益不可估量。勘查规划区块划分充分考虑了重要基础设施、重要建筑和风景名胜历史文化、重要城镇等禁止开采区，同时避开了已有矿权，并与之保持了一定的安全距离，其划分较为科学合理合规。综合经济的、社会的和环保的角度来说都是切实可行的。</w:t>
      </w:r>
    </w:p>
    <w:p w14:paraId="0083E585">
      <w:pPr>
        <w:ind w:firstLine="640"/>
      </w:pPr>
      <w:r>
        <w:rPr>
          <w:rFonts w:hint="eastAsia"/>
        </w:rPr>
        <w:t>《规划》划定的开采</w:t>
      </w:r>
      <w:r>
        <w:t>规划</w:t>
      </w:r>
      <w:r>
        <w:rPr>
          <w:rFonts w:hint="eastAsia"/>
        </w:rPr>
        <w:t>区，露天开采和</w:t>
      </w:r>
      <w:r>
        <w:t>地下开采均</w:t>
      </w:r>
      <w:r>
        <w:rPr>
          <w:rFonts w:hint="eastAsia"/>
        </w:rPr>
        <w:t>会造成一定的生态环境破坏和土地占压，但这些影响均在环境承载能力范围内。并且规划要求，在开采过程中，要加强矿</w:t>
      </w:r>
      <w:r>
        <w:t>资源</w:t>
      </w:r>
      <w:r>
        <w:rPr>
          <w:rFonts w:hint="eastAsia"/>
        </w:rPr>
        <w:t>综合回收利用，采取相关保护和治理措施，对破坏的植被进行恢复、毁损土地进行复垦。在此基础上，充分开发利用我市境内矿产资源，可为地方带来较好的经济效益，因矿业的联运和辐射效应还将带动地方其它相关产业的较大发展，开采规划区块的设置经济可行。</w:t>
      </w:r>
    </w:p>
    <w:p w14:paraId="4F542D83">
      <w:pPr>
        <w:ind w:firstLine="640"/>
      </w:pPr>
      <w:r>
        <w:rPr>
          <w:rFonts w:hint="eastAsia"/>
        </w:rPr>
        <w:t>《规划》划定的矿山环境重点治理区，绿</w:t>
      </w:r>
      <w:r>
        <w:t>色矿山</w:t>
      </w:r>
      <w:r>
        <w:rPr>
          <w:rFonts w:hint="eastAsia"/>
        </w:rPr>
        <w:t>示范矿区，对新建和改扩建矿山提出严格的环境准入要求，发展绿色矿业、建设绿色矿山。</w:t>
      </w:r>
    </w:p>
    <w:p w14:paraId="3EB02ACD">
      <w:pPr>
        <w:ind w:firstLine="640"/>
      </w:pPr>
      <w:r>
        <w:rPr>
          <w:rFonts w:hint="eastAsia"/>
        </w:rPr>
        <w:t>矿业开发不可避免地会对环境造成一定破坏，但矿产资源是社会经济发展不可缺少的物质基础，矿业开发为矿山企业带来较大经济收益的同时，还能带动地方相关产业的发展。如矿产品采、选、冶、粗加工、深加工、运输业、销售、工业制造、建筑装修、农产品销售等的各行各业的发展，解决部分农村剩余劳动力，有力地推动了地方经济发展。</w:t>
      </w:r>
    </w:p>
    <w:p w14:paraId="1DFDB64F">
      <w:pPr>
        <w:ind w:firstLine="643"/>
      </w:pPr>
      <w:r>
        <w:rPr>
          <w:rFonts w:hint="eastAsia"/>
          <w:b/>
        </w:rPr>
        <w:t>综合论证：</w:t>
      </w:r>
      <w:r>
        <w:rPr>
          <w:rFonts w:hint="eastAsia"/>
        </w:rPr>
        <w:t>《规划》充分考虑了矿产开发与环境保护的协调性，实施造成的环境影响不大，且属承载能力以内的可控范围，《规划》基本合理合规科学可行。</w:t>
      </w:r>
    </w:p>
    <w:p w14:paraId="2F41DED9">
      <w:pPr>
        <w:pStyle w:val="3"/>
        <w:ind w:firstLine="723"/>
      </w:pPr>
      <w:bookmarkStart w:id="196" w:name="_Toc457211218"/>
      <w:bookmarkStart w:id="197" w:name="_Toc482798234"/>
      <w:bookmarkStart w:id="198" w:name="_Toc464574658"/>
      <w:bookmarkStart w:id="199" w:name="_Toc479584546"/>
      <w:r>
        <w:rPr>
          <w:rFonts w:hint="eastAsia"/>
        </w:rPr>
        <w:t>预防或减轻不良环境影响的对策措施</w:t>
      </w:r>
      <w:bookmarkEnd w:id="195"/>
      <w:bookmarkEnd w:id="196"/>
      <w:bookmarkEnd w:id="197"/>
      <w:bookmarkEnd w:id="198"/>
      <w:bookmarkEnd w:id="199"/>
    </w:p>
    <w:p w14:paraId="33714909">
      <w:pPr>
        <w:ind w:firstLine="640"/>
      </w:pPr>
      <w:r>
        <w:rPr>
          <w:rFonts w:hint="eastAsia"/>
        </w:rPr>
        <w:t>开展矿山环境现状调查。由地方财政出资，以县区为单位，对全市范围开展矿山地质环境现状调查工作，重点对矿山环境现状和矿山次生地灾隐患点进行调排查，针对不同的矿山地质环境问题和地灾隐患的严重性，分期分批、因地制宜地开展矿山地质环境恢复治理和土地复垦，以及矿山次生地灾隐患排除工作。</w:t>
      </w:r>
    </w:p>
    <w:p w14:paraId="5C3C71C9">
      <w:pPr>
        <w:pStyle w:val="4"/>
        <w:ind w:firstLine="643"/>
      </w:pPr>
      <w:bookmarkStart w:id="200" w:name="_Toc482798235"/>
      <w:r>
        <w:rPr>
          <w:rFonts w:hint="eastAsia"/>
        </w:rPr>
        <w:t>针对植被破坏和土地占压环境问题的对策措施</w:t>
      </w:r>
      <w:bookmarkEnd w:id="200"/>
    </w:p>
    <w:p w14:paraId="41EB3B2D">
      <w:pPr>
        <w:ind w:firstLine="640"/>
      </w:pPr>
      <w:r>
        <w:rPr>
          <w:rFonts w:hint="eastAsia"/>
        </w:rPr>
        <w:t>露天开采的小型砖瓦页岩和砂</w:t>
      </w:r>
      <w:r>
        <w:t>石</w:t>
      </w:r>
      <w:r>
        <w:rPr>
          <w:rFonts w:hint="eastAsia"/>
        </w:rPr>
        <w:t>粘土</w:t>
      </w:r>
      <w:r>
        <w:t>类</w:t>
      </w:r>
      <w:r>
        <w:rPr>
          <w:rFonts w:hint="eastAsia"/>
        </w:rPr>
        <w:t>矿山开发造成的植被破坏和土地占压仅限于矿区及其附近很小范围内，可采用矿坑回填、边坡加固、渣石清理、平整堆矿场、覆土复耕、植树种草、复耕复垦等方法进行环境恢复，通过恢复治理和复垦措施，矿山环境会越来越好。</w:t>
      </w:r>
    </w:p>
    <w:p w14:paraId="098B641E">
      <w:pPr>
        <w:pStyle w:val="4"/>
        <w:ind w:firstLine="643"/>
      </w:pPr>
      <w:bookmarkStart w:id="201" w:name="_Toc482798236"/>
      <w:r>
        <w:rPr>
          <w:rFonts w:hint="eastAsia"/>
        </w:rPr>
        <w:t>针对空气和水土污染环境问题的对策措施</w:t>
      </w:r>
      <w:bookmarkEnd w:id="201"/>
    </w:p>
    <w:p w14:paraId="704408BB">
      <w:pPr>
        <w:ind w:firstLine="640"/>
      </w:pPr>
      <w:r>
        <w:rPr>
          <w:rFonts w:hint="eastAsia"/>
        </w:rPr>
        <w:t>实施矿产勘查开采规划，国土资源及相关部门应加强监管，鼓励矿山企业改进勘查开采选冶加工技术和设备，采用环保的工艺流程和方法，建立尾矿池或尾矿库，对尾液、尾气的中的有用物质进行充分的回收利用、循环利用或无害化处理，提高开采回收率、选矿回收率、综合利用率指标，节约资源、节能减排，对“三废”进行综合利用、循环利用或无污染无害化处理，尽量做到无污染排放或零排放。</w:t>
      </w:r>
    </w:p>
    <w:p w14:paraId="3CAE98B1">
      <w:pPr>
        <w:pStyle w:val="4"/>
        <w:ind w:firstLine="643"/>
      </w:pPr>
      <w:bookmarkStart w:id="202" w:name="_Toc482798237"/>
      <w:r>
        <w:rPr>
          <w:rFonts w:hint="eastAsia"/>
        </w:rPr>
        <w:t>针对地面沉降问题的对策措施</w:t>
      </w:r>
      <w:bookmarkEnd w:id="202"/>
    </w:p>
    <w:p w14:paraId="3038DB0E">
      <w:pPr>
        <w:ind w:firstLine="640"/>
      </w:pPr>
      <w:r>
        <w:rPr>
          <w:rFonts w:hint="eastAsia"/>
        </w:rPr>
        <w:t>长期大量抽取地热水、矿泉水和溶盐式开采的岩盐等，可能会造成地下水疏干、地表水漏失，引起植被枯黄、地面局部沉降，从而影响地表道路交通、水利、水电，油气管道等基础设施以及各类建构筑物的基础稳固和安全。针对该类环境问题，矿山企业须采取措施，根据抽取量，定期向地下人工注入水体，以保持地下水负载和承压能力，尽量保持原有的水平衡。</w:t>
      </w:r>
    </w:p>
    <w:p w14:paraId="67951591">
      <w:pPr>
        <w:pStyle w:val="4"/>
        <w:ind w:firstLine="643"/>
      </w:pPr>
      <w:bookmarkStart w:id="203" w:name="_Toc482798238"/>
      <w:r>
        <w:rPr>
          <w:rFonts w:hint="eastAsia"/>
        </w:rPr>
        <w:t>生产和改扩建矿山地质环境防治对策措施</w:t>
      </w:r>
      <w:bookmarkEnd w:id="203"/>
    </w:p>
    <w:p w14:paraId="435C8C83">
      <w:pPr>
        <w:ind w:firstLine="640"/>
      </w:pPr>
      <w:r>
        <w:rPr>
          <w:rFonts w:hint="eastAsia"/>
        </w:rPr>
        <w:t>对生产矿山、改扩建矿山，开展矿山环境现状和地灾隐患调查，按照“谁开发、谁保护、谁破坏、谁恢复、谁污染、谁治理”的原则，采取补交矿山环境恢复治理保证金的方法，督促矿山企业做好矿山地质环境保护和恢复治理工作。</w:t>
      </w:r>
    </w:p>
    <w:p w14:paraId="2713E455">
      <w:pPr>
        <w:pStyle w:val="4"/>
        <w:ind w:firstLine="643"/>
      </w:pPr>
      <w:bookmarkStart w:id="204" w:name="_Toc482798239"/>
      <w:r>
        <w:rPr>
          <w:rFonts w:hint="eastAsia"/>
        </w:rPr>
        <w:t>停采闭坑矿山地质环境防治对策措施</w:t>
      </w:r>
      <w:bookmarkEnd w:id="204"/>
    </w:p>
    <w:p w14:paraId="7002C417">
      <w:pPr>
        <w:ind w:firstLine="640"/>
      </w:pPr>
      <w:r>
        <w:rPr>
          <w:rFonts w:hint="eastAsia"/>
        </w:rPr>
        <w:t>针对有主停采或闭坑矿山的地质环境恢复治理，由企业出资开展矿山环境恢复治理和矿区土地复垦工作，经相关部门检查合格，方可全额退还保证金；部分合格，则部分退还保证金；针对无主闭坑矿山，按“谁恢复，谁受益”的原则，由政府或社会出资开展矿山环境恢复治理工作。</w:t>
      </w:r>
    </w:p>
    <w:p w14:paraId="79B294E4">
      <w:pPr>
        <w:pStyle w:val="4"/>
        <w:ind w:firstLine="643"/>
      </w:pPr>
      <w:bookmarkStart w:id="205" w:name="_Toc482798240"/>
      <w:r>
        <w:rPr>
          <w:rFonts w:hint="eastAsia"/>
        </w:rPr>
        <w:t>提高资源利用水平，减少“三废”排放</w:t>
      </w:r>
      <w:bookmarkEnd w:id="205"/>
      <w:r>
        <w:rPr>
          <w:rFonts w:hint="eastAsia"/>
        </w:rPr>
        <w:t xml:space="preserve">  </w:t>
      </w:r>
    </w:p>
    <w:p w14:paraId="115463A7">
      <w:pPr>
        <w:ind w:firstLine="640"/>
      </w:pPr>
      <w:r>
        <w:rPr>
          <w:rFonts w:hint="eastAsia"/>
        </w:rPr>
        <w:t>在矿产资源勘查、开发建设中要加强生态环境保护，坚持综合勘查综合开发利用原则，提高 “三率”指标和资源利用水平，加强“三废”综合利用和无害化处理，做到节能减排降耗。严格“三废”达标排放，尽量做到无污染排放。</w:t>
      </w:r>
    </w:p>
    <w:p w14:paraId="0324D2A8">
      <w:pPr>
        <w:pStyle w:val="4"/>
        <w:ind w:firstLine="643"/>
        <w:rPr>
          <w:spacing w:val="-2"/>
        </w:rPr>
      </w:pPr>
      <w:bookmarkStart w:id="206" w:name="_Toc482798241"/>
      <w:r>
        <w:rPr>
          <w:rFonts w:hint="eastAsia"/>
        </w:rPr>
        <w:t>进一步完善环境监测体系，加强监管</w:t>
      </w:r>
      <w:bookmarkEnd w:id="206"/>
    </w:p>
    <w:p w14:paraId="4B0C76AE">
      <w:pPr>
        <w:ind w:firstLine="640"/>
      </w:pPr>
      <w:r>
        <w:rPr>
          <w:rFonts w:hint="eastAsia"/>
        </w:rPr>
        <w:t>市国土、环境、安检等监管部门应与县区相关部门、乡镇国土所和矿山企业组成系统的矿山地质环境和矿山次生地灾隐患监测体系网络，对全市各矿山地质环境进行定期和不定期的监督检查和观测。在现有管理、监测系统的基础上，进一步完善监测体系，制定工作计划，明确监测系统各环节的职责范围。从市各职能部门－县(区)－乡镇－矿山企业，做到信息畅通，全面落实监测系统各级人员的职责范围，对所管辖区进行定期和不定期的动态监测。积极开展矿山生态环境监督员制度试点工作，对自然地质灾害和矿山开采可能引起的地质灾害进行长期的全面监测和预防预警，防患于未然，最大限度地减轻矿山地质环境破坏和避免矿山地质灾害的发生。</w:t>
      </w:r>
    </w:p>
    <w:p w14:paraId="2ED07EE5">
      <w:pPr>
        <w:ind w:firstLine="640"/>
      </w:pPr>
      <w:r>
        <w:rPr>
          <w:rFonts w:hint="eastAsia"/>
        </w:rPr>
        <w:t>(1)矿产资源主管部门在颁发采矿许可证时要严格审查矿山企业矿山生态环境保护和恢复治理方案。新建矿山企业提交的矿产开发方案必须包括水土保持方案、土地复垦方案，矿山生态环境保护、恢复治理的目标、措施、资金。</w:t>
      </w:r>
    </w:p>
    <w:p w14:paraId="30D80E79">
      <w:pPr>
        <w:ind w:firstLine="640"/>
      </w:pPr>
      <w:r>
        <w:rPr>
          <w:rFonts w:hint="eastAsia"/>
        </w:rPr>
        <w:t>(2)对新建矿山严格收取矿山环境保证金，以督促矿业权人履行矿山地质环境治理恢复义务。承诺或签署《生态环境保护公约》。</w:t>
      </w:r>
    </w:p>
    <w:p w14:paraId="79B70D65">
      <w:pPr>
        <w:ind w:firstLine="640"/>
      </w:pPr>
      <w:r>
        <w:rPr>
          <w:rFonts w:hint="eastAsia"/>
        </w:rPr>
        <w:t>(3)矿山企业的防治污染措施，必须与主体工程同时设计，同时施工、同时投产使用。</w:t>
      </w:r>
    </w:p>
    <w:p w14:paraId="41C6B018">
      <w:pPr>
        <w:pStyle w:val="3"/>
        <w:ind w:firstLine="723"/>
      </w:pPr>
      <w:bookmarkStart w:id="207" w:name="_Toc482798242"/>
      <w:bookmarkStart w:id="208" w:name="_Toc479584547"/>
      <w:bookmarkStart w:id="209" w:name="_Toc457211221"/>
      <w:bookmarkStart w:id="210" w:name="_Toc464574661"/>
      <w:r>
        <w:rPr>
          <w:rFonts w:hint="eastAsia"/>
        </w:rPr>
        <w:t>规划环境影响跟踪评价</w:t>
      </w:r>
      <w:bookmarkEnd w:id="207"/>
      <w:bookmarkEnd w:id="208"/>
      <w:bookmarkEnd w:id="209"/>
      <w:bookmarkEnd w:id="210"/>
    </w:p>
    <w:p w14:paraId="23D55CD3">
      <w:pPr>
        <w:ind w:firstLine="640"/>
      </w:pPr>
      <w:r>
        <w:rPr>
          <w:rFonts w:hint="eastAsia"/>
        </w:rPr>
        <w:t>在绿色矿山建设未全面覆盖之前，有矿业活动的地方，就可能有不良环境影响，并随矿业发展的加快而加剧变化。为了及时发现规划实施过程中的不良环境影响，特别是重大不良环境影响，及时提出整改措施，必须对规划环境影响进行跟踪调查评价。</w:t>
      </w:r>
    </w:p>
    <w:p w14:paraId="6319289F">
      <w:pPr>
        <w:pStyle w:val="4"/>
        <w:ind w:firstLine="643"/>
      </w:pPr>
      <w:bookmarkStart w:id="211" w:name="_Toc482798243"/>
      <w:r>
        <w:rPr>
          <w:rFonts w:hint="eastAsia"/>
        </w:rPr>
        <w:t>建立联动机制进行环境影响跟踪评价</w:t>
      </w:r>
      <w:bookmarkEnd w:id="211"/>
    </w:p>
    <w:p w14:paraId="237B5A6C">
      <w:pPr>
        <w:ind w:firstLine="640"/>
      </w:pPr>
      <w:r>
        <w:rPr>
          <w:rFonts w:hint="eastAsia"/>
        </w:rPr>
        <w:t>市国土资源局、环境保护局、安全监督局、规划局等相关部门，联同县区及相关部门，组成一个上下联动的矿山环境跟踪调查评价网络，对全市各矿山环境影响情况进行跟踪调查评价。跟踪重点为：露天开采矿山造成的植被破坏和土地占压情况，以及开采边坡和废渣堆稳固性；地下开采矿山造成的空气和水土污染情况、采空区及周边地面沉降观察等。分县区、乡镇和不同矿山责任到人进行跟踪调查评价。发现重大不良环境影响、应层层上报相关部门，并立即采取相应措施(停产整顿或补救)，以减轻不良环境影响，排除地灾隐患，将环境影响造成的损失降至最低。</w:t>
      </w:r>
    </w:p>
    <w:p w14:paraId="7D8EF07F">
      <w:pPr>
        <w:pStyle w:val="4"/>
        <w:ind w:firstLine="643"/>
      </w:pPr>
      <w:bookmarkStart w:id="212" w:name="_Toc482798244"/>
      <w:r>
        <w:rPr>
          <w:rFonts w:hint="eastAsia"/>
        </w:rPr>
        <w:t>建立规划实施环境影响定期评估制度</w:t>
      </w:r>
      <w:bookmarkEnd w:id="212"/>
    </w:p>
    <w:p w14:paraId="7637DCD0">
      <w:pPr>
        <w:ind w:firstLine="640"/>
      </w:pPr>
      <w:r>
        <w:rPr>
          <w:rFonts w:hint="eastAsia"/>
        </w:rPr>
        <w:t>根据环境影响跟踪调查结果，每年进行一次规划实施环境影响评估，评估规划在实施过程中，新增不良环境影响和发展态势，提出防治或减缓不良环境影响对策措施，防止因矿业活动诱发的次生地灾。</w:t>
      </w:r>
    </w:p>
    <w:p w14:paraId="09A0D0CB">
      <w:pPr>
        <w:pStyle w:val="4"/>
        <w:ind w:firstLine="643"/>
      </w:pPr>
      <w:bookmarkStart w:id="213" w:name="_Toc482798245"/>
      <w:r>
        <w:rPr>
          <w:rFonts w:hint="eastAsia"/>
        </w:rPr>
        <w:t>建立规划实施环境影响监控责任考核制度</w:t>
      </w:r>
      <w:bookmarkEnd w:id="213"/>
    </w:p>
    <w:p w14:paraId="63E10686">
      <w:pPr>
        <w:ind w:firstLine="640"/>
      </w:pPr>
      <w:r>
        <w:rPr>
          <w:rFonts w:hint="eastAsia"/>
        </w:rPr>
        <w:t>将矿山环境影响责任分县区乡镇落实到企业和乡国土所相关的负责人，明确分工和责任，每年根据矿山环境影响评估结果对相关责任人进行考核，并将考核与奖金挂钩。</w:t>
      </w:r>
    </w:p>
    <w:p w14:paraId="759A26EC">
      <w:pPr>
        <w:pStyle w:val="3"/>
        <w:ind w:firstLine="723"/>
      </w:pPr>
      <w:bookmarkStart w:id="214" w:name="_Toc457211222"/>
      <w:bookmarkStart w:id="215" w:name="_Toc464574662"/>
      <w:bookmarkStart w:id="216" w:name="_Toc479584548"/>
      <w:bookmarkStart w:id="217" w:name="_Toc482798246"/>
      <w:r>
        <w:rPr>
          <w:rFonts w:hint="eastAsia"/>
        </w:rPr>
        <w:t>公众参与</w:t>
      </w:r>
      <w:bookmarkEnd w:id="214"/>
      <w:bookmarkEnd w:id="215"/>
      <w:bookmarkEnd w:id="216"/>
      <w:bookmarkEnd w:id="217"/>
    </w:p>
    <w:p w14:paraId="78EBBAAA">
      <w:pPr>
        <w:ind w:firstLine="640"/>
      </w:pPr>
      <w:r>
        <w:rPr>
          <w:rFonts w:hint="eastAsia"/>
        </w:rPr>
        <w:t>本《规划》与土地利用总体规划、环保规划、农业规划、林业规划、水利规划、旅游规划、交通规划、城建规划、文物规划等各相关规划进行了有效衔接。</w:t>
      </w:r>
    </w:p>
    <w:p w14:paraId="4CD484E7">
      <w:pPr>
        <w:ind w:firstLine="640"/>
      </w:pPr>
      <w:r>
        <w:rPr>
          <w:rFonts w:hint="eastAsia"/>
        </w:rPr>
        <w:t>规划环评篇章编制前，通过</w:t>
      </w:r>
      <w:r>
        <w:t>收集已</w:t>
      </w:r>
      <w:r>
        <w:rPr>
          <w:rFonts w:hint="eastAsia"/>
        </w:rPr>
        <w:t>有矿</w:t>
      </w:r>
      <w:r>
        <w:t>业权资料</w:t>
      </w:r>
      <w:r>
        <w:rPr>
          <w:rFonts w:hint="eastAsia"/>
        </w:rPr>
        <w:t>对矿山地质环境现状进行了综合研究。在</w:t>
      </w:r>
      <w:r>
        <w:t>编制过程中，通过</w:t>
      </w:r>
      <w:r>
        <w:rPr>
          <w:rFonts w:hint="eastAsia"/>
        </w:rPr>
        <w:t>对</w:t>
      </w:r>
      <w:r>
        <w:t>接会、讨论会、初</w:t>
      </w:r>
      <w:r>
        <w:rPr>
          <w:rFonts w:hint="eastAsia"/>
        </w:rPr>
        <w:t>审等</w:t>
      </w:r>
      <w:r>
        <w:t>方式，充分</w:t>
      </w:r>
      <w:r>
        <w:rPr>
          <w:rFonts w:hint="eastAsia"/>
        </w:rPr>
        <w:t>收集与会有</w:t>
      </w:r>
      <w:r>
        <w:t>关部门</w:t>
      </w:r>
      <w:r>
        <w:rPr>
          <w:rFonts w:hint="eastAsia"/>
        </w:rPr>
        <w:t>和评审</w:t>
      </w:r>
      <w:r>
        <w:t>专家</w:t>
      </w:r>
      <w:r>
        <w:rPr>
          <w:rFonts w:hint="eastAsia"/>
        </w:rPr>
        <w:t>的书</w:t>
      </w:r>
      <w:r>
        <w:t>面</w:t>
      </w:r>
      <w:r>
        <w:rPr>
          <w:rFonts w:hint="eastAsia"/>
        </w:rPr>
        <w:t>及口头意见或建议数十条，基本</w:t>
      </w:r>
      <w:r>
        <w:t>全部</w:t>
      </w:r>
      <w:r>
        <w:rPr>
          <w:rFonts w:hint="eastAsia"/>
        </w:rPr>
        <w:t>采纳，充分体现了《规划》和《规划环评》编制的公众参与性。</w:t>
      </w:r>
    </w:p>
    <w:p w14:paraId="52A13ECE">
      <w:pPr>
        <w:pStyle w:val="3"/>
        <w:ind w:firstLine="723"/>
      </w:pPr>
      <w:bookmarkStart w:id="218" w:name="_Toc457211223"/>
      <w:bookmarkStart w:id="219" w:name="_Toc464574663"/>
      <w:bookmarkStart w:id="220" w:name="_Toc202262048"/>
      <w:bookmarkStart w:id="221" w:name="_Toc479584549"/>
      <w:bookmarkStart w:id="222" w:name="_Toc482798247"/>
      <w:r>
        <w:rPr>
          <w:rFonts w:hint="eastAsia"/>
        </w:rPr>
        <w:t>结论</w:t>
      </w:r>
      <w:bookmarkEnd w:id="218"/>
      <w:bookmarkEnd w:id="219"/>
      <w:bookmarkEnd w:id="220"/>
      <w:bookmarkEnd w:id="221"/>
      <w:bookmarkEnd w:id="222"/>
    </w:p>
    <w:p w14:paraId="0E73727A">
      <w:pPr>
        <w:pStyle w:val="4"/>
        <w:ind w:firstLine="643"/>
      </w:pPr>
      <w:bookmarkStart w:id="223" w:name="_Toc482798248"/>
      <w:r>
        <w:rPr>
          <w:rFonts w:hint="eastAsia"/>
        </w:rPr>
        <w:t>《规划》实施环境可行</w:t>
      </w:r>
      <w:bookmarkEnd w:id="223"/>
    </w:p>
    <w:p w14:paraId="58A8FCD3">
      <w:pPr>
        <w:ind w:firstLine="640"/>
      </w:pPr>
      <w:r>
        <w:rPr>
          <w:rFonts w:hint="eastAsia"/>
        </w:rPr>
        <w:t>通过禁止开采区的划分和其它重要基础设施和重要建筑的禁止采矿规定，有效保护了功能区生态环境和重要基础设施的安全；通过重点治理区和绿色</w:t>
      </w:r>
      <w:r>
        <w:t>矿山示范区</w:t>
      </w:r>
      <w:r>
        <w:rPr>
          <w:rFonts w:hint="eastAsia"/>
        </w:rPr>
        <w:t>的设置，对已破坏的矿山环境进行治理恢复、毁损土地进行覆土复垦，</w:t>
      </w:r>
      <w:r>
        <w:t>将有效的</w:t>
      </w:r>
      <w:r>
        <w:rPr>
          <w:rFonts w:hint="eastAsia"/>
        </w:rPr>
        <w:t>保护</w:t>
      </w:r>
      <w:r>
        <w:t>和改善矿区生态环境。</w:t>
      </w:r>
    </w:p>
    <w:p w14:paraId="11BA22EF">
      <w:pPr>
        <w:ind w:firstLine="640"/>
      </w:pPr>
      <w:r>
        <w:rPr>
          <w:rFonts w:hint="eastAsia"/>
        </w:rPr>
        <w:t>通过勘查、开采规划区块的实施，以及《规划》各项目标任务的实现过程中可能涉及的环境问题的分析和预测评价，提出了预防或减轻不良环境影响的防治对策措施，其对策得当，措施合理</w:t>
      </w:r>
      <w:r>
        <w:t>，</w:t>
      </w:r>
      <w:r>
        <w:rPr>
          <w:rFonts w:hint="eastAsia"/>
        </w:rPr>
        <w:t>《规划》实施环境可行。</w:t>
      </w:r>
    </w:p>
    <w:p w14:paraId="6C20291B">
      <w:pPr>
        <w:pStyle w:val="4"/>
        <w:ind w:firstLine="643"/>
      </w:pPr>
      <w:bookmarkStart w:id="224" w:name="_Toc482798249"/>
      <w:r>
        <w:rPr>
          <w:rFonts w:hint="eastAsia"/>
        </w:rPr>
        <w:t>《规划》实施经济可行</w:t>
      </w:r>
      <w:bookmarkEnd w:id="224"/>
    </w:p>
    <w:p w14:paraId="1AF60946">
      <w:pPr>
        <w:ind w:firstLine="640"/>
      </w:pPr>
      <w:r>
        <w:rPr>
          <w:rFonts w:hint="eastAsia"/>
        </w:rPr>
        <w:t>本《规划》从全局出发，设置了勘查规划区、限制</w:t>
      </w:r>
      <w:r>
        <w:t>勘查区</w:t>
      </w:r>
      <w:r>
        <w:rPr>
          <w:rFonts w:hint="eastAsia"/>
        </w:rPr>
        <w:t>、开采规划区、限制</w:t>
      </w:r>
      <w:r>
        <w:t>开采</w:t>
      </w:r>
      <w:r>
        <w:rPr>
          <w:rFonts w:hint="eastAsia"/>
        </w:rPr>
        <w:t>规划区</w:t>
      </w:r>
      <w:r>
        <w:t>和禁止开采</w:t>
      </w:r>
      <w:r>
        <w:rPr>
          <w:rFonts w:hint="eastAsia"/>
        </w:rPr>
        <w:t>规划</w:t>
      </w:r>
      <w:r>
        <w:t>区，适应</w:t>
      </w:r>
      <w:r>
        <w:rPr>
          <w:rFonts w:hint="eastAsia"/>
        </w:rPr>
        <w:t>乐山市经济社会发展对矿产资源的需求，以及矿业开发与经济效益、社会效益和环境效益协调发展的要求，《规划》的实施过程采取了有效的保护与防治措施，将不会对矿山环境造成较大破坏，而会对乐山市的经济发展起到积极的促进作用。因此，本《规划》实施经济可行。</w:t>
      </w:r>
    </w:p>
    <w:p w14:paraId="124B16D2">
      <w:pPr>
        <w:pStyle w:val="4"/>
        <w:ind w:firstLine="643"/>
      </w:pPr>
      <w:bookmarkStart w:id="225" w:name="_Toc482798250"/>
      <w:r>
        <w:rPr>
          <w:rFonts w:hint="eastAsia"/>
        </w:rPr>
        <w:t>《规划》实施社会可行</w:t>
      </w:r>
      <w:bookmarkEnd w:id="225"/>
    </w:p>
    <w:p w14:paraId="3D34FFBA">
      <w:pPr>
        <w:ind w:firstLine="640"/>
      </w:pPr>
      <w:r>
        <w:rPr>
          <w:rFonts w:hint="eastAsia"/>
        </w:rPr>
        <w:t>本《规划》在编制过程中，与四川省矿产资源总体规划、乐山市环境保护规划、乐山市土地规划、乐山市“十三五”规划等各相关规划进行了充分的衔接，满足了本级规划服从上级规划和协调同级规划的原则，不存在与其它规划冲突而限制本《规划》实施的因素和条件，因此本《规划》的实施社会可行。</w:t>
      </w:r>
    </w:p>
    <w:p w14:paraId="3B3C7022">
      <w:pPr>
        <w:pStyle w:val="4"/>
        <w:ind w:firstLine="643"/>
      </w:pPr>
      <w:bookmarkStart w:id="226" w:name="_Toc482798251"/>
      <w:r>
        <w:rPr>
          <w:rFonts w:hint="eastAsia"/>
        </w:rPr>
        <w:t>矿山环境终将会越来越好</w:t>
      </w:r>
      <w:bookmarkEnd w:id="226"/>
    </w:p>
    <w:p w14:paraId="6542C618">
      <w:pPr>
        <w:ind w:firstLine="640"/>
      </w:pPr>
      <w:r>
        <w:rPr>
          <w:rFonts w:hint="eastAsia"/>
        </w:rPr>
        <w:t>通过对本《规划》实施可能造成的环境影响进行了分析和预测评价，总体认为实施《规划》会造成一定不良环境影响，随着矿业活动的继续加大，矿山环境不良影响可能会随之增大。但是，随着矿山环境保护法律法规的配套和完善、监管力度的不断加大、绿色矿业和绿色矿山示范建设的推进、各项环境保护和恢复治理措施的逐步到位、矿山环境保护与恢复治理工作的展开、矿山企业保护意识增强，乐山市矿山环境破坏将得到缓解、遏制和改善，矿山环境终将会越来越好。</w:t>
      </w:r>
    </w:p>
    <w:p w14:paraId="0B2E5A80">
      <w:pPr>
        <w:ind w:firstLine="640"/>
      </w:pPr>
      <w:r>
        <w:rPr>
          <w:rFonts w:hint="eastAsia"/>
        </w:rPr>
        <w:t>综上所述，《规划》充分考虑了矿产资源开发对环境的不良影响，并采取了有效的环境保护和恢复治理措施，矿山环境终将会越来越好。本《规划》基本达到了环境保护法的有关要求，《规划》实施环境可行、经济可行、社会可行。</w:t>
      </w:r>
    </w:p>
    <w:p w14:paraId="5A1CAD0C">
      <w:pPr>
        <w:widowControl/>
        <w:adjustRightInd/>
        <w:snapToGrid/>
        <w:spacing w:line="240" w:lineRule="auto"/>
        <w:ind w:firstLine="0" w:firstLineChars="0"/>
        <w:jc w:val="left"/>
      </w:pPr>
      <w:r>
        <w:br w:type="page"/>
      </w:r>
    </w:p>
    <w:p w14:paraId="7B61F741">
      <w:pPr>
        <w:ind w:firstLine="640"/>
      </w:pPr>
    </w:p>
    <w:p w14:paraId="4D238A3F">
      <w:pPr>
        <w:pStyle w:val="2"/>
      </w:pPr>
      <w:bookmarkStart w:id="227" w:name="_Toc482798252"/>
      <w:r>
        <w:rPr>
          <w:rFonts w:hint="eastAsia"/>
        </w:rPr>
        <w:t>规划实施管理</w:t>
      </w:r>
      <w:bookmarkEnd w:id="227"/>
    </w:p>
    <w:p w14:paraId="0BCFBB2C">
      <w:pPr>
        <w:ind w:firstLine="640"/>
      </w:pPr>
      <w:r>
        <w:rPr>
          <w:rFonts w:hint="eastAsia"/>
        </w:rPr>
        <w:t>本《规划》一经批准即具有法律效力，必须严格执行，全面落实。坚持从完善制度和创新机制入手，将落实本《规划》作为各级国土资源管理部门的一项重要任务，综合采取法律、经济、行政和技术等措施，保障规划目标和任务的实现。</w:t>
      </w:r>
    </w:p>
    <w:p w14:paraId="2CAC9405">
      <w:pPr>
        <w:pStyle w:val="3"/>
        <w:ind w:firstLine="723"/>
      </w:pPr>
      <w:bookmarkStart w:id="228" w:name="_Toc482798253"/>
      <w:bookmarkStart w:id="229" w:name="_Toc479584551"/>
      <w:bookmarkStart w:id="230" w:name="_Toc453684691"/>
      <w:r>
        <w:rPr>
          <w:rFonts w:hint="eastAsia"/>
        </w:rPr>
        <w:t>明确责任分工，实行目标考核</w:t>
      </w:r>
      <w:bookmarkEnd w:id="228"/>
      <w:bookmarkEnd w:id="229"/>
      <w:bookmarkEnd w:id="230"/>
    </w:p>
    <w:p w14:paraId="2EBA0745">
      <w:pPr>
        <w:ind w:firstLine="640"/>
      </w:pPr>
      <w:r>
        <w:rPr>
          <w:rFonts w:hint="eastAsia"/>
        </w:rPr>
        <w:t>加强规划实施组织领导，健全规划管理体制，完善规划运行机制，出台配套政策，严格执行矿产资源规划，维护本行政区域内矿产资源勘查开发的正常秩序。建立规划实施管理领导责任制，强化领导干部责任意识，督促规划实施责任单位、责任人逐项抓好责任目标的落实，及时协调、化解责任目标实施过程中出现的矛盾与困难。建立规划实施目标责任制，将矿产资源开发利用总量调控、勘查开发布局与结构调整、节约与综合利用、矿产资源储备、矿山地质环境恢复治理等重大规划目标纳入管理目标体系进行考核，并将规划执行情况作为主要领导业绩考核的重要依据。进一步完善国土资源规划体系，建立规划协调机制，加强矿产资源规划的内外协调。有关单位、组织、企业和个人要自觉履行法定义务，遵守矿产资源规划，支持和配合规划实施工作。</w:t>
      </w:r>
    </w:p>
    <w:p w14:paraId="27EA167E">
      <w:pPr>
        <w:ind w:firstLine="643"/>
        <w:rPr>
          <w:b/>
        </w:rPr>
      </w:pPr>
      <w:r>
        <w:rPr>
          <w:b/>
        </w:rPr>
        <w:t>加强技术和管理的教育培训，培育德才兼备、结构合理、素质优良的矿管专业人才队伍，提高规划管理整体水平，增强规划管理功能和责任意识，实现矿产资源管理方式全面升级。</w:t>
      </w:r>
    </w:p>
    <w:p w14:paraId="2C9BEBB7">
      <w:pPr>
        <w:pStyle w:val="3"/>
        <w:ind w:firstLine="723"/>
      </w:pPr>
      <w:bookmarkStart w:id="231" w:name="_Toc479584552"/>
      <w:bookmarkStart w:id="232" w:name="_Toc482798254"/>
      <w:bookmarkStart w:id="233" w:name="_Toc453684692"/>
      <w:r>
        <w:rPr>
          <w:rFonts w:hint="eastAsia"/>
        </w:rPr>
        <w:t>严格规划审查，发挥管控作用</w:t>
      </w:r>
      <w:bookmarkEnd w:id="231"/>
      <w:bookmarkEnd w:id="232"/>
      <w:bookmarkEnd w:id="233"/>
    </w:p>
    <w:p w14:paraId="67ECCC43">
      <w:pPr>
        <w:ind w:firstLine="640"/>
      </w:pPr>
      <w:r>
        <w:rPr>
          <w:rFonts w:hint="eastAsia"/>
        </w:rPr>
        <w:t>充分发挥矿产资源规划在监督管理矿产资源勘查和开发活动中的依据作用，对矿产资源调查评价、勘查、开采、保护和矿山地质环境恢复治理与土地复垦项目必须实行严格的规划审查。各级国土资源行政主管部门应当制定矿业权规划审批的相关规范，健全完善并严格执行规划审查制度。矿业权设置、矿业权审批、出让、变更和延续等必须符合矿产资源规划，不符合矿产资源规划的勘查和开发项目，不得批准立项，不得审批、颁发勘查许可证和采矿许可证，不得批准用地。</w:t>
      </w:r>
      <w:bookmarkStart w:id="234" w:name="_Toc424628399"/>
      <w:r>
        <w:rPr>
          <w:rFonts w:hint="eastAsia"/>
        </w:rPr>
        <w:t>严格执行规划禁止、限制开采矿种的规定，对限制勘查开采矿种，要按照开采总量控制指标和准入条件加强审核，达到准入条件的，方可投放矿业权。严格矿产资源规划分区管理，对本区域内矿产资源勘查、开发及保护的空间布局进行控制，严禁在禁止开采区新设矿业权，在限制勘查开采区内设置矿业权，要严格论证，达到准入条件后方可投放矿业权。加强矿业权设置区划管理，细化勘查开采的空间布局安排。严格执行最低开采规模、开发利用效率、矿山地质环境保护等规划准入条件，对不符合规划准入条件的，不予通过规划审查。按照规划部署落实和推进矿山地质环境恢复治理和土地复垦重点工程，有序推进绿色矿业示范区建设，逐步形成绿色矿业开发格局。</w:t>
      </w:r>
    </w:p>
    <w:p w14:paraId="39380B9E">
      <w:pPr>
        <w:pStyle w:val="3"/>
        <w:ind w:firstLine="723"/>
      </w:pPr>
      <w:bookmarkStart w:id="235" w:name="_Toc453684693"/>
      <w:bookmarkStart w:id="236" w:name="_Toc482798255"/>
      <w:bookmarkStart w:id="237" w:name="_Toc479584553"/>
      <w:r>
        <w:rPr>
          <w:rFonts w:hint="eastAsia"/>
        </w:rPr>
        <w:t>开展实施评估，完善调整机制</w:t>
      </w:r>
      <w:bookmarkEnd w:id="234"/>
      <w:bookmarkEnd w:id="235"/>
      <w:bookmarkEnd w:id="236"/>
      <w:bookmarkEnd w:id="237"/>
    </w:p>
    <w:p w14:paraId="2EBCA876">
      <w:pPr>
        <w:ind w:firstLine="640"/>
      </w:pPr>
      <w:r>
        <w:rPr>
          <w:rFonts w:hint="eastAsia"/>
        </w:rPr>
        <w:t>围绕规划的目标和任务，加强规划的评估和统筹协调，通过规划年度实施计划、中期评估等形式，强化规划实施评估能力建设，健全完善规划实施评估机制。各级国土资源管理部门应在规划实施评估的基础上进行分析，研判矿产资源开发与管理面临的新形势，提出改进、调整和修订规划的合理建议，并向同级人民政府和上级国土资源主管部门报送评估报告。</w:t>
      </w:r>
    </w:p>
    <w:p w14:paraId="60434973">
      <w:pPr>
        <w:ind w:firstLine="640"/>
      </w:pPr>
      <w:r>
        <w:rPr>
          <w:rFonts w:hint="eastAsia"/>
        </w:rPr>
        <w:t xml:space="preserve"> 严格执行规划调整程序。因地质勘查重大发现、市场经济、技术条件等发生重大变化、新立矿产资源勘查、开发重大专项和工程等原因，需要对总量控制等约束性指标、勘查开发重大布局结构、禁止和限制规划区边界勘查开采规划区块等内容进行局部调整的，应当由原编制机关向原批准机关提出申请，由原批准机关批复后进行调整。建立矿业权设置区划动态调整机制，规范程序，提高效率，严格审查，确保矿业权设置区划的科学性。矿产资源规划调整涉及其他主管部门的，应当征求其他主管部门的意见。对依据其他管理部门规定划定的禁止和限制区，其边界范围可按相关主管部门意见进行调整，并报原审批机关备案。上级矿产资源规划调整后，涉及调整下级矿产资源规划的，由上级国土资源主管部门通知下级国土资源主管部门作出相应调整，并逐级报原批准机关备案。</w:t>
      </w:r>
    </w:p>
    <w:p w14:paraId="784EB05C">
      <w:pPr>
        <w:pStyle w:val="3"/>
        <w:ind w:firstLine="723"/>
      </w:pPr>
      <w:bookmarkStart w:id="238" w:name="_Toc479584554"/>
      <w:bookmarkStart w:id="239" w:name="_Toc482798256"/>
      <w:bookmarkStart w:id="240" w:name="_Toc453684694"/>
      <w:bookmarkStart w:id="241" w:name="_Toc424628400"/>
      <w:r>
        <w:rPr>
          <w:rFonts w:hint="eastAsia"/>
        </w:rPr>
        <w:t>建立监管制度，强化监督检查</w:t>
      </w:r>
      <w:bookmarkEnd w:id="238"/>
      <w:bookmarkEnd w:id="239"/>
      <w:bookmarkEnd w:id="240"/>
      <w:bookmarkEnd w:id="241"/>
    </w:p>
    <w:p w14:paraId="2A1FDC7B">
      <w:pPr>
        <w:ind w:firstLine="640"/>
      </w:pPr>
      <w:r>
        <w:rPr>
          <w:rFonts w:hint="eastAsia"/>
        </w:rPr>
        <w:t>各级国土资源管理部门应当加强对矿产资源规划实施情况的监督，建立规划实施监督检查制度，将规划执行情况纳入国土资源执法监察的重要内容，强化对规划确定的重点区域、重要任务和指标、重大工程和项目、重大政策措施执行落实情况监督。实行专项检查与经常性检查相结合，采用卫星遥感影像等技术手段，扩大规划实施情况的检查范围，强化对规划重点区域矿产资源勘查开发活动的监督管理，定期公布规划执行情况。发现矿产资源勘查、开发、矿山环境保护与恢复治理、矿区土地复垦等活动不符合矿产资源规划的应当及时予以纠正。对违反法律法规和矿产资源规划的勘查开采行为要依法查处，必要时会同有关部门开展联合督查，启动问责程序，依法追究相关人员的责任。构建地方人大、政府、国土资源管理部门和公众共同参与的规划实施监督体系。建立信息反馈制度，及时向同级人民政府和上级国土资源主管部门报告规划执行情况监督检查结果。</w:t>
      </w:r>
      <w:bookmarkStart w:id="242" w:name="_Toc424628401"/>
      <w:bookmarkStart w:id="243" w:name="_Toc453684695"/>
    </w:p>
    <w:p w14:paraId="206E7553">
      <w:pPr>
        <w:pStyle w:val="3"/>
        <w:ind w:firstLine="723"/>
      </w:pPr>
      <w:bookmarkStart w:id="244" w:name="_Toc479584555"/>
      <w:bookmarkStart w:id="245" w:name="_Toc482798257"/>
      <w:r>
        <w:rPr>
          <w:rFonts w:hint="eastAsia"/>
        </w:rPr>
        <w:t>搭建数据平台，</w:t>
      </w:r>
      <w:bookmarkEnd w:id="242"/>
      <w:r>
        <w:rPr>
          <w:rFonts w:hint="eastAsia"/>
        </w:rPr>
        <w:t>提升管理水平</w:t>
      </w:r>
      <w:bookmarkEnd w:id="243"/>
      <w:bookmarkEnd w:id="244"/>
      <w:bookmarkEnd w:id="245"/>
    </w:p>
    <w:p w14:paraId="4DB9818E">
      <w:pPr>
        <w:ind w:firstLine="640"/>
      </w:pPr>
      <w:r>
        <w:rPr>
          <w:rFonts w:hint="eastAsia"/>
        </w:rPr>
        <w:t>汇集省、市、县三级规划数据，建设标准统一的省、市、县级三级矿产资源规划数据库，作为各级规划管理工作的重要依据。探索建立矿产资源规划管理信息系统，完善规划管理信息的查询与分析、决策辅助、违法监控等功能，建立数据库更新机制，实现对矿产资源规划实施情况的实时监测，切实发挥规划数据库在矿政管理中的作用。做好规划管理信息与相关信息的整合，加强规划数据库与其他矿政管理数据库的互联互通，实现国土资源管理“一张图”，以规划管理信息化促进规划管理科学化。</w:t>
      </w:r>
    </w:p>
    <w:p w14:paraId="3E8EFCD7">
      <w:pPr>
        <w:ind w:firstLine="643"/>
        <w:rPr>
          <w:b/>
        </w:rPr>
      </w:pPr>
      <w:r>
        <w:rPr>
          <w:b/>
        </w:rPr>
        <w:t>强化日常统计和专项统计，及时准确提供基础数据和信息。科学预测经济社会和矿业形势发展，深入开展矿产资源可供性分析，把握经济社会发展对矿产资源勘查开发的新要求。</w:t>
      </w:r>
    </w:p>
    <w:p w14:paraId="371A9FDA">
      <w:pPr>
        <w:ind w:firstLine="640"/>
        <w:rPr>
          <w:rFonts w:ascii="宋体" w:hAnsi="宋体" w:eastAsia="宋体"/>
          <w:b/>
        </w:rPr>
      </w:pPr>
      <w:r>
        <w:rPr>
          <w:rFonts w:hint="eastAsia"/>
        </w:rPr>
        <w:t>按照全国统一标准和部署，完善矿产资源规划数据库，做好规划管理信息与相关信息资源的收集和存储，全面实现与矿产资源勘查、开发利用、储量、矿业权等基础数据库的衔接和共享，建成具有信息管理、分析查询、监督评价和辅助决策功能的规划管理信息系统，提高规划管理的效率和服务水平。</w:t>
      </w:r>
    </w:p>
    <w:p w14:paraId="1154907C">
      <w:pPr>
        <w:ind w:firstLine="640"/>
      </w:pPr>
    </w:p>
    <w:sectPr>
      <w:footerReference r:id="rId13" w:type="default"/>
      <w:footerReference r:id="rId14" w:type="even"/>
      <w:pgSz w:w="11906" w:h="16838"/>
      <w:pgMar w:top="1440" w:right="1440" w:bottom="1440" w:left="1440" w:header="851" w:footer="992" w:gutter="284"/>
      <w:pgNumType w:start="1"/>
      <w:cols w:space="425" w:num="1"/>
      <w:docGrid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24528">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BCCCA">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50B">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691316"/>
      <w:docPartObj>
        <w:docPartGallery w:val="AutoText"/>
      </w:docPartObj>
    </w:sdtPr>
    <w:sdtContent>
      <w:p w14:paraId="04D7DEC2">
        <w:pPr>
          <w:pStyle w:val="13"/>
          <w:ind w:firstLine="360"/>
          <w:jc w:val="center"/>
        </w:pPr>
        <w:r>
          <w:fldChar w:fldCharType="begin"/>
        </w:r>
        <w:r>
          <w:instrText xml:space="preserve"> PAGE   \* MERGEFORMAT </w:instrText>
        </w:r>
        <w:r>
          <w:fldChar w:fldCharType="separate"/>
        </w:r>
        <w:r>
          <w:rPr>
            <w:lang w:val="zh-CN"/>
          </w:rPr>
          <w:t>-</w:t>
        </w:r>
        <w:r>
          <w:t xml:space="preserve"> 7 -</w:t>
        </w:r>
        <w:r>
          <w:fldChar w:fldCharType="end"/>
        </w:r>
      </w:p>
    </w:sdtContent>
  </w:sdt>
  <w:p w14:paraId="25B98D35">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691318"/>
      <w:docPartObj>
        <w:docPartGallery w:val="AutoText"/>
      </w:docPartObj>
    </w:sdtPr>
    <w:sdtContent>
      <w:p w14:paraId="0AEE216C">
        <w:pPr>
          <w:pStyle w:val="13"/>
          <w:ind w:firstLine="360"/>
          <w:jc w:val="center"/>
        </w:pPr>
        <w:r>
          <w:fldChar w:fldCharType="begin"/>
        </w:r>
        <w:r>
          <w:instrText xml:space="preserve"> PAGE   \* MERGEFORMAT </w:instrText>
        </w:r>
        <w:r>
          <w:fldChar w:fldCharType="separate"/>
        </w:r>
        <w:r>
          <w:rPr>
            <w:lang w:val="zh-CN"/>
          </w:rPr>
          <w:t>-</w:t>
        </w:r>
        <w:r>
          <w:t xml:space="preserve"> 6 -</w:t>
        </w:r>
        <w:r>
          <w:fldChar w:fldCharType="end"/>
        </w:r>
      </w:p>
    </w:sdtContent>
  </w:sdt>
  <w:p w14:paraId="2B5E9EC0">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691314"/>
      <w:docPartObj>
        <w:docPartGallery w:val="AutoText"/>
      </w:docPartObj>
    </w:sdtPr>
    <w:sdtContent>
      <w:p w14:paraId="27FB494C">
        <w:pPr>
          <w:pStyle w:val="13"/>
          <w:ind w:firstLine="360"/>
          <w:jc w:val="right"/>
        </w:pPr>
        <w:r>
          <w:fldChar w:fldCharType="begin"/>
        </w:r>
        <w:r>
          <w:instrText xml:space="preserve"> PAGE   \* MERGEFORMAT </w:instrText>
        </w:r>
        <w:r>
          <w:fldChar w:fldCharType="separate"/>
        </w:r>
        <w:r>
          <w:rPr>
            <w:lang w:val="zh-CN"/>
          </w:rPr>
          <w:t>3</w:t>
        </w:r>
        <w:r>
          <w:rPr>
            <w:lang w:val="zh-CN"/>
          </w:rPr>
          <w:fldChar w:fldCharType="end"/>
        </w:r>
      </w:p>
    </w:sdtContent>
  </w:sdt>
  <w:p w14:paraId="0380E4C9">
    <w:pPr>
      <w:pStyle w:val="13"/>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4691313"/>
      <w:docPartObj>
        <w:docPartGallery w:val="AutoText"/>
      </w:docPartObj>
    </w:sdtPr>
    <w:sdtContent>
      <w:p w14:paraId="7CE30DF7">
        <w:pPr>
          <w:pStyle w:val="13"/>
          <w:ind w:firstLine="360"/>
        </w:pPr>
        <w:r>
          <w:fldChar w:fldCharType="begin"/>
        </w:r>
        <w:r>
          <w:instrText xml:space="preserve"> PAGE   \* MERGEFORMAT </w:instrText>
        </w:r>
        <w:r>
          <w:fldChar w:fldCharType="separate"/>
        </w:r>
        <w:r>
          <w:rPr>
            <w:lang w:val="zh-CN"/>
          </w:rPr>
          <w:t>2</w:t>
        </w:r>
        <w:r>
          <w:rPr>
            <w:lang w:val="zh-CN"/>
          </w:rPr>
          <w:fldChar w:fldCharType="end"/>
        </w:r>
      </w:p>
    </w:sdtContent>
  </w:sdt>
  <w:p w14:paraId="0802F457">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79A83">
    <w:pPr>
      <w:pStyle w:val="14"/>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6BC07">
    <w:pPr>
      <w:pStyle w:val="14"/>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9EB9B">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CC5121"/>
    <w:multiLevelType w:val="multilevel"/>
    <w:tmpl w:val="6BCC5121"/>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pStyle w:val="5"/>
      <w:suff w:val="space"/>
      <w:lvlText w:val="%1.%2.%3.%4"/>
      <w:lvlJc w:val="left"/>
      <w:pPr>
        <w:ind w:left="0" w:firstLine="0"/>
      </w:pPr>
      <w:rPr>
        <w:rFonts w:hint="eastAsia"/>
      </w:rPr>
    </w:lvl>
    <w:lvl w:ilvl="4" w:tentative="0">
      <w:start w:val="1"/>
      <w:numFmt w:val="decimal"/>
      <w:pStyle w:val="6"/>
      <w:suff w:val="space"/>
      <w:lvlText w:val="%1.%2.%3.%4.%5"/>
      <w:lvlJc w:val="left"/>
      <w:pPr>
        <w:ind w:left="0" w:firstLine="0"/>
      </w:pPr>
      <w:rPr>
        <w:rFonts w:hint="eastAsia"/>
      </w:rPr>
    </w:lvl>
    <w:lvl w:ilvl="5" w:tentative="0">
      <w:start w:val="1"/>
      <w:numFmt w:val="decimal"/>
      <w:pStyle w:val="7"/>
      <w:suff w:val="space"/>
      <w:lvlText w:val="%1.%2.%3.%4.%5.%6"/>
      <w:lvlJc w:val="left"/>
      <w:pPr>
        <w:ind w:left="0" w:firstLine="0"/>
      </w:pPr>
      <w:rPr>
        <w:rFonts w:hint="eastAsia"/>
      </w:rPr>
    </w:lvl>
    <w:lvl w:ilvl="6" w:tentative="0">
      <w:start w:val="1"/>
      <w:numFmt w:val="decimal"/>
      <w:pStyle w:val="8"/>
      <w:suff w:val="space"/>
      <w:lvlText w:val="%1.%2.%3.%4.%5.%6.%7"/>
      <w:lvlJc w:val="left"/>
      <w:pPr>
        <w:ind w:left="0" w:firstLine="0"/>
      </w:pPr>
      <w:rPr>
        <w:rFonts w:hint="eastAsia"/>
      </w:rPr>
    </w:lvl>
    <w:lvl w:ilvl="7" w:tentative="0">
      <w:start w:val="1"/>
      <w:numFmt w:val="decimal"/>
      <w:pStyle w:val="9"/>
      <w:suff w:val="space"/>
      <w:lvlText w:val="%1.%2.%3.%4.%5.%6.%7.%8"/>
      <w:lvlJc w:val="left"/>
      <w:pPr>
        <w:ind w:left="0" w:firstLine="0"/>
      </w:pPr>
      <w:rPr>
        <w:rFonts w:hint="eastAsia"/>
      </w:rPr>
    </w:lvl>
    <w:lvl w:ilvl="8" w:tentative="0">
      <w:start w:val="1"/>
      <w:numFmt w:val="decimal"/>
      <w:pStyle w:val="10"/>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bordersDoNotSurroundHeader w:val="1"/>
  <w:bordersDoNotSurroundFooter w:val="1"/>
  <w:documentProtection w:enforcement="0"/>
  <w:defaultTabStop w:val="420"/>
  <w:evenAndOddHeaders w:val="1"/>
  <w:drawingGridHorizontalSpacing w:val="1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774"/>
    <w:rsid w:val="00065EAF"/>
    <w:rsid w:val="00071DEE"/>
    <w:rsid w:val="00154774"/>
    <w:rsid w:val="00165E53"/>
    <w:rsid w:val="001D6B47"/>
    <w:rsid w:val="002029E3"/>
    <w:rsid w:val="00222DAC"/>
    <w:rsid w:val="00246876"/>
    <w:rsid w:val="002765E5"/>
    <w:rsid w:val="0030428D"/>
    <w:rsid w:val="00325F06"/>
    <w:rsid w:val="003667C7"/>
    <w:rsid w:val="003877F4"/>
    <w:rsid w:val="00393DA7"/>
    <w:rsid w:val="00452D05"/>
    <w:rsid w:val="00456743"/>
    <w:rsid w:val="004F0960"/>
    <w:rsid w:val="004F39BC"/>
    <w:rsid w:val="00505296"/>
    <w:rsid w:val="00610455"/>
    <w:rsid w:val="00622241"/>
    <w:rsid w:val="0067088A"/>
    <w:rsid w:val="006F6693"/>
    <w:rsid w:val="00766E81"/>
    <w:rsid w:val="00820CBD"/>
    <w:rsid w:val="00865618"/>
    <w:rsid w:val="008F2AB1"/>
    <w:rsid w:val="009A6FD3"/>
    <w:rsid w:val="009B3BAD"/>
    <w:rsid w:val="00AA1766"/>
    <w:rsid w:val="00AB3740"/>
    <w:rsid w:val="00B45E97"/>
    <w:rsid w:val="00B558AF"/>
    <w:rsid w:val="00B71F50"/>
    <w:rsid w:val="00BB4506"/>
    <w:rsid w:val="00C20BB6"/>
    <w:rsid w:val="00C74EE6"/>
    <w:rsid w:val="00C7740F"/>
    <w:rsid w:val="00CE3719"/>
    <w:rsid w:val="122E65E4"/>
    <w:rsid w:val="183D3240"/>
    <w:rsid w:val="2FE87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ascii="Times New Roman" w:hAnsi="Times New Roman" w:eastAsia="仿宋" w:cstheme="minorBidi"/>
      <w:kern w:val="0"/>
      <w:sz w:val="32"/>
      <w:szCs w:val="21"/>
      <w:lang w:val="en-US" w:eastAsia="zh-CN" w:bidi="ar-SA"/>
    </w:rPr>
  </w:style>
  <w:style w:type="paragraph" w:styleId="2">
    <w:name w:val="heading 1"/>
    <w:basedOn w:val="1"/>
    <w:next w:val="1"/>
    <w:link w:val="24"/>
    <w:qFormat/>
    <w:uiPriority w:val="9"/>
    <w:pPr>
      <w:keepNext/>
      <w:keepLines/>
      <w:numPr>
        <w:ilvl w:val="0"/>
        <w:numId w:val="1"/>
      </w:numPr>
      <w:spacing w:before="120" w:after="120"/>
      <w:ind w:firstLineChars="0"/>
      <w:jc w:val="center"/>
      <w:outlineLvl w:val="0"/>
    </w:pPr>
    <w:rPr>
      <w:b/>
      <w:bCs/>
      <w:kern w:val="44"/>
      <w:sz w:val="44"/>
      <w:szCs w:val="44"/>
    </w:rPr>
  </w:style>
  <w:style w:type="paragraph" w:styleId="3">
    <w:name w:val="heading 2"/>
    <w:basedOn w:val="1"/>
    <w:next w:val="1"/>
    <w:link w:val="25"/>
    <w:unhideWhenUsed/>
    <w:qFormat/>
    <w:uiPriority w:val="9"/>
    <w:pPr>
      <w:keepNext/>
      <w:keepLines/>
      <w:numPr>
        <w:ilvl w:val="1"/>
        <w:numId w:val="1"/>
      </w:numPr>
      <w:spacing w:before="120" w:after="120"/>
      <w:ind w:firstLine="200"/>
      <w:outlineLvl w:val="1"/>
    </w:pPr>
    <w:rPr>
      <w:rFonts w:cstheme="majorBidi"/>
      <w:b/>
      <w:bCs/>
      <w:sz w:val="36"/>
      <w:szCs w:val="32"/>
    </w:rPr>
  </w:style>
  <w:style w:type="paragraph" w:styleId="4">
    <w:name w:val="heading 3"/>
    <w:basedOn w:val="1"/>
    <w:next w:val="1"/>
    <w:link w:val="26"/>
    <w:unhideWhenUsed/>
    <w:qFormat/>
    <w:uiPriority w:val="9"/>
    <w:pPr>
      <w:keepNext/>
      <w:keepLines/>
      <w:numPr>
        <w:ilvl w:val="2"/>
        <w:numId w:val="1"/>
      </w:numPr>
      <w:spacing w:before="120"/>
      <w:ind w:firstLine="200"/>
      <w:outlineLvl w:val="2"/>
    </w:pPr>
    <w:rPr>
      <w:b/>
      <w:bCs/>
      <w:szCs w:val="32"/>
    </w:rPr>
  </w:style>
  <w:style w:type="paragraph" w:styleId="5">
    <w:name w:val="heading 4"/>
    <w:basedOn w:val="1"/>
    <w:next w:val="1"/>
    <w:link w:val="27"/>
    <w:unhideWhenUsed/>
    <w:qFormat/>
    <w:uiPriority w:val="9"/>
    <w:pPr>
      <w:keepNext/>
      <w:keepLines/>
      <w:numPr>
        <w:ilvl w:val="3"/>
        <w:numId w:val="1"/>
      </w:numPr>
      <w:spacing w:before="120"/>
      <w:ind w:firstLine="200"/>
      <w:outlineLvl w:val="3"/>
    </w:pPr>
    <w:rPr>
      <w:rFonts w:cstheme="majorBidi"/>
      <w:b/>
      <w:bCs/>
      <w:szCs w:val="28"/>
    </w:rPr>
  </w:style>
  <w:style w:type="paragraph" w:styleId="6">
    <w:name w:val="heading 5"/>
    <w:basedOn w:val="1"/>
    <w:next w:val="1"/>
    <w:link w:val="28"/>
    <w:unhideWhenUsed/>
    <w:qFormat/>
    <w:uiPriority w:val="9"/>
    <w:pPr>
      <w:keepNext/>
      <w:keepLines/>
      <w:numPr>
        <w:ilvl w:val="4"/>
        <w:numId w:val="1"/>
      </w:numPr>
      <w:spacing w:before="120"/>
      <w:ind w:firstLine="200"/>
      <w:outlineLvl w:val="4"/>
    </w:pPr>
    <w:rPr>
      <w:b/>
      <w:bCs/>
      <w:szCs w:val="28"/>
    </w:rPr>
  </w:style>
  <w:style w:type="paragraph" w:styleId="7">
    <w:name w:val="heading 6"/>
    <w:basedOn w:val="1"/>
    <w:next w:val="1"/>
    <w:link w:val="29"/>
    <w:unhideWhenUsed/>
    <w:qFormat/>
    <w:uiPriority w:val="9"/>
    <w:pPr>
      <w:keepNext/>
      <w:keepLines/>
      <w:numPr>
        <w:ilvl w:val="5"/>
        <w:numId w:val="1"/>
      </w:numPr>
      <w:spacing w:before="120"/>
      <w:ind w:firstLine="200"/>
      <w:outlineLvl w:val="5"/>
    </w:pPr>
    <w:rPr>
      <w:rFonts w:cstheme="majorBidi"/>
      <w:b/>
      <w:bCs/>
      <w:szCs w:val="24"/>
    </w:rPr>
  </w:style>
  <w:style w:type="paragraph" w:styleId="8">
    <w:name w:val="heading 7"/>
    <w:basedOn w:val="1"/>
    <w:next w:val="1"/>
    <w:link w:val="30"/>
    <w:semiHidden/>
    <w:unhideWhenUsed/>
    <w:qFormat/>
    <w:uiPriority w:val="9"/>
    <w:pPr>
      <w:keepNext/>
      <w:keepLines/>
      <w:numPr>
        <w:ilvl w:val="6"/>
        <w:numId w:val="1"/>
      </w:numPr>
      <w:spacing w:before="240" w:after="64" w:line="320" w:lineRule="auto"/>
      <w:outlineLvl w:val="6"/>
    </w:pPr>
    <w:rPr>
      <w:b/>
      <w:bCs/>
      <w:szCs w:val="24"/>
    </w:rPr>
  </w:style>
  <w:style w:type="paragraph" w:styleId="9">
    <w:name w:val="heading 8"/>
    <w:basedOn w:val="1"/>
    <w:next w:val="1"/>
    <w:link w:val="31"/>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32"/>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1"/>
    <w:semiHidden/>
    <w:unhideWhenUsed/>
    <w:qFormat/>
    <w:uiPriority w:val="99"/>
    <w:rPr>
      <w:rFonts w:ascii="宋体" w:eastAsia="宋体"/>
      <w:sz w:val="18"/>
      <w:szCs w:val="18"/>
    </w:rPr>
  </w:style>
  <w:style w:type="paragraph" w:styleId="12">
    <w:name w:val="toc 3"/>
    <w:basedOn w:val="1"/>
    <w:next w:val="1"/>
    <w:autoRedefine/>
    <w:unhideWhenUsed/>
    <w:qFormat/>
    <w:uiPriority w:val="39"/>
    <w:pPr>
      <w:tabs>
        <w:tab w:val="right" w:leader="dot" w:pos="8732"/>
      </w:tabs>
      <w:ind w:left="989" w:leftChars="309" w:firstLine="3" w:firstLineChars="1"/>
    </w:pPr>
  </w:style>
  <w:style w:type="paragraph" w:styleId="13">
    <w:name w:val="footer"/>
    <w:basedOn w:val="1"/>
    <w:link w:val="23"/>
    <w:unhideWhenUsed/>
    <w:qFormat/>
    <w:uiPriority w:val="99"/>
    <w:pPr>
      <w:tabs>
        <w:tab w:val="center" w:pos="4153"/>
        <w:tab w:val="right" w:pos="8306"/>
      </w:tabs>
      <w:spacing w:line="240" w:lineRule="auto"/>
      <w:jc w:val="left"/>
    </w:pPr>
    <w:rPr>
      <w:sz w:val="18"/>
      <w:szCs w:val="18"/>
    </w:rPr>
  </w:style>
  <w:style w:type="paragraph" w:styleId="14">
    <w:name w:val="header"/>
    <w:basedOn w:val="1"/>
    <w:link w:val="22"/>
    <w:semiHidden/>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15">
    <w:name w:val="toc 1"/>
    <w:basedOn w:val="1"/>
    <w:next w:val="1"/>
    <w:autoRedefine/>
    <w:unhideWhenUsed/>
    <w:qFormat/>
    <w:uiPriority w:val="39"/>
    <w:pPr>
      <w:tabs>
        <w:tab w:val="right" w:leader="dot" w:pos="8732"/>
      </w:tabs>
      <w:ind w:firstLine="0" w:firstLineChars="0"/>
    </w:pPr>
  </w:style>
  <w:style w:type="paragraph" w:styleId="16">
    <w:name w:val="toc 2"/>
    <w:basedOn w:val="1"/>
    <w:next w:val="1"/>
    <w:autoRedefine/>
    <w:unhideWhenUsed/>
    <w:qFormat/>
    <w:uiPriority w:val="39"/>
    <w:pPr>
      <w:tabs>
        <w:tab w:val="right" w:leader="dot" w:pos="8732"/>
      </w:tabs>
      <w:ind w:left="426" w:leftChars="133" w:firstLine="3" w:firstLineChars="1"/>
    </w:pPr>
  </w:style>
  <w:style w:type="paragraph" w:styleId="17">
    <w:name w:val="Normal (Web)"/>
    <w:basedOn w:val="1"/>
    <w:unhideWhenUsed/>
    <w:qFormat/>
    <w:uiPriority w:val="0"/>
    <w:pPr>
      <w:widowControl/>
      <w:adjustRightInd/>
      <w:snapToGrid/>
      <w:spacing w:before="100" w:beforeAutospacing="1" w:after="100" w:afterAutospacing="1"/>
    </w:pPr>
    <w:rPr>
      <w:rFonts w:ascii="宋体" w:hAnsi="宋体" w:cs="宋体"/>
      <w:szCs w:val="24"/>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qFormat/>
    <w:uiPriority w:val="99"/>
    <w:rPr>
      <w:color w:val="0000FF"/>
      <w:u w:val="single"/>
    </w:rPr>
  </w:style>
  <w:style w:type="character" w:customStyle="1" w:styleId="22">
    <w:name w:val="页眉 Char"/>
    <w:basedOn w:val="20"/>
    <w:link w:val="14"/>
    <w:semiHidden/>
    <w:qFormat/>
    <w:uiPriority w:val="99"/>
    <w:rPr>
      <w:rFonts w:ascii="Times New Roman" w:hAnsi="Times New Roman" w:eastAsia="宋体"/>
      <w:sz w:val="18"/>
      <w:szCs w:val="18"/>
    </w:rPr>
  </w:style>
  <w:style w:type="character" w:customStyle="1" w:styleId="23">
    <w:name w:val="页脚 Char"/>
    <w:basedOn w:val="20"/>
    <w:link w:val="13"/>
    <w:uiPriority w:val="99"/>
    <w:rPr>
      <w:rFonts w:ascii="Times New Roman" w:hAnsi="Times New Roman" w:eastAsia="宋体"/>
      <w:sz w:val="18"/>
      <w:szCs w:val="18"/>
    </w:rPr>
  </w:style>
  <w:style w:type="character" w:customStyle="1" w:styleId="24">
    <w:name w:val="标题 1 Char"/>
    <w:basedOn w:val="20"/>
    <w:link w:val="2"/>
    <w:uiPriority w:val="9"/>
    <w:rPr>
      <w:rFonts w:ascii="Times New Roman" w:hAnsi="Times New Roman" w:eastAsia="仿宋"/>
      <w:b/>
      <w:bCs/>
      <w:kern w:val="44"/>
      <w:sz w:val="44"/>
      <w:szCs w:val="44"/>
    </w:rPr>
  </w:style>
  <w:style w:type="character" w:customStyle="1" w:styleId="25">
    <w:name w:val="标题 2 Char"/>
    <w:basedOn w:val="20"/>
    <w:link w:val="3"/>
    <w:qFormat/>
    <w:uiPriority w:val="9"/>
    <w:rPr>
      <w:rFonts w:ascii="Times New Roman" w:hAnsi="Times New Roman" w:eastAsia="仿宋" w:cstheme="majorBidi"/>
      <w:b/>
      <w:bCs/>
      <w:sz w:val="36"/>
      <w:szCs w:val="32"/>
    </w:rPr>
  </w:style>
  <w:style w:type="character" w:customStyle="1" w:styleId="26">
    <w:name w:val="标题 3 Char"/>
    <w:basedOn w:val="20"/>
    <w:link w:val="4"/>
    <w:qFormat/>
    <w:uiPriority w:val="0"/>
    <w:rPr>
      <w:rFonts w:ascii="Times New Roman" w:hAnsi="Times New Roman" w:eastAsia="仿宋"/>
      <w:b/>
      <w:bCs/>
      <w:kern w:val="0"/>
      <w:sz w:val="32"/>
      <w:szCs w:val="32"/>
    </w:rPr>
  </w:style>
  <w:style w:type="character" w:customStyle="1" w:styleId="27">
    <w:name w:val="标题 4 Char"/>
    <w:basedOn w:val="20"/>
    <w:link w:val="5"/>
    <w:qFormat/>
    <w:uiPriority w:val="9"/>
    <w:rPr>
      <w:rFonts w:ascii="Times New Roman" w:hAnsi="Times New Roman" w:eastAsia="仿宋" w:cstheme="majorBidi"/>
      <w:b/>
      <w:bCs/>
      <w:kern w:val="0"/>
      <w:sz w:val="32"/>
      <w:szCs w:val="28"/>
    </w:rPr>
  </w:style>
  <w:style w:type="character" w:customStyle="1" w:styleId="28">
    <w:name w:val="标题 5 Char"/>
    <w:basedOn w:val="20"/>
    <w:link w:val="6"/>
    <w:qFormat/>
    <w:uiPriority w:val="9"/>
    <w:rPr>
      <w:rFonts w:ascii="Times New Roman" w:hAnsi="Times New Roman" w:eastAsia="仿宋"/>
      <w:b/>
      <w:bCs/>
      <w:kern w:val="0"/>
      <w:sz w:val="32"/>
      <w:szCs w:val="28"/>
    </w:rPr>
  </w:style>
  <w:style w:type="character" w:customStyle="1" w:styleId="29">
    <w:name w:val="标题 6 Char"/>
    <w:basedOn w:val="20"/>
    <w:link w:val="7"/>
    <w:qFormat/>
    <w:uiPriority w:val="9"/>
    <w:rPr>
      <w:rFonts w:ascii="Times New Roman" w:hAnsi="Times New Roman" w:eastAsia="仿宋" w:cstheme="majorBidi"/>
      <w:b/>
      <w:bCs/>
      <w:kern w:val="0"/>
      <w:sz w:val="32"/>
      <w:szCs w:val="24"/>
    </w:rPr>
  </w:style>
  <w:style w:type="character" w:customStyle="1" w:styleId="30">
    <w:name w:val="标题 7 Char"/>
    <w:basedOn w:val="20"/>
    <w:link w:val="8"/>
    <w:qFormat/>
    <w:uiPriority w:val="0"/>
    <w:rPr>
      <w:rFonts w:ascii="Times New Roman" w:hAnsi="Times New Roman" w:eastAsia="宋体"/>
      <w:b/>
      <w:bCs/>
      <w:sz w:val="24"/>
      <w:szCs w:val="24"/>
    </w:rPr>
  </w:style>
  <w:style w:type="character" w:customStyle="1" w:styleId="31">
    <w:name w:val="标题 8 Char"/>
    <w:basedOn w:val="20"/>
    <w:link w:val="9"/>
    <w:semiHidden/>
    <w:qFormat/>
    <w:uiPriority w:val="9"/>
    <w:rPr>
      <w:rFonts w:asciiTheme="majorHAnsi" w:hAnsiTheme="majorHAnsi" w:eastAsiaTheme="majorEastAsia" w:cstheme="majorBidi"/>
      <w:sz w:val="24"/>
      <w:szCs w:val="24"/>
    </w:rPr>
  </w:style>
  <w:style w:type="character" w:customStyle="1" w:styleId="32">
    <w:name w:val="标题 9 Char"/>
    <w:basedOn w:val="20"/>
    <w:link w:val="10"/>
    <w:qFormat/>
    <w:uiPriority w:val="9"/>
    <w:rPr>
      <w:rFonts w:asciiTheme="majorHAnsi" w:hAnsiTheme="majorHAnsi" w:eastAsiaTheme="majorEastAsia" w:cstheme="majorBidi"/>
      <w:szCs w:val="21"/>
    </w:rPr>
  </w:style>
  <w:style w:type="paragraph" w:customStyle="1" w:styleId="33">
    <w:name w:val="表格内容"/>
    <w:basedOn w:val="1"/>
    <w:qFormat/>
    <w:uiPriority w:val="0"/>
    <w:pPr>
      <w:widowControl/>
      <w:adjustRightInd/>
      <w:snapToGrid/>
      <w:spacing w:line="240" w:lineRule="auto"/>
      <w:ind w:firstLine="0" w:firstLineChars="0"/>
      <w:jc w:val="center"/>
    </w:pPr>
    <w:rPr>
      <w:rFonts w:cs="Times New Roman"/>
      <w:color w:val="000000"/>
      <w:kern w:val="2"/>
      <w:sz w:val="24"/>
      <w:szCs w:val="28"/>
    </w:rPr>
  </w:style>
  <w:style w:type="paragraph" w:customStyle="1" w:styleId="34">
    <w:name w:val="表格标题"/>
    <w:basedOn w:val="1"/>
    <w:link w:val="35"/>
    <w:qFormat/>
    <w:uiPriority w:val="0"/>
    <w:pPr>
      <w:widowControl/>
      <w:adjustRightInd/>
      <w:snapToGrid/>
      <w:spacing w:beforeLines="50" w:line="240" w:lineRule="auto"/>
      <w:ind w:firstLine="0" w:firstLineChars="0"/>
      <w:jc w:val="center"/>
    </w:pPr>
    <w:rPr>
      <w:rFonts w:cs="Times New Roman"/>
      <w:b/>
      <w:sz w:val="30"/>
    </w:rPr>
  </w:style>
  <w:style w:type="character" w:customStyle="1" w:styleId="35">
    <w:name w:val="表格标题 Char"/>
    <w:link w:val="34"/>
    <w:qFormat/>
    <w:uiPriority w:val="0"/>
    <w:rPr>
      <w:rFonts w:ascii="Times New Roman" w:hAnsi="Times New Roman" w:eastAsia="仿宋" w:cs="Times New Roman"/>
      <w:b/>
      <w:kern w:val="0"/>
      <w:sz w:val="30"/>
      <w:szCs w:val="21"/>
    </w:rPr>
  </w:style>
  <w:style w:type="paragraph" w:styleId="36">
    <w:name w:val="List Paragraph"/>
    <w:basedOn w:val="1"/>
    <w:qFormat/>
    <w:uiPriority w:val="34"/>
    <w:pPr>
      <w:widowControl/>
      <w:adjustRightInd/>
      <w:snapToGrid/>
      <w:ind w:firstLine="420"/>
    </w:pPr>
    <w:rPr>
      <w:rFonts w:cs="Times New Roman"/>
      <w:kern w:val="2"/>
    </w:rPr>
  </w:style>
  <w:style w:type="paragraph" w:customStyle="1" w:styleId="37">
    <w:name w:val="专题内容"/>
    <w:basedOn w:val="1"/>
    <w:link w:val="38"/>
    <w:qFormat/>
    <w:uiPriority w:val="0"/>
    <w:pPr>
      <w:ind w:firstLine="600"/>
    </w:pPr>
    <w:rPr>
      <w:sz w:val="30"/>
      <w:szCs w:val="30"/>
    </w:rPr>
  </w:style>
  <w:style w:type="character" w:customStyle="1" w:styleId="38">
    <w:name w:val="专题内容 Char"/>
    <w:basedOn w:val="20"/>
    <w:link w:val="37"/>
    <w:qFormat/>
    <w:uiPriority w:val="0"/>
    <w:rPr>
      <w:rFonts w:ascii="Times New Roman" w:hAnsi="Times New Roman" w:eastAsia="仿宋"/>
      <w:kern w:val="0"/>
      <w:sz w:val="30"/>
      <w:szCs w:val="30"/>
    </w:rPr>
  </w:style>
  <w:style w:type="paragraph" w:customStyle="1" w:styleId="39">
    <w:name w:val="表格"/>
    <w:basedOn w:val="1"/>
    <w:link w:val="40"/>
    <w:qFormat/>
    <w:uiPriority w:val="0"/>
    <w:pPr>
      <w:widowControl/>
      <w:adjustRightInd/>
      <w:snapToGrid/>
      <w:spacing w:line="240" w:lineRule="auto"/>
      <w:ind w:firstLine="0" w:firstLineChars="0"/>
      <w:jc w:val="center"/>
    </w:pPr>
    <w:rPr>
      <w:rFonts w:cs="Times New Roman"/>
      <w:sz w:val="30"/>
    </w:rPr>
  </w:style>
  <w:style w:type="character" w:customStyle="1" w:styleId="40">
    <w:name w:val="表格 Char"/>
    <w:link w:val="39"/>
    <w:qFormat/>
    <w:uiPriority w:val="0"/>
    <w:rPr>
      <w:rFonts w:ascii="Times New Roman" w:hAnsi="Times New Roman" w:eastAsia="仿宋" w:cs="Times New Roman"/>
      <w:kern w:val="0"/>
      <w:sz w:val="30"/>
      <w:szCs w:val="21"/>
    </w:rPr>
  </w:style>
  <w:style w:type="character" w:customStyle="1" w:styleId="41">
    <w:name w:val="文档结构图 Char"/>
    <w:basedOn w:val="20"/>
    <w:link w:val="11"/>
    <w:semiHidden/>
    <w:qFormat/>
    <w:uiPriority w:val="99"/>
    <w:rPr>
      <w:rFonts w:ascii="宋体" w:hAnsi="Times New Roman" w:eastAsia="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C40164-52AB-4D9F-AA24-E3FB09182BA6}">
  <ds:schemaRefs/>
</ds:datastoreItem>
</file>

<file path=docProps/app.xml><?xml version="1.0" encoding="utf-8"?>
<Properties xmlns="http://schemas.openxmlformats.org/officeDocument/2006/extended-properties" xmlns:vt="http://schemas.openxmlformats.org/officeDocument/2006/docPropsVTypes">
  <Template>Normal</Template>
  <Pages>97</Pages>
  <Words>1665</Words>
  <Characters>2139</Characters>
  <Lines>353</Lines>
  <Paragraphs>99</Paragraphs>
  <TotalTime>5</TotalTime>
  <ScaleCrop>false</ScaleCrop>
  <LinksUpToDate>false</LinksUpToDate>
  <CharactersWithSpaces>2416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2019-03-28T03:21:00Z</dcterms:created>
  <dc:creator>49703355@qq.com</dc:creator>
  <cp:lastModifiedBy>沈倦</cp:lastModifiedBy>
  <dcterms:modified xsi:type="dcterms:W3CDTF">2026-02-06T08:22:10Z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eyJoZGlkIjoiMmU5ZWY0ZDg1ZDNmMWMyZmU1ZDVmNmNhOWIwNjA1MGQiLCJ1c2VySWQiOiI2MDY3NTAwNDEifQ==</vt:lpwstr>
  </property>
  <property fmtid="{D5CDD505-2E9C-101B-9397-08002B2CF9AE}" pid="3" name="KSOProductBuildVer">
    <vt:lpwstr>2052-12.1.0.24657</vt:lpwstr>
  </property>
  <property fmtid="{D5CDD505-2E9C-101B-9397-08002B2CF9AE}" pid="4" name="ICV">
    <vt:lpwstr>9F51A36D83D84E58A0E1B779A89637D9_13</vt:lpwstr>
  </property>
</Properties>
</file>