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5"/>
        <w:tabs>
          <w:tab w:val="right" w:leader="dot" w:pos="8306"/>
        </w:tabs>
        <w:jc w:val="center"/>
        <w:rPr>
          <w:rFonts w:hint="eastAsia" w:ascii="微软雅黑" w:hAnsi="微软雅黑" w:eastAsia="微软雅黑" w:cstheme="majorBidi"/>
          <w:b/>
          <w:bCs/>
          <w:kern w:val="2"/>
          <w:sz w:val="40"/>
          <w:szCs w:val="44"/>
          <w:lang w:val="en-US" w:eastAsia="zh-CN" w:bidi="ar-SA"/>
        </w:rPr>
      </w:pPr>
      <w:r>
        <w:rPr>
          <w:rFonts w:hint="eastAsia" w:ascii="微软雅黑" w:hAnsi="微软雅黑" w:eastAsia="微软雅黑" w:cstheme="majorBidi"/>
          <w:b/>
          <w:bCs/>
          <w:kern w:val="2"/>
          <w:sz w:val="40"/>
          <w:szCs w:val="44"/>
          <w:lang w:val="en-US" w:eastAsia="zh-CN" w:bidi="ar-SA"/>
        </w:rPr>
        <w:t>乐山市主城区城镇老旧小区改造专项规划</w:t>
      </w:r>
    </w:p>
    <w:p>
      <w:pPr>
        <w:pStyle w:val="55"/>
        <w:tabs>
          <w:tab w:val="right" w:leader="dot" w:pos="8306"/>
        </w:tabs>
        <w:jc w:val="center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 w:cstheme="majorBidi"/>
          <w:b/>
          <w:bCs/>
          <w:kern w:val="2"/>
          <w:sz w:val="40"/>
          <w:szCs w:val="44"/>
          <w:lang w:val="en-US" w:eastAsia="zh-CN" w:bidi="ar-SA"/>
        </w:rPr>
        <w:t>（公示材料）</w: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8681720</wp:posOffset>
                </wp:positionV>
                <wp:extent cx="3134995" cy="97282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4995" cy="972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汉仪雅酷黑 75W" w:hAnsi="汉仪雅酷黑 75W" w:eastAsia="汉仪雅酷黑 75W" w:cs="汉仪雅酷黑 75W"/>
                                <w:b/>
                                <w:bCs/>
                                <w:color w:val="8DABD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7.45pt;margin-top:683.6pt;height:76.6pt;width:246.85pt;z-index:251659264;mso-width-relative:page;mso-height-relative:page;" filled="f" stroked="f" coordsize="21600,21600" o:gfxdata="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fykbv3QAAAA0BAAAPAAAAAAAAAAEAIAAAACIA&#10;AABkcnMvZG93bnJldi54bWxQSwECFAAUAAAACACHTuJAyb9ZWj0CAABm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汉仪雅酷黑 75W" w:hAnsi="汉仪雅酷黑 75W" w:eastAsia="汉仪雅酷黑 75W" w:cs="汉仪雅酷黑 75W"/>
                          <w:b/>
                          <w:bCs/>
                          <w:color w:val="8DABD0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numPr>
          <w:ilvl w:val="0"/>
          <w:numId w:val="0"/>
        </w:numPr>
        <w:spacing w:line="415" w:lineRule="auto"/>
        <w:rPr>
          <w:rFonts w:ascii="微软雅黑" w:hAnsi="微软雅黑" w:eastAsia="微软雅黑"/>
        </w:rPr>
      </w:pPr>
      <w:bookmarkStart w:id="0" w:name="_Toc62048988"/>
      <w:bookmarkStart w:id="1" w:name="_Toc9479"/>
      <w:r>
        <w:rPr>
          <w:rFonts w:hint="eastAsia" w:ascii="微软雅黑" w:hAnsi="微软雅黑" w:eastAsia="微软雅黑"/>
        </w:rPr>
        <w:t xml:space="preserve">1  </w:t>
      </w:r>
      <w:r>
        <w:rPr>
          <w:rFonts w:hint="eastAsia" w:ascii="微软雅黑" w:hAnsi="微软雅黑" w:eastAsia="微软雅黑"/>
          <w:lang w:eastAsia="zh-CN"/>
        </w:rPr>
        <w:t>现状</w:t>
      </w:r>
      <w:r>
        <w:rPr>
          <w:rFonts w:hint="eastAsia" w:ascii="微软雅黑" w:hAnsi="微软雅黑" w:eastAsia="微软雅黑"/>
        </w:rPr>
        <w:t>概况</w:t>
      </w:r>
      <w:bookmarkEnd w:id="0"/>
      <w:bookmarkEnd w:id="1"/>
    </w:p>
    <w:p>
      <w:pPr>
        <w:pStyle w:val="4"/>
        <w:numPr>
          <w:ilvl w:val="0"/>
          <w:numId w:val="0"/>
        </w:numPr>
        <w:spacing w:before="124"/>
        <w:rPr>
          <w:rFonts w:ascii="微软雅黑" w:hAnsi="微软雅黑" w:eastAsia="微软雅黑"/>
        </w:rPr>
      </w:pPr>
      <w:bookmarkStart w:id="2" w:name="_Toc62048998"/>
      <w:r>
        <w:rPr>
          <w:rFonts w:hint="eastAsia" w:ascii="微软雅黑" w:hAnsi="微软雅黑" w:eastAsia="微软雅黑"/>
        </w:rPr>
        <w:t>1.</w:t>
      </w:r>
      <w:r>
        <w:rPr>
          <w:rFonts w:hint="eastAsia" w:ascii="微软雅黑" w:hAnsi="微软雅黑" w:eastAsia="微软雅黑"/>
          <w:lang w:val="en-US" w:eastAsia="zh-CN"/>
        </w:rPr>
        <w:t xml:space="preserve">1 </w:t>
      </w:r>
      <w:r>
        <w:rPr>
          <w:rFonts w:hint="eastAsia" w:ascii="微软雅黑" w:hAnsi="微软雅黑" w:eastAsia="微软雅黑"/>
        </w:rPr>
        <w:t xml:space="preserve"> 老旧小区空间分布情况</w:t>
      </w:r>
    </w:p>
    <w:p>
      <w:pPr>
        <w:ind w:firstLine="48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市中区老旧小区共657个，涉及40294户，主要分布在老城片区及柏杨坝片区所在的海棠街道及通江街道。海棠街道办包含老城片区绝大部分区域及柏杨坝片区东南部区域，属于海棠街道的老旧小区共466个，占总数的70.9%；海棠街道老旧小区分布密集，且街道南部老旧小区分布密度大于街道北部。通江街道包含柏杨坝片区大部分区域、通江片区、蟠龙片区，属于通江街道的老旧小区共162个，占总数的24.7%；通江街道老旧小区主要分布在柏杨坝片区的中、东部。其余周边街道及城镇有老旧小区共29个，仅占总数的4.4%；周边街道及城镇的老旧小区呈现零散分布。</w:t>
      </w:r>
    </w:p>
    <w:p>
      <w:pPr>
        <w:jc w:val="center"/>
        <w:rPr>
          <w:rFonts w:eastAsiaTheme="minorEastAsia"/>
        </w:rPr>
      </w:pPr>
      <w:r>
        <w:rPr>
          <w:rFonts w:hint="eastAsia" w:eastAsiaTheme="minorEastAsia"/>
        </w:rPr>
        <w:t>老旧小区分布情况一览表</w:t>
      </w:r>
    </w:p>
    <w:tbl>
      <w:tblPr>
        <w:tblStyle w:val="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1276"/>
        <w:gridCol w:w="1418"/>
        <w:gridCol w:w="1417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所在街道</w:t>
            </w:r>
          </w:p>
        </w:tc>
        <w:tc>
          <w:tcPr>
            <w:tcW w:w="170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所在社区</w:t>
            </w:r>
          </w:p>
        </w:tc>
        <w:tc>
          <w:tcPr>
            <w:tcW w:w="127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老旧小区数量</w:t>
            </w:r>
            <w:r>
              <w:rPr>
                <w:rFonts w:hint="eastAsia" w:eastAsiaTheme="minorEastAsia"/>
                <w:szCs w:val="24"/>
              </w:rPr>
              <w:t>(个)</w:t>
            </w:r>
          </w:p>
        </w:tc>
        <w:tc>
          <w:tcPr>
            <w:tcW w:w="1418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所在街道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所在社区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  <w:szCs w:val="24"/>
              </w:rPr>
            </w:pPr>
            <w:r>
              <w:rPr>
                <w:szCs w:val="24"/>
              </w:rPr>
              <w:t>老旧小区数量</w:t>
            </w:r>
            <w:r>
              <w:rPr>
                <w:rFonts w:hint="eastAsia" w:eastAsiaTheme="minorEastAsia"/>
                <w:szCs w:val="24"/>
              </w:rPr>
              <w:t>(个)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2" w:type="dxa"/>
            <w:vMerge w:val="restart"/>
            <w:tcBorders>
              <w:left w:val="single" w:color="auto" w:sz="12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海棠街道</w:t>
            </w:r>
          </w:p>
        </w:tc>
        <w:tc>
          <w:tcPr>
            <w:tcW w:w="1701" w:type="dxa"/>
            <w:tcBorders>
              <w:left w:val="nil"/>
            </w:tcBorders>
          </w:tcPr>
          <w:p>
            <w:pPr>
              <w:spacing w:line="30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color="auto" w:sz="12" w:space="0"/>
            </w:tcBorders>
          </w:tcPr>
          <w:p>
            <w:pPr>
              <w:spacing w:line="300" w:lineRule="exact"/>
              <w:jc w:val="center"/>
              <w:rPr>
                <w:rFonts w:eastAsiaTheme="minorEastAsia"/>
                <w:szCs w:val="24"/>
              </w:rPr>
            </w:pPr>
            <w:r>
              <w:rPr>
                <w:szCs w:val="24"/>
              </w:rPr>
              <w:t>46</w:t>
            </w:r>
            <w:r>
              <w:rPr>
                <w:rFonts w:hint="eastAsia" w:eastAsiaTheme="minorEastAsia"/>
                <w:szCs w:val="24"/>
              </w:rPr>
              <w:t>6</w:t>
            </w:r>
          </w:p>
        </w:tc>
        <w:tc>
          <w:tcPr>
            <w:tcW w:w="1418" w:type="dxa"/>
            <w:vMerge w:val="restart"/>
            <w:tcBorders>
              <w:left w:val="single" w:color="auto" w:sz="12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通江街道</w:t>
            </w:r>
          </w:p>
        </w:tc>
        <w:tc>
          <w:tcPr>
            <w:tcW w:w="1417" w:type="dxa"/>
            <w:tcBorders>
              <w:left w:val="nil"/>
            </w:tcBorders>
          </w:tcPr>
          <w:p>
            <w:pPr>
              <w:spacing w:line="300" w:lineRule="exact"/>
              <w:rPr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2" w:type="dxa"/>
            <w:vMerge w:val="continue"/>
            <w:tcBorders>
              <w:left w:val="single" w:color="auto" w:sz="12" w:space="0"/>
            </w:tcBorders>
          </w:tcPr>
          <w:p>
            <w:pPr>
              <w:spacing w:line="300" w:lineRule="exact"/>
              <w:rPr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白塔街社区</w:t>
            </w:r>
          </w:p>
        </w:tc>
        <w:tc>
          <w:tcPr>
            <w:tcW w:w="1276" w:type="dxa"/>
            <w:tcBorders>
              <w:right w:val="single" w:color="auto" w:sz="12" w:space="0"/>
            </w:tcBorders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418" w:type="dxa"/>
            <w:vMerge w:val="continue"/>
            <w:tcBorders>
              <w:left w:val="single" w:color="auto" w:sz="12" w:space="0"/>
            </w:tcBorders>
          </w:tcPr>
          <w:p>
            <w:pPr>
              <w:spacing w:line="300" w:lineRule="exact"/>
              <w:rPr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柏杨社区</w:t>
            </w:r>
          </w:p>
        </w:tc>
        <w:tc>
          <w:tcPr>
            <w:tcW w:w="1276" w:type="dxa"/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2" w:type="dxa"/>
            <w:vMerge w:val="continue"/>
            <w:tcBorders>
              <w:left w:val="single" w:color="auto" w:sz="12" w:space="0"/>
            </w:tcBorders>
          </w:tcPr>
          <w:p>
            <w:pPr>
              <w:spacing w:line="300" w:lineRule="exact"/>
              <w:rPr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斑竹湾社区</w:t>
            </w:r>
          </w:p>
        </w:tc>
        <w:tc>
          <w:tcPr>
            <w:tcW w:w="1276" w:type="dxa"/>
            <w:tcBorders>
              <w:right w:val="single" w:color="auto" w:sz="12" w:space="0"/>
            </w:tcBorders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418" w:type="dxa"/>
            <w:vMerge w:val="continue"/>
            <w:tcBorders>
              <w:left w:val="single" w:color="auto" w:sz="12" w:space="0"/>
            </w:tcBorders>
          </w:tcPr>
          <w:p>
            <w:pPr>
              <w:spacing w:line="300" w:lineRule="exact"/>
              <w:rPr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茶坊社区</w:t>
            </w:r>
          </w:p>
        </w:tc>
        <w:tc>
          <w:tcPr>
            <w:tcW w:w="1276" w:type="dxa"/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2" w:type="dxa"/>
            <w:vMerge w:val="continue"/>
            <w:tcBorders>
              <w:left w:val="single" w:color="auto" w:sz="12" w:space="0"/>
            </w:tcBorders>
          </w:tcPr>
          <w:p>
            <w:pPr>
              <w:spacing w:line="300" w:lineRule="exact"/>
              <w:rPr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北门桥社区</w:t>
            </w:r>
          </w:p>
        </w:tc>
        <w:tc>
          <w:tcPr>
            <w:tcW w:w="1276" w:type="dxa"/>
            <w:tcBorders>
              <w:right w:val="single" w:color="auto" w:sz="12" w:space="0"/>
            </w:tcBorders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418" w:type="dxa"/>
            <w:vMerge w:val="continue"/>
            <w:tcBorders>
              <w:left w:val="single" w:color="auto" w:sz="12" w:space="0"/>
            </w:tcBorders>
          </w:tcPr>
          <w:p>
            <w:pPr>
              <w:spacing w:line="300" w:lineRule="exact"/>
              <w:rPr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高墩子社区</w:t>
            </w:r>
          </w:p>
        </w:tc>
        <w:tc>
          <w:tcPr>
            <w:tcW w:w="1276" w:type="dxa"/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2" w:type="dxa"/>
            <w:vMerge w:val="continue"/>
            <w:tcBorders>
              <w:left w:val="single" w:color="auto" w:sz="12" w:space="0"/>
            </w:tcBorders>
          </w:tcPr>
          <w:p>
            <w:pPr>
              <w:spacing w:line="300" w:lineRule="exact"/>
              <w:rPr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府街社区</w:t>
            </w:r>
          </w:p>
        </w:tc>
        <w:tc>
          <w:tcPr>
            <w:tcW w:w="1276" w:type="dxa"/>
            <w:tcBorders>
              <w:right w:val="single" w:color="auto" w:sz="12" w:space="0"/>
            </w:tcBorders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1418" w:type="dxa"/>
            <w:vMerge w:val="continue"/>
            <w:tcBorders>
              <w:left w:val="single" w:color="auto" w:sz="12" w:space="0"/>
            </w:tcBorders>
          </w:tcPr>
          <w:p>
            <w:pPr>
              <w:spacing w:line="300" w:lineRule="exact"/>
              <w:rPr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岷河社区</w:t>
            </w:r>
          </w:p>
        </w:tc>
        <w:tc>
          <w:tcPr>
            <w:tcW w:w="1276" w:type="dxa"/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2" w:type="dxa"/>
            <w:vMerge w:val="continue"/>
            <w:tcBorders>
              <w:left w:val="single" w:color="auto" w:sz="12" w:space="0"/>
            </w:tcBorders>
          </w:tcPr>
          <w:p>
            <w:pPr>
              <w:spacing w:line="300" w:lineRule="exact"/>
              <w:rPr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桂花楼社区</w:t>
            </w:r>
          </w:p>
        </w:tc>
        <w:tc>
          <w:tcPr>
            <w:tcW w:w="1276" w:type="dxa"/>
            <w:tcBorders>
              <w:right w:val="single" w:color="auto" w:sz="12" w:space="0"/>
            </w:tcBorders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81</w:t>
            </w:r>
          </w:p>
        </w:tc>
        <w:tc>
          <w:tcPr>
            <w:tcW w:w="1418" w:type="dxa"/>
            <w:vMerge w:val="continue"/>
            <w:tcBorders>
              <w:left w:val="single" w:color="auto" w:sz="12" w:space="0"/>
            </w:tcBorders>
          </w:tcPr>
          <w:p>
            <w:pPr>
              <w:spacing w:line="300" w:lineRule="exact"/>
              <w:rPr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牛咡桥社区</w:t>
            </w:r>
          </w:p>
        </w:tc>
        <w:tc>
          <w:tcPr>
            <w:tcW w:w="1276" w:type="dxa"/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2" w:type="dxa"/>
            <w:vMerge w:val="continue"/>
            <w:tcBorders>
              <w:left w:val="single" w:color="auto" w:sz="12" w:space="0"/>
            </w:tcBorders>
          </w:tcPr>
          <w:p>
            <w:pPr>
              <w:spacing w:line="300" w:lineRule="exact"/>
              <w:rPr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较场坝街社区</w:t>
            </w:r>
          </w:p>
        </w:tc>
        <w:tc>
          <w:tcPr>
            <w:tcW w:w="1276" w:type="dxa"/>
            <w:tcBorders>
              <w:right w:val="single" w:color="auto" w:sz="12" w:space="0"/>
            </w:tcBorders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418" w:type="dxa"/>
            <w:vMerge w:val="continue"/>
            <w:tcBorders>
              <w:left w:val="single" w:color="auto" w:sz="12" w:space="0"/>
            </w:tcBorders>
          </w:tcPr>
          <w:p>
            <w:pPr>
              <w:spacing w:line="300" w:lineRule="exact"/>
              <w:rPr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蟠龙社区</w:t>
            </w:r>
          </w:p>
        </w:tc>
        <w:tc>
          <w:tcPr>
            <w:tcW w:w="1276" w:type="dxa"/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2" w:type="dxa"/>
            <w:vMerge w:val="continue"/>
            <w:tcBorders>
              <w:left w:val="single" w:color="auto" w:sz="12" w:space="0"/>
            </w:tcBorders>
          </w:tcPr>
          <w:p>
            <w:pPr>
              <w:spacing w:line="300" w:lineRule="exact"/>
              <w:rPr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青果山社区</w:t>
            </w:r>
          </w:p>
        </w:tc>
        <w:tc>
          <w:tcPr>
            <w:tcW w:w="1276" w:type="dxa"/>
            <w:tcBorders>
              <w:right w:val="single" w:color="auto" w:sz="12" w:space="0"/>
            </w:tcBorders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8" w:type="dxa"/>
            <w:vMerge w:val="continue"/>
            <w:tcBorders>
              <w:left w:val="single" w:color="auto" w:sz="12" w:space="0"/>
            </w:tcBorders>
          </w:tcPr>
          <w:p>
            <w:pPr>
              <w:spacing w:line="30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通江社区</w:t>
            </w:r>
          </w:p>
        </w:tc>
        <w:tc>
          <w:tcPr>
            <w:tcW w:w="1276" w:type="dxa"/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2" w:type="dxa"/>
            <w:vMerge w:val="continue"/>
            <w:tcBorders>
              <w:left w:val="single" w:color="auto" w:sz="12" w:space="0"/>
            </w:tcBorders>
          </w:tcPr>
          <w:p>
            <w:pPr>
              <w:spacing w:line="300" w:lineRule="exact"/>
              <w:rPr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人民西路社区</w:t>
            </w:r>
          </w:p>
        </w:tc>
        <w:tc>
          <w:tcPr>
            <w:tcW w:w="1276" w:type="dxa"/>
            <w:tcBorders>
              <w:right w:val="single" w:color="auto" w:sz="12" w:space="0"/>
            </w:tcBorders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18" w:type="dxa"/>
            <w:vMerge w:val="restart"/>
            <w:tcBorders>
              <w:left w:val="single" w:color="auto" w:sz="12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大佛街道</w:t>
            </w:r>
          </w:p>
        </w:tc>
        <w:tc>
          <w:tcPr>
            <w:tcW w:w="1417" w:type="dxa"/>
            <w:tcBorders>
              <w:left w:val="nil"/>
            </w:tcBorders>
          </w:tcPr>
          <w:p>
            <w:pPr>
              <w:spacing w:line="300" w:lineRule="exact"/>
              <w:rPr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00" w:lineRule="exact"/>
              <w:jc w:val="center"/>
              <w:rPr>
                <w:rFonts w:eastAsiaTheme="minorEastAsia"/>
                <w:szCs w:val="24"/>
              </w:rPr>
            </w:pPr>
            <w:r>
              <w:rPr>
                <w:rFonts w:hint="eastAsia" w:eastAsiaTheme="minorEastAsia"/>
                <w:szCs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2" w:type="dxa"/>
            <w:vMerge w:val="continue"/>
            <w:tcBorders>
              <w:left w:val="single" w:color="auto" w:sz="12" w:space="0"/>
            </w:tcBorders>
          </w:tcPr>
          <w:p>
            <w:pPr>
              <w:spacing w:line="300" w:lineRule="exact"/>
              <w:rPr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圣水社区</w:t>
            </w:r>
          </w:p>
        </w:tc>
        <w:tc>
          <w:tcPr>
            <w:tcW w:w="1276" w:type="dxa"/>
            <w:tcBorders>
              <w:right w:val="single" w:color="auto" w:sz="12" w:space="0"/>
            </w:tcBorders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钓鱼台社区</w:t>
            </w:r>
          </w:p>
        </w:tc>
        <w:tc>
          <w:tcPr>
            <w:tcW w:w="1276" w:type="dxa"/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2" w:type="dxa"/>
            <w:vMerge w:val="continue"/>
            <w:tcBorders>
              <w:left w:val="single" w:color="auto" w:sz="12" w:space="0"/>
            </w:tcBorders>
          </w:tcPr>
          <w:p>
            <w:pPr>
              <w:spacing w:line="300" w:lineRule="exact"/>
              <w:rPr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石雁儿社区</w:t>
            </w:r>
          </w:p>
        </w:tc>
        <w:tc>
          <w:tcPr>
            <w:tcW w:w="1276" w:type="dxa"/>
            <w:tcBorders>
              <w:right w:val="single" w:color="auto" w:sz="12" w:space="0"/>
            </w:tcBorders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41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龙泓路社区</w:t>
            </w:r>
          </w:p>
        </w:tc>
        <w:tc>
          <w:tcPr>
            <w:tcW w:w="1276" w:type="dxa"/>
          </w:tcPr>
          <w:p>
            <w:pPr>
              <w:spacing w:line="300" w:lineRule="exact"/>
              <w:jc w:val="center"/>
              <w:rPr>
                <w:rFonts w:eastAsiaTheme="minorEastAsia"/>
                <w:szCs w:val="24"/>
              </w:rPr>
            </w:pPr>
            <w:r>
              <w:rPr>
                <w:rFonts w:hint="eastAsia" w:eastAsiaTheme="minorEastAsia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2" w:type="dxa"/>
            <w:vMerge w:val="continue"/>
            <w:tcBorders>
              <w:left w:val="single" w:color="auto" w:sz="12" w:space="0"/>
            </w:tcBorders>
          </w:tcPr>
          <w:p>
            <w:pPr>
              <w:spacing w:line="300" w:lineRule="exact"/>
              <w:rPr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水井冲社区</w:t>
            </w:r>
          </w:p>
        </w:tc>
        <w:tc>
          <w:tcPr>
            <w:tcW w:w="1276" w:type="dxa"/>
            <w:tcBorders>
              <w:right w:val="single" w:color="auto" w:sz="12" w:space="0"/>
            </w:tcBorders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18" w:type="dxa"/>
            <w:vMerge w:val="continue"/>
            <w:tcBorders>
              <w:left w:val="single" w:color="auto" w:sz="12" w:space="0"/>
            </w:tcBorders>
          </w:tcPr>
          <w:p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碧山路社区</w:t>
            </w:r>
          </w:p>
        </w:tc>
        <w:tc>
          <w:tcPr>
            <w:tcW w:w="1276" w:type="dxa"/>
          </w:tcPr>
          <w:p>
            <w:pPr>
              <w:spacing w:line="300" w:lineRule="exact"/>
              <w:jc w:val="center"/>
              <w:rPr>
                <w:rFonts w:eastAsiaTheme="minorEastAsia"/>
                <w:szCs w:val="24"/>
              </w:rPr>
            </w:pPr>
            <w:r>
              <w:rPr>
                <w:rFonts w:hint="eastAsia" w:eastAsiaTheme="minorEastAsia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2" w:type="dxa"/>
            <w:vMerge w:val="continue"/>
            <w:tcBorders>
              <w:left w:val="single" w:color="auto" w:sz="12" w:space="0"/>
            </w:tcBorders>
          </w:tcPr>
          <w:p>
            <w:pPr>
              <w:spacing w:line="300" w:lineRule="exact"/>
              <w:rPr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王浩儿社区</w:t>
            </w:r>
          </w:p>
        </w:tc>
        <w:tc>
          <w:tcPr>
            <w:tcW w:w="1276" w:type="dxa"/>
            <w:tcBorders>
              <w:right w:val="single" w:color="auto" w:sz="12" w:space="0"/>
            </w:tcBorders>
          </w:tcPr>
          <w:p>
            <w:pPr>
              <w:spacing w:line="300" w:lineRule="exact"/>
              <w:jc w:val="center"/>
              <w:rPr>
                <w:rFonts w:eastAsiaTheme="minorEastAsia"/>
                <w:szCs w:val="24"/>
              </w:rPr>
            </w:pPr>
            <w:r>
              <w:rPr>
                <w:szCs w:val="24"/>
              </w:rPr>
              <w:t>5</w:t>
            </w:r>
            <w:r>
              <w:rPr>
                <w:rFonts w:hint="eastAsia" w:eastAsiaTheme="minorEastAsia"/>
                <w:szCs w:val="24"/>
              </w:rPr>
              <w:t>7</w:t>
            </w:r>
          </w:p>
        </w:tc>
        <w:tc>
          <w:tcPr>
            <w:tcW w:w="1418" w:type="dxa"/>
            <w:vMerge w:val="restart"/>
            <w:tcBorders>
              <w:left w:val="single" w:color="auto" w:sz="12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棉竹镇</w:t>
            </w:r>
          </w:p>
        </w:tc>
        <w:tc>
          <w:tcPr>
            <w:tcW w:w="1417" w:type="dxa"/>
            <w:tcBorders>
              <w:left w:val="nil"/>
            </w:tcBorders>
          </w:tcPr>
          <w:p>
            <w:pPr>
              <w:spacing w:line="300" w:lineRule="exact"/>
              <w:rPr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2" w:type="dxa"/>
            <w:vMerge w:val="continue"/>
            <w:tcBorders>
              <w:left w:val="single" w:color="auto" w:sz="12" w:space="0"/>
            </w:tcBorders>
          </w:tcPr>
          <w:p>
            <w:pPr>
              <w:spacing w:line="300" w:lineRule="exact"/>
              <w:rPr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文昌宫社区</w:t>
            </w:r>
          </w:p>
        </w:tc>
        <w:tc>
          <w:tcPr>
            <w:tcW w:w="1276" w:type="dxa"/>
            <w:tcBorders>
              <w:right w:val="single" w:color="auto" w:sz="12" w:space="0"/>
            </w:tcBorders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1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高坝社区</w:t>
            </w:r>
          </w:p>
        </w:tc>
        <w:tc>
          <w:tcPr>
            <w:tcW w:w="1276" w:type="dxa"/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2" w:type="dxa"/>
            <w:vMerge w:val="continue"/>
            <w:tcBorders>
              <w:left w:val="single" w:color="auto" w:sz="12" w:space="0"/>
            </w:tcBorders>
          </w:tcPr>
          <w:p>
            <w:pPr>
              <w:spacing w:line="300" w:lineRule="exact"/>
              <w:rPr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县街社区</w:t>
            </w:r>
          </w:p>
        </w:tc>
        <w:tc>
          <w:tcPr>
            <w:tcW w:w="1276" w:type="dxa"/>
            <w:tcBorders>
              <w:right w:val="single" w:color="auto" w:sz="12" w:space="0"/>
            </w:tcBorders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41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棉竹铺社区</w:t>
            </w:r>
          </w:p>
        </w:tc>
        <w:tc>
          <w:tcPr>
            <w:tcW w:w="1276" w:type="dxa"/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2" w:type="dxa"/>
            <w:vMerge w:val="continue"/>
            <w:tcBorders>
              <w:left w:val="single" w:color="auto" w:sz="12" w:space="0"/>
            </w:tcBorders>
          </w:tcPr>
          <w:p>
            <w:pPr>
              <w:spacing w:line="300" w:lineRule="exact"/>
              <w:rPr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新村街社区</w:t>
            </w:r>
          </w:p>
        </w:tc>
        <w:tc>
          <w:tcPr>
            <w:tcW w:w="1276" w:type="dxa"/>
            <w:tcBorders>
              <w:right w:val="single" w:color="auto" w:sz="12" w:space="0"/>
            </w:tcBorders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41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天空山村</w:t>
            </w:r>
          </w:p>
        </w:tc>
        <w:tc>
          <w:tcPr>
            <w:tcW w:w="1276" w:type="dxa"/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2" w:type="dxa"/>
            <w:vMerge w:val="continue"/>
            <w:tcBorders>
              <w:left w:val="single" w:color="auto" w:sz="12" w:space="0"/>
            </w:tcBorders>
          </w:tcPr>
          <w:p>
            <w:pPr>
              <w:spacing w:line="300" w:lineRule="exact"/>
              <w:rPr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徐家扁社区</w:t>
            </w:r>
          </w:p>
        </w:tc>
        <w:tc>
          <w:tcPr>
            <w:tcW w:w="1276" w:type="dxa"/>
            <w:tcBorders>
              <w:right w:val="single" w:color="auto" w:sz="12" w:space="0"/>
            </w:tcBorders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418" w:type="dxa"/>
            <w:vMerge w:val="restart"/>
            <w:tcBorders>
              <w:left w:val="single" w:color="auto" w:sz="12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苏稽镇</w:t>
            </w:r>
          </w:p>
        </w:tc>
        <w:tc>
          <w:tcPr>
            <w:tcW w:w="1417" w:type="dxa"/>
            <w:tcBorders>
              <w:left w:val="nil"/>
            </w:tcBorders>
          </w:tcPr>
          <w:p>
            <w:pPr>
              <w:spacing w:line="300" w:lineRule="exact"/>
              <w:rPr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2" w:type="dxa"/>
            <w:vMerge w:val="continue"/>
            <w:tcBorders>
              <w:left w:val="single" w:color="auto" w:sz="12" w:space="0"/>
            </w:tcBorders>
          </w:tcPr>
          <w:p>
            <w:pPr>
              <w:spacing w:line="300" w:lineRule="exact"/>
              <w:rPr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演武街社区</w:t>
            </w:r>
          </w:p>
        </w:tc>
        <w:tc>
          <w:tcPr>
            <w:tcW w:w="1276" w:type="dxa"/>
            <w:tcBorders>
              <w:right w:val="single" w:color="auto" w:sz="12" w:space="0"/>
            </w:tcBorders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18" w:type="dxa"/>
            <w:vMerge w:val="continue"/>
            <w:tcBorders>
              <w:left w:val="single" w:color="auto" w:sz="12" w:space="0"/>
            </w:tcBorders>
          </w:tcPr>
          <w:p>
            <w:pPr>
              <w:spacing w:line="300" w:lineRule="exact"/>
              <w:rPr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苏稽街社区</w:t>
            </w:r>
          </w:p>
        </w:tc>
        <w:tc>
          <w:tcPr>
            <w:tcW w:w="1276" w:type="dxa"/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2" w:type="dxa"/>
            <w:tcBorders>
              <w:left w:val="single" w:color="auto" w:sz="12" w:space="0"/>
            </w:tcBorders>
          </w:tcPr>
          <w:p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绿心街道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竹公溪社区</w:t>
            </w:r>
          </w:p>
        </w:tc>
        <w:tc>
          <w:tcPr>
            <w:tcW w:w="1276" w:type="dxa"/>
            <w:tcBorders>
              <w:right w:val="single" w:color="auto" w:sz="12" w:space="0"/>
            </w:tcBorders>
          </w:tcPr>
          <w:p>
            <w:pPr>
              <w:spacing w:line="300" w:lineRule="exact"/>
              <w:jc w:val="center"/>
              <w:rPr>
                <w:rFonts w:eastAsiaTheme="minorEastAsia"/>
                <w:szCs w:val="24"/>
              </w:rPr>
            </w:pPr>
            <w:r>
              <w:rPr>
                <w:rFonts w:hint="eastAsia" w:eastAsiaTheme="minorEastAsia"/>
                <w:szCs w:val="24"/>
              </w:rPr>
              <w:t>3</w:t>
            </w:r>
          </w:p>
        </w:tc>
        <w:tc>
          <w:tcPr>
            <w:tcW w:w="1418" w:type="dxa"/>
            <w:vMerge w:val="continue"/>
            <w:tcBorders>
              <w:left w:val="single" w:color="auto" w:sz="12" w:space="0"/>
            </w:tcBorders>
          </w:tcPr>
          <w:p>
            <w:pPr>
              <w:spacing w:line="300" w:lineRule="exact"/>
              <w:rPr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新桥街社区</w:t>
            </w:r>
          </w:p>
        </w:tc>
        <w:tc>
          <w:tcPr>
            <w:tcW w:w="1276" w:type="dxa"/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2" w:type="dxa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全福街道</w:t>
            </w:r>
          </w:p>
        </w:tc>
        <w:tc>
          <w:tcPr>
            <w:tcW w:w="1701" w:type="dxa"/>
            <w:tcBorders>
              <w:bottom w:val="single" w:color="auto" w:sz="12" w:space="0"/>
            </w:tcBorders>
          </w:tcPr>
          <w:p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沟儿口社区</w:t>
            </w:r>
          </w:p>
        </w:tc>
        <w:tc>
          <w:tcPr>
            <w:tcW w:w="1276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color="auto" w:sz="12" w:space="0"/>
            </w:tcBorders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水口镇</w:t>
            </w:r>
          </w:p>
        </w:tc>
        <w:tc>
          <w:tcPr>
            <w:tcW w:w="1417" w:type="dxa"/>
          </w:tcPr>
          <w:p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水口镇</w:t>
            </w:r>
          </w:p>
        </w:tc>
        <w:tc>
          <w:tcPr>
            <w:tcW w:w="1276" w:type="dxa"/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19" w:type="dxa"/>
            <w:gridSpan w:val="3"/>
            <w:tcBorders>
              <w:top w:val="single" w:color="auto" w:sz="12" w:space="0"/>
            </w:tcBorders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 w:eastAsiaTheme="minorEastAsia"/>
                <w:szCs w:val="24"/>
              </w:rPr>
              <w:t>总计</w:t>
            </w:r>
          </w:p>
        </w:tc>
        <w:tc>
          <w:tcPr>
            <w:tcW w:w="4111" w:type="dxa"/>
            <w:gridSpan w:val="3"/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 w:eastAsiaTheme="minorEastAsia"/>
                <w:szCs w:val="24"/>
              </w:rPr>
              <w:t>657</w:t>
            </w:r>
          </w:p>
        </w:tc>
      </w:tr>
    </w:tbl>
    <w:p>
      <w:pPr>
        <w:pStyle w:val="4"/>
        <w:numPr>
          <w:ilvl w:val="0"/>
          <w:numId w:val="0"/>
        </w:numPr>
        <w:spacing w:before="124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1.2  建设年代总体情况</w:t>
      </w:r>
      <w:bookmarkEnd w:id="2"/>
    </w:p>
    <w:p>
      <w:pPr>
        <w:jc w:val="center"/>
        <w:rPr>
          <w:rFonts w:eastAsiaTheme="minorEastAsia"/>
        </w:rPr>
      </w:pPr>
      <w:r>
        <w:rPr>
          <w:rFonts w:hint="eastAsia" w:ascii="宋体" w:hAnsi="宋体"/>
          <w:b/>
          <w:bCs/>
        </w:rPr>
        <w:t>年代分类统计表</w:t>
      </w:r>
    </w:p>
    <w:tbl>
      <w:tblPr>
        <w:tblStyle w:val="25"/>
        <w:tblW w:w="82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1186"/>
        <w:gridCol w:w="1224"/>
        <w:gridCol w:w="1842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6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分类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小区数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（个）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楼栋数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（栋）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住宅建筑面积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（万平方米）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居民户数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（户）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按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建成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年代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划分</w:t>
            </w:r>
          </w:p>
        </w:tc>
        <w:tc>
          <w:tcPr>
            <w:tcW w:w="1843" w:type="dxa"/>
            <w:vAlign w:val="center"/>
          </w:tcPr>
          <w:p>
            <w:pPr>
              <w:pStyle w:val="23"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eastAsia="黑体" w:cs="Arial"/>
                <w:color w:val="000000"/>
                <w:kern w:val="24"/>
              </w:rPr>
              <w:t>1980年</w:t>
            </w:r>
            <w:r>
              <w:rPr>
                <w:rFonts w:hint="eastAsia" w:ascii="Arial" w:hAnsi="Arial" w:eastAsia="黑体" w:cs="Arial"/>
                <w:color w:val="000000"/>
                <w:kern w:val="24"/>
              </w:rPr>
              <w:t>前</w:t>
            </w:r>
          </w:p>
        </w:tc>
        <w:tc>
          <w:tcPr>
            <w:tcW w:w="1186" w:type="dxa"/>
            <w:vAlign w:val="center"/>
          </w:tcPr>
          <w:p>
            <w:pPr>
              <w:pStyle w:val="23"/>
              <w:spacing w:before="0" w:beforeAutospacing="0" w:after="0" w:afterAutospacing="0" w:line="400" w:lineRule="exact"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24"/>
              </w:rPr>
              <w:t>253</w:t>
            </w:r>
          </w:p>
        </w:tc>
        <w:tc>
          <w:tcPr>
            <w:tcW w:w="1224" w:type="dxa"/>
            <w:vAlign w:val="center"/>
          </w:tcPr>
          <w:p>
            <w:pPr>
              <w:pStyle w:val="23"/>
              <w:spacing w:before="0" w:beforeAutospacing="0" w:after="0" w:afterAutospacing="0" w:line="400" w:lineRule="exact"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24"/>
              </w:rPr>
              <w:t>556</w:t>
            </w:r>
          </w:p>
        </w:tc>
        <w:tc>
          <w:tcPr>
            <w:tcW w:w="1842" w:type="dxa"/>
            <w:vAlign w:val="center"/>
          </w:tcPr>
          <w:p>
            <w:pPr>
              <w:pStyle w:val="23"/>
              <w:spacing w:before="0" w:beforeAutospacing="0" w:after="0" w:afterAutospacing="0" w:line="400" w:lineRule="exact"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24"/>
              </w:rPr>
              <w:t>89</w:t>
            </w:r>
          </w:p>
        </w:tc>
        <w:tc>
          <w:tcPr>
            <w:tcW w:w="1347" w:type="dxa"/>
            <w:vAlign w:val="center"/>
          </w:tcPr>
          <w:p>
            <w:pPr>
              <w:pStyle w:val="23"/>
              <w:spacing w:before="0" w:beforeAutospacing="0" w:after="0" w:afterAutospacing="0" w:line="400" w:lineRule="exact"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24"/>
              </w:rPr>
              <w:t>13776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3"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eastAsia="黑体" w:cs="Arial"/>
                <w:color w:val="000000"/>
                <w:kern w:val="24"/>
              </w:rPr>
              <w:t>1981</w:t>
            </w:r>
            <w:r>
              <w:rPr>
                <w:rFonts w:hint="eastAsia" w:ascii="Arial" w:hAnsi="Arial" w:eastAsia="黑体" w:cs="Arial"/>
                <w:color w:val="000000"/>
                <w:kern w:val="24"/>
              </w:rPr>
              <w:t>～</w:t>
            </w:r>
            <w:r>
              <w:rPr>
                <w:rFonts w:ascii="Arial" w:hAnsi="Arial" w:eastAsia="黑体" w:cs="Arial"/>
                <w:color w:val="000000"/>
                <w:kern w:val="24"/>
              </w:rPr>
              <w:t>1990年</w:t>
            </w:r>
          </w:p>
        </w:tc>
        <w:tc>
          <w:tcPr>
            <w:tcW w:w="1186" w:type="dxa"/>
            <w:vAlign w:val="center"/>
          </w:tcPr>
          <w:p>
            <w:pPr>
              <w:pStyle w:val="23"/>
              <w:spacing w:before="0" w:beforeAutospacing="0" w:after="0" w:afterAutospacing="0" w:line="400" w:lineRule="exact"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24"/>
              </w:rPr>
              <w:t>153</w:t>
            </w:r>
          </w:p>
        </w:tc>
        <w:tc>
          <w:tcPr>
            <w:tcW w:w="1224" w:type="dxa"/>
            <w:vAlign w:val="center"/>
          </w:tcPr>
          <w:p>
            <w:pPr>
              <w:pStyle w:val="23"/>
              <w:spacing w:before="0" w:beforeAutospacing="0" w:after="0" w:afterAutospacing="0" w:line="400" w:lineRule="exact"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24"/>
              </w:rPr>
              <w:t>366</w:t>
            </w:r>
          </w:p>
        </w:tc>
        <w:tc>
          <w:tcPr>
            <w:tcW w:w="1842" w:type="dxa"/>
            <w:vAlign w:val="center"/>
          </w:tcPr>
          <w:p>
            <w:pPr>
              <w:pStyle w:val="23"/>
              <w:spacing w:before="0" w:beforeAutospacing="0" w:after="0" w:afterAutospacing="0" w:line="400" w:lineRule="exact"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24"/>
              </w:rPr>
              <w:t>98</w:t>
            </w:r>
          </w:p>
        </w:tc>
        <w:tc>
          <w:tcPr>
            <w:tcW w:w="1347" w:type="dxa"/>
            <w:vAlign w:val="center"/>
          </w:tcPr>
          <w:p>
            <w:pPr>
              <w:pStyle w:val="23"/>
              <w:spacing w:before="0" w:beforeAutospacing="0" w:after="0" w:afterAutospacing="0" w:line="400" w:lineRule="exact"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24"/>
              </w:rPr>
              <w:t>10506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3"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eastAsia="黑体" w:cs="Arial"/>
                <w:color w:val="000000"/>
                <w:kern w:val="24"/>
              </w:rPr>
              <w:t>1991</w:t>
            </w:r>
            <w:r>
              <w:rPr>
                <w:rFonts w:hint="eastAsia" w:ascii="Arial" w:hAnsi="Arial" w:eastAsia="黑体" w:cs="Arial"/>
                <w:color w:val="000000"/>
                <w:kern w:val="24"/>
              </w:rPr>
              <w:t>～</w:t>
            </w:r>
            <w:r>
              <w:rPr>
                <w:rFonts w:ascii="Arial" w:hAnsi="Arial" w:eastAsia="黑体" w:cs="Arial"/>
                <w:color w:val="000000"/>
                <w:kern w:val="24"/>
              </w:rPr>
              <w:t>2000年</w:t>
            </w:r>
          </w:p>
        </w:tc>
        <w:tc>
          <w:tcPr>
            <w:tcW w:w="1186" w:type="dxa"/>
            <w:vAlign w:val="center"/>
          </w:tcPr>
          <w:p>
            <w:pPr>
              <w:pStyle w:val="23"/>
              <w:spacing w:before="0" w:beforeAutospacing="0" w:after="0" w:afterAutospacing="0" w:line="400" w:lineRule="exact"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24"/>
              </w:rPr>
              <w:t>108</w:t>
            </w:r>
          </w:p>
        </w:tc>
        <w:tc>
          <w:tcPr>
            <w:tcW w:w="1224" w:type="dxa"/>
            <w:vAlign w:val="center"/>
          </w:tcPr>
          <w:p>
            <w:pPr>
              <w:pStyle w:val="23"/>
              <w:spacing w:before="0" w:beforeAutospacing="0" w:after="0" w:afterAutospacing="0" w:line="400" w:lineRule="exact"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24"/>
              </w:rPr>
              <w:t>224</w:t>
            </w:r>
          </w:p>
        </w:tc>
        <w:tc>
          <w:tcPr>
            <w:tcW w:w="1842" w:type="dxa"/>
            <w:vAlign w:val="center"/>
          </w:tcPr>
          <w:p>
            <w:pPr>
              <w:pStyle w:val="23"/>
              <w:spacing w:before="0" w:beforeAutospacing="0" w:after="0" w:afterAutospacing="0" w:line="400" w:lineRule="exact"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24"/>
              </w:rPr>
              <w:t>60</w:t>
            </w:r>
          </w:p>
        </w:tc>
        <w:tc>
          <w:tcPr>
            <w:tcW w:w="1347" w:type="dxa"/>
            <w:vAlign w:val="center"/>
          </w:tcPr>
          <w:p>
            <w:pPr>
              <w:pStyle w:val="23"/>
              <w:spacing w:before="0" w:beforeAutospacing="0" w:after="0" w:afterAutospacing="0" w:line="400" w:lineRule="exact"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24"/>
              </w:rPr>
              <w:t>6171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3"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eastAsia="黑体" w:cs="Arial"/>
                <w:color w:val="000000"/>
                <w:kern w:val="24"/>
              </w:rPr>
              <w:t>200</w:t>
            </w:r>
            <w:r>
              <w:rPr>
                <w:rFonts w:hint="eastAsia" w:ascii="Arial" w:hAnsi="Arial" w:eastAsia="黑体" w:cs="Arial"/>
                <w:color w:val="000000"/>
                <w:kern w:val="24"/>
              </w:rPr>
              <w:t>0</w:t>
            </w:r>
            <w:r>
              <w:rPr>
                <w:rFonts w:ascii="Arial" w:hAnsi="Arial" w:eastAsia="黑体" w:cs="Arial"/>
                <w:color w:val="000000"/>
                <w:kern w:val="24"/>
              </w:rPr>
              <w:t>年</w:t>
            </w:r>
            <w:r>
              <w:rPr>
                <w:rFonts w:hint="eastAsia" w:ascii="Arial" w:hAnsi="Arial" w:eastAsia="黑体" w:cs="Arial"/>
                <w:color w:val="000000"/>
                <w:kern w:val="24"/>
              </w:rPr>
              <w:t>后</w:t>
            </w:r>
          </w:p>
        </w:tc>
        <w:tc>
          <w:tcPr>
            <w:tcW w:w="1186" w:type="dxa"/>
            <w:vAlign w:val="center"/>
          </w:tcPr>
          <w:p>
            <w:pPr>
              <w:pStyle w:val="23"/>
              <w:spacing w:before="0" w:beforeAutospacing="0" w:after="0" w:afterAutospacing="0" w:line="400" w:lineRule="exact"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24"/>
              </w:rPr>
              <w:t>143</w:t>
            </w:r>
          </w:p>
        </w:tc>
        <w:tc>
          <w:tcPr>
            <w:tcW w:w="1224" w:type="dxa"/>
            <w:vAlign w:val="center"/>
          </w:tcPr>
          <w:p>
            <w:pPr>
              <w:pStyle w:val="23"/>
              <w:spacing w:before="0" w:beforeAutospacing="0" w:after="0" w:afterAutospacing="0" w:line="400" w:lineRule="exact"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24"/>
              </w:rPr>
              <w:t>800</w:t>
            </w:r>
          </w:p>
        </w:tc>
        <w:tc>
          <w:tcPr>
            <w:tcW w:w="1842" w:type="dxa"/>
            <w:vAlign w:val="center"/>
          </w:tcPr>
          <w:p>
            <w:pPr>
              <w:pStyle w:val="23"/>
              <w:spacing w:before="0" w:beforeAutospacing="0" w:after="0" w:afterAutospacing="0" w:line="400" w:lineRule="exact"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24"/>
              </w:rPr>
              <w:t>158</w:t>
            </w:r>
          </w:p>
        </w:tc>
        <w:tc>
          <w:tcPr>
            <w:tcW w:w="1347" w:type="dxa"/>
            <w:vAlign w:val="center"/>
          </w:tcPr>
          <w:p>
            <w:pPr>
              <w:pStyle w:val="23"/>
              <w:spacing w:before="0" w:beforeAutospacing="0" w:after="0" w:afterAutospacing="0" w:line="400" w:lineRule="exact"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24"/>
              </w:rPr>
              <w:t>9841</w:t>
            </w:r>
          </w:p>
        </w:tc>
      </w:tr>
    </w:tbl>
    <w:p>
      <w:pPr>
        <w:jc w:val="center"/>
        <w:rPr>
          <w:rFonts w:ascii="宋体" w:hAnsi="宋体"/>
          <w:b/>
          <w:bCs/>
        </w:rPr>
      </w:pPr>
    </w:p>
    <w:p>
      <w:pPr>
        <w:pStyle w:val="4"/>
        <w:numPr>
          <w:ilvl w:val="0"/>
          <w:numId w:val="0"/>
        </w:numPr>
        <w:spacing w:before="124"/>
        <w:rPr>
          <w:rFonts w:ascii="微软雅黑" w:hAnsi="微软雅黑" w:eastAsia="微软雅黑"/>
        </w:rPr>
      </w:pPr>
      <w:bookmarkStart w:id="3" w:name="_Toc62048999"/>
      <w:r>
        <w:rPr>
          <w:rFonts w:hint="eastAsia" w:ascii="微软雅黑" w:hAnsi="微软雅黑" w:eastAsia="微软雅黑"/>
        </w:rPr>
        <w:t>1.</w:t>
      </w:r>
      <w:r>
        <w:rPr>
          <w:rFonts w:hint="eastAsia" w:ascii="微软雅黑" w:hAnsi="微软雅黑" w:eastAsia="微软雅黑"/>
          <w:lang w:val="en-US" w:eastAsia="zh-CN"/>
        </w:rPr>
        <w:t>3</w:t>
      </w:r>
      <w:r>
        <w:rPr>
          <w:rFonts w:hint="eastAsia" w:ascii="微软雅黑" w:hAnsi="微软雅黑" w:eastAsia="微软雅黑"/>
        </w:rPr>
        <w:t xml:space="preserve">  房屋性质总体评价</w:t>
      </w:r>
      <w:bookmarkEnd w:id="3"/>
    </w:p>
    <w:p>
      <w:pPr>
        <w:ind w:firstLine="241" w:firstLineChars="100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性质分类统计表</w:t>
      </w:r>
    </w:p>
    <w:tbl>
      <w:tblPr>
        <w:tblStyle w:val="24"/>
        <w:tblW w:w="837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2268"/>
        <w:gridCol w:w="992"/>
        <w:gridCol w:w="992"/>
        <w:gridCol w:w="1843"/>
        <w:gridCol w:w="12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b/>
                <w:bCs/>
              </w:rPr>
              <w:t>分类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hint="eastAsia" w:eastAsiaTheme="minorEastAsia"/>
                <w:b/>
                <w:bCs/>
              </w:rPr>
              <w:t>小区数</w:t>
            </w:r>
          </w:p>
          <w:p>
            <w:pPr>
              <w:spacing w:line="30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b/>
                <w:bCs/>
              </w:rPr>
              <w:t>（个）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hint="eastAsia" w:eastAsiaTheme="minorEastAsia"/>
                <w:b/>
                <w:bCs/>
              </w:rPr>
              <w:t>楼栋数</w:t>
            </w:r>
          </w:p>
          <w:p>
            <w:pPr>
              <w:spacing w:line="30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b/>
                <w:bCs/>
              </w:rPr>
              <w:t>（栋）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hint="eastAsia" w:eastAsiaTheme="minorEastAsia"/>
                <w:b/>
                <w:bCs/>
              </w:rPr>
              <w:t>住宅建筑面积</w:t>
            </w:r>
          </w:p>
          <w:p>
            <w:pPr>
              <w:spacing w:line="30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b/>
                <w:bCs/>
              </w:rPr>
              <w:t>（万平方米）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hint="eastAsia" w:eastAsiaTheme="minorEastAsia"/>
                <w:b/>
                <w:bCs/>
              </w:rPr>
              <w:t>居民户数</w:t>
            </w:r>
          </w:p>
          <w:p>
            <w:pPr>
              <w:spacing w:line="30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b/>
                <w:bCs/>
              </w:rPr>
              <w:t>（户）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按小区性质划分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公房和房改房小区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491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1141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259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27097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保障房小区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42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1676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普通商品房小区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154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394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11187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自建房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369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426</w:t>
            </w:r>
          </w:p>
        </w:tc>
      </w:tr>
    </w:tbl>
    <w:p>
      <w:pPr>
        <w:rPr>
          <w:rFonts w:eastAsiaTheme="minorEastAsia"/>
        </w:rPr>
      </w:pPr>
    </w:p>
    <w:p>
      <w:pPr>
        <w:pStyle w:val="4"/>
        <w:numPr>
          <w:ilvl w:val="0"/>
          <w:numId w:val="0"/>
        </w:numPr>
        <w:spacing w:before="124"/>
        <w:rPr>
          <w:rFonts w:ascii="微软雅黑" w:hAnsi="微软雅黑" w:eastAsia="微软雅黑"/>
        </w:rPr>
      </w:pPr>
      <w:bookmarkStart w:id="4" w:name="_Toc62049000"/>
      <w:r>
        <w:rPr>
          <w:rFonts w:hint="eastAsia" w:ascii="微软雅黑" w:hAnsi="微软雅黑" w:eastAsia="微软雅黑"/>
        </w:rPr>
        <w:t>1.</w:t>
      </w:r>
      <w:r>
        <w:rPr>
          <w:rFonts w:hint="eastAsia" w:ascii="微软雅黑" w:hAnsi="微软雅黑" w:eastAsia="微软雅黑"/>
          <w:lang w:val="en-US" w:eastAsia="zh-CN"/>
        </w:rPr>
        <w:t>4</w:t>
      </w:r>
      <w:r>
        <w:rPr>
          <w:rFonts w:hint="eastAsia" w:ascii="微软雅黑" w:hAnsi="微软雅黑" w:eastAsia="微软雅黑"/>
        </w:rPr>
        <w:t xml:space="preserve">  建筑结构及质量情况</w:t>
      </w:r>
      <w:bookmarkEnd w:id="4"/>
    </w:p>
    <w:p>
      <w:pPr>
        <w:ind w:firstLine="480" w:firstLineChars="200"/>
        <w:rPr>
          <w:rFonts w:ascii="微软雅黑" w:hAnsi="微软雅黑" w:eastAsia="微软雅黑"/>
        </w:rPr>
      </w:pPr>
    </w:p>
    <w:p>
      <w:pPr>
        <w:ind w:firstLine="241" w:firstLineChars="100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结构分类统计表</w:t>
      </w:r>
    </w:p>
    <w:tbl>
      <w:tblPr>
        <w:tblStyle w:val="24"/>
        <w:tblW w:w="827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470"/>
        <w:gridCol w:w="1355"/>
        <w:gridCol w:w="1355"/>
        <w:gridCol w:w="1514"/>
        <w:gridCol w:w="13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b/>
                <w:bCs/>
              </w:rPr>
              <w:t>分类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hint="eastAsia" w:eastAsiaTheme="minorEastAsia"/>
                <w:b/>
                <w:bCs/>
              </w:rPr>
              <w:t>小区数</w:t>
            </w:r>
          </w:p>
          <w:p>
            <w:pPr>
              <w:spacing w:line="30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b/>
                <w:bCs/>
              </w:rPr>
              <w:t>（个）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hint="eastAsia" w:eastAsiaTheme="minorEastAsia"/>
                <w:b/>
                <w:bCs/>
              </w:rPr>
              <w:t>楼栋数</w:t>
            </w:r>
          </w:p>
          <w:p>
            <w:pPr>
              <w:spacing w:line="30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b/>
                <w:bCs/>
              </w:rPr>
              <w:t>（栋）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b/>
                <w:bCs/>
              </w:rPr>
              <w:t>住宅建筑面积（万平方米）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b/>
                <w:bCs/>
              </w:rPr>
              <w:t>居民户数（户）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按建筑结构形式划分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砖混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634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1895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392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38765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砖木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木结构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钢筋混凝土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47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1427</w:t>
            </w:r>
          </w:p>
        </w:tc>
      </w:tr>
    </w:tbl>
    <w:p>
      <w:pPr>
        <w:ind w:firstLine="240" w:firstLineChars="100"/>
        <w:jc w:val="center"/>
        <w:rPr>
          <w:rFonts w:eastAsiaTheme="minorEastAsia"/>
        </w:rPr>
      </w:pPr>
    </w:p>
    <w:p>
      <w:pPr>
        <w:pStyle w:val="4"/>
        <w:numPr>
          <w:ilvl w:val="0"/>
          <w:numId w:val="0"/>
        </w:numPr>
        <w:spacing w:before="124"/>
        <w:rPr>
          <w:rFonts w:ascii="微软雅黑" w:hAnsi="微软雅黑" w:eastAsia="微软雅黑"/>
        </w:rPr>
      </w:pPr>
      <w:bookmarkStart w:id="5" w:name="_Toc62049001"/>
      <w:r>
        <w:rPr>
          <w:rFonts w:hint="eastAsia" w:ascii="微软雅黑" w:hAnsi="微软雅黑" w:eastAsia="微软雅黑"/>
        </w:rPr>
        <w:t>1.</w:t>
      </w:r>
      <w:r>
        <w:rPr>
          <w:rFonts w:hint="eastAsia" w:ascii="微软雅黑" w:hAnsi="微软雅黑" w:eastAsia="微软雅黑"/>
          <w:lang w:val="en-US" w:eastAsia="zh-CN"/>
        </w:rPr>
        <w:t>5</w:t>
      </w:r>
      <w:r>
        <w:rPr>
          <w:rFonts w:hint="eastAsia" w:ascii="微软雅黑" w:hAnsi="微软雅黑" w:eastAsia="微软雅黑"/>
        </w:rPr>
        <w:t xml:space="preserve">  小结</w:t>
      </w:r>
      <w:bookmarkEnd w:id="5"/>
    </w:p>
    <w:p>
      <w:pPr>
        <w:ind w:firstLine="48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1、小区内部居住环境问题：基础设施陈旧、维护管理落后，老旧小区原有空间与现今城市生活方式之间的矛盾突出。</w:t>
      </w:r>
    </w:p>
    <w:p>
      <w:pPr>
        <w:ind w:firstLine="48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2、小区城市配套关联问题：交通联系不畅、配套覆盖不足，城市公共服务辐射小区能力不足。</w:t>
      </w:r>
    </w:p>
    <w:p>
      <w:pPr>
        <w:ind w:firstLine="48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3、城市定位、功能与更新问题：小区风貌老旧，旅游服务缺失，历史文化旅游名城与小区风貌及城市功能脱节的矛盾突出。</w:t>
      </w:r>
    </w:p>
    <w:p>
      <w:pPr>
        <w:ind w:firstLine="48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域老旧小区改造以提升和优化类为主。</w:t>
      </w:r>
    </w:p>
    <w:p>
      <w:pPr>
        <w:pStyle w:val="2"/>
        <w:numPr>
          <w:ilvl w:val="0"/>
          <w:numId w:val="0"/>
        </w:numPr>
        <w:ind w:right="240"/>
        <w:jc w:val="left"/>
        <w:rPr>
          <w:rFonts w:ascii="微软雅黑" w:hAnsi="微软雅黑" w:eastAsia="微软雅黑"/>
        </w:rPr>
      </w:pPr>
      <w:bookmarkStart w:id="6" w:name="_Toc62049003"/>
      <w:bookmarkStart w:id="7" w:name="_Toc20283"/>
      <w:r>
        <w:rPr>
          <w:rFonts w:hint="eastAsia" w:ascii="微软雅黑" w:hAnsi="微软雅黑" w:eastAsia="微软雅黑"/>
        </w:rPr>
        <w:t>2</w:t>
      </w:r>
      <w:r>
        <w:rPr>
          <w:rFonts w:ascii="微软雅黑" w:hAnsi="微软雅黑" w:eastAsia="微软雅黑"/>
        </w:rPr>
        <w:t>.</w:t>
      </w:r>
      <w:r>
        <w:rPr>
          <w:rFonts w:hint="eastAsia" w:ascii="微软雅黑" w:hAnsi="微软雅黑" w:eastAsia="微软雅黑"/>
        </w:rPr>
        <w:t>规划总则</w:t>
      </w:r>
      <w:bookmarkEnd w:id="6"/>
      <w:bookmarkEnd w:id="7"/>
    </w:p>
    <w:p>
      <w:pPr>
        <w:pStyle w:val="4"/>
        <w:numPr>
          <w:ilvl w:val="0"/>
          <w:numId w:val="0"/>
        </w:numPr>
        <w:spacing w:before="124"/>
        <w:rPr>
          <w:rFonts w:ascii="微软雅黑" w:hAnsi="微软雅黑" w:eastAsia="微软雅黑"/>
        </w:rPr>
      </w:pPr>
      <w:bookmarkStart w:id="8" w:name="_Toc62049006"/>
      <w:r>
        <w:rPr>
          <w:rFonts w:hint="eastAsia" w:ascii="微软雅黑" w:hAnsi="微软雅黑" w:eastAsia="微软雅黑"/>
        </w:rPr>
        <w:t>2</w:t>
      </w:r>
      <w:r>
        <w:rPr>
          <w:rFonts w:ascii="微软雅黑" w:hAnsi="微软雅黑" w:eastAsia="微软雅黑"/>
        </w:rPr>
        <w:t>.1</w:t>
      </w:r>
      <w:r>
        <w:rPr>
          <w:rFonts w:hint="eastAsia" w:ascii="微软雅黑" w:hAnsi="微软雅黑" w:eastAsia="微软雅黑"/>
        </w:rPr>
        <w:t>改造依据</w:t>
      </w:r>
      <w:bookmarkEnd w:id="8"/>
    </w:p>
    <w:p>
      <w:pPr>
        <w:ind w:firstLine="48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本规划依据国务院办公厅《关于全面推进城镇老旧小区改造工作的指导意见》，按照四川省人民政府关于全面推进城镇老旧小区改造的工作部署，参考《四川省城镇老旧小区工作手册（试行）》、《四川省城镇老旧小区改造技术导则》以及国家、省相关规范标准等编制。同时，结合乐山实际依据乐山相关规划要求进行统筹。</w:t>
      </w:r>
    </w:p>
    <w:p>
      <w:pPr>
        <w:pStyle w:val="4"/>
        <w:numPr>
          <w:ilvl w:val="0"/>
          <w:numId w:val="0"/>
        </w:numPr>
        <w:spacing w:before="124"/>
        <w:rPr>
          <w:rFonts w:ascii="微软雅黑" w:hAnsi="微软雅黑" w:eastAsia="微软雅黑"/>
        </w:rPr>
      </w:pPr>
      <w:bookmarkStart w:id="9" w:name="_Toc62049007"/>
      <w:r>
        <w:rPr>
          <w:rFonts w:hint="eastAsia" w:ascii="微软雅黑" w:hAnsi="微软雅黑" w:eastAsia="微软雅黑"/>
        </w:rPr>
        <w:t>2</w:t>
      </w:r>
      <w:r>
        <w:rPr>
          <w:rFonts w:ascii="微软雅黑" w:hAnsi="微软雅黑" w:eastAsia="微软雅黑"/>
        </w:rPr>
        <w:t>.2</w:t>
      </w:r>
      <w:r>
        <w:rPr>
          <w:rFonts w:hint="eastAsia" w:ascii="微软雅黑" w:hAnsi="微软雅黑" w:eastAsia="微软雅黑"/>
        </w:rPr>
        <w:t>改造期限</w:t>
      </w:r>
      <w:bookmarkEnd w:id="9"/>
    </w:p>
    <w:p>
      <w:pPr>
        <w:ind w:firstLine="48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本次规划为2020-2025年老旧小区专项改造规划，规划期限为2020年至2025年，并以年度改造计划作为改造时序划分的主要依据。</w:t>
      </w:r>
    </w:p>
    <w:p>
      <w:pPr>
        <w:pStyle w:val="3"/>
        <w:numPr>
          <w:ilvl w:val="0"/>
          <w:numId w:val="0"/>
        </w:numPr>
        <w:spacing w:line="415" w:lineRule="auto"/>
        <w:rPr>
          <w:rFonts w:ascii="微软雅黑" w:hAnsi="微软雅黑" w:eastAsia="微软雅黑"/>
          <w:sz w:val="24"/>
          <w:szCs w:val="24"/>
        </w:rPr>
      </w:pPr>
      <w:bookmarkStart w:id="10" w:name="_Toc27371"/>
      <w:bookmarkStart w:id="11" w:name="_Toc62049008"/>
      <w:r>
        <w:rPr>
          <w:rFonts w:hint="eastAsia" w:ascii="微软雅黑" w:hAnsi="微软雅黑" w:eastAsia="微软雅黑"/>
          <w:sz w:val="24"/>
          <w:szCs w:val="24"/>
        </w:rPr>
        <w:t>2</w:t>
      </w:r>
      <w:r>
        <w:rPr>
          <w:rFonts w:ascii="微软雅黑" w:hAnsi="微软雅黑" w:eastAsia="微软雅黑"/>
          <w:sz w:val="24"/>
          <w:szCs w:val="24"/>
        </w:rPr>
        <w:t>.3</w:t>
      </w:r>
      <w:r>
        <w:rPr>
          <w:rFonts w:hint="eastAsia" w:ascii="微软雅黑" w:hAnsi="微软雅黑" w:eastAsia="微软雅黑"/>
          <w:sz w:val="24"/>
          <w:szCs w:val="24"/>
        </w:rPr>
        <w:t>规划原则</w:t>
      </w:r>
      <w:bookmarkEnd w:id="10"/>
      <w:bookmarkEnd w:id="11"/>
    </w:p>
    <w:p>
      <w:pPr>
        <w:ind w:firstLine="480" w:firstLineChars="200"/>
        <w:rPr>
          <w:rFonts w:ascii="微软雅黑" w:hAnsi="微软雅黑" w:eastAsia="微软雅黑"/>
        </w:rPr>
      </w:pPr>
      <w:r>
        <w:rPr>
          <w:rFonts w:ascii="微软雅黑" w:hAnsi="微软雅黑" w:eastAsia="微软雅黑"/>
          <w:b/>
        </w:rPr>
        <w:t>以人为本</w:t>
      </w:r>
      <w:r>
        <w:rPr>
          <w:rFonts w:hint="eastAsia" w:ascii="微软雅黑" w:hAnsi="微软雅黑" w:eastAsia="微软雅黑"/>
          <w:b/>
        </w:rPr>
        <w:t>。</w:t>
      </w:r>
      <w:r>
        <w:rPr>
          <w:rFonts w:hint="eastAsia" w:ascii="微软雅黑" w:hAnsi="微软雅黑" w:eastAsia="微软雅黑"/>
        </w:rPr>
        <w:t>征求居民意见并合理确定改造内容，重点改造完善小区配套和市政基础设施，提升社区养老、托育、医疗等公共服务水平，推动建设安全健康、设施完善、管理有序的完整居住社区。</w:t>
      </w:r>
    </w:p>
    <w:p>
      <w:pPr>
        <w:ind w:firstLine="480" w:firstLineChars="200"/>
        <w:rPr>
          <w:rFonts w:ascii="微软雅黑" w:hAnsi="微软雅黑" w:eastAsia="微软雅黑"/>
        </w:rPr>
      </w:pPr>
      <w:r>
        <w:rPr>
          <w:rFonts w:ascii="微软雅黑" w:hAnsi="微软雅黑" w:eastAsia="微软雅黑"/>
          <w:b/>
        </w:rPr>
        <w:t>因地制宜</w:t>
      </w:r>
      <w:r>
        <w:rPr>
          <w:rFonts w:hint="eastAsia" w:ascii="微软雅黑" w:hAnsi="微软雅黑" w:eastAsia="微软雅黑"/>
          <w:b/>
        </w:rPr>
        <w:t>。</w:t>
      </w:r>
      <w:r>
        <w:rPr>
          <w:rFonts w:hint="eastAsia" w:ascii="微软雅黑" w:hAnsi="微软雅黑" w:eastAsia="微软雅黑"/>
        </w:rPr>
        <w:t>科学确定改造目标，既尽力而为又量力而行，合理制定改造方案，体现小区特点，杜绝政绩工程、形象工程。</w:t>
      </w:r>
    </w:p>
    <w:p>
      <w:pPr>
        <w:ind w:firstLine="48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</w:rPr>
        <w:t>公共参与。</w:t>
      </w:r>
      <w:r>
        <w:rPr>
          <w:rFonts w:hint="eastAsia" w:ascii="微软雅黑" w:hAnsi="微软雅黑" w:eastAsia="微软雅黑"/>
        </w:rPr>
        <w:t>激发居民参与改造的主动性、积极性，充分调动小区关联单位和社会力量支持、参与改造，实现决策共谋、发展共建、建设共管、效果共评、成果共享。</w:t>
      </w:r>
    </w:p>
    <w:p>
      <w:pPr>
        <w:ind w:firstLine="48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</w:rPr>
        <w:t>治管并举。</w:t>
      </w:r>
      <w:r>
        <w:rPr>
          <w:rFonts w:hint="eastAsia" w:ascii="微软雅黑" w:hAnsi="微软雅黑" w:eastAsia="微软雅黑"/>
        </w:rPr>
        <w:t>以加强基层党建为引领，将社区治理能力建设融入改造过程，促进小区治理模式创新，推动社会治理和服务重心向基层下移，完善小区长效管理机制。</w:t>
      </w:r>
    </w:p>
    <w:p>
      <w:pPr>
        <w:ind w:firstLine="48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</w:rPr>
        <w:t>有机更新。</w:t>
      </w:r>
      <w:r>
        <w:rPr>
          <w:rFonts w:hint="eastAsia" w:ascii="微软雅黑" w:hAnsi="微软雅黑" w:eastAsia="微软雅黑"/>
        </w:rPr>
        <w:t>老旧小区改造不搞“一刀切”，应统筹安排进度，，保证改造建设分段进行，合理、有序的推动改造计划实施。</w:t>
      </w:r>
    </w:p>
    <w:p>
      <w:pPr>
        <w:pStyle w:val="3"/>
        <w:numPr>
          <w:ilvl w:val="0"/>
          <w:numId w:val="0"/>
        </w:numPr>
        <w:spacing w:line="415" w:lineRule="auto"/>
        <w:rPr>
          <w:rFonts w:ascii="微软雅黑" w:hAnsi="微软雅黑" w:eastAsia="微软雅黑"/>
          <w:sz w:val="24"/>
          <w:szCs w:val="24"/>
        </w:rPr>
      </w:pPr>
      <w:bookmarkStart w:id="12" w:name="_Toc6723"/>
      <w:bookmarkStart w:id="13" w:name="_Toc62049009"/>
      <w:r>
        <w:rPr>
          <w:rFonts w:hint="eastAsia" w:ascii="微软雅黑" w:hAnsi="微软雅黑" w:eastAsia="微软雅黑"/>
          <w:sz w:val="24"/>
          <w:szCs w:val="24"/>
        </w:rPr>
        <w:t>2</w:t>
      </w:r>
      <w:r>
        <w:rPr>
          <w:rFonts w:ascii="微软雅黑" w:hAnsi="微软雅黑" w:eastAsia="微软雅黑"/>
          <w:sz w:val="24"/>
          <w:szCs w:val="24"/>
        </w:rPr>
        <w:t>.4</w:t>
      </w:r>
      <w:r>
        <w:rPr>
          <w:rFonts w:hint="eastAsia" w:ascii="微软雅黑" w:hAnsi="微软雅黑" w:eastAsia="微软雅黑"/>
          <w:sz w:val="24"/>
          <w:szCs w:val="24"/>
        </w:rPr>
        <w:t>规划范围</w:t>
      </w:r>
      <w:bookmarkEnd w:id="12"/>
      <w:bookmarkEnd w:id="13"/>
    </w:p>
    <w:p>
      <w:pPr>
        <w:ind w:firstLine="48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结合乐山实际，本次老旧小区更新改造规划的改造范围为乐山市主城区。</w:t>
      </w:r>
    </w:p>
    <w:p>
      <w:pPr>
        <w:pStyle w:val="3"/>
        <w:numPr>
          <w:ilvl w:val="0"/>
          <w:numId w:val="0"/>
        </w:numPr>
        <w:spacing w:line="415" w:lineRule="auto"/>
        <w:rPr>
          <w:rFonts w:ascii="微软雅黑" w:hAnsi="微软雅黑" w:eastAsia="微软雅黑"/>
          <w:sz w:val="24"/>
          <w:szCs w:val="24"/>
        </w:rPr>
      </w:pPr>
      <w:bookmarkStart w:id="14" w:name="_Toc62049010"/>
      <w:bookmarkStart w:id="15" w:name="_Toc13490"/>
      <w:r>
        <w:rPr>
          <w:rFonts w:hint="eastAsia" w:ascii="微软雅黑" w:hAnsi="微软雅黑" w:eastAsia="微软雅黑"/>
          <w:sz w:val="24"/>
          <w:szCs w:val="24"/>
        </w:rPr>
        <w:t>2</w:t>
      </w:r>
      <w:r>
        <w:rPr>
          <w:rFonts w:ascii="微软雅黑" w:hAnsi="微软雅黑" w:eastAsia="微软雅黑"/>
          <w:sz w:val="24"/>
          <w:szCs w:val="24"/>
        </w:rPr>
        <w:t>.5</w:t>
      </w:r>
      <w:r>
        <w:rPr>
          <w:rFonts w:hint="eastAsia" w:ascii="微软雅黑" w:hAnsi="微软雅黑" w:eastAsia="微软雅黑"/>
          <w:sz w:val="24"/>
          <w:szCs w:val="24"/>
        </w:rPr>
        <w:t>规划目标</w:t>
      </w:r>
      <w:bookmarkEnd w:id="14"/>
      <w:bookmarkEnd w:id="15"/>
    </w:p>
    <w:p>
      <w:pPr>
        <w:ind w:firstLine="48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通过对2</w:t>
      </w:r>
      <w:r>
        <w:rPr>
          <w:rFonts w:ascii="微软雅黑" w:hAnsi="微软雅黑" w:eastAsia="微软雅黑"/>
        </w:rPr>
        <w:t>00</w:t>
      </w:r>
      <w:r>
        <w:rPr>
          <w:rFonts w:hint="eastAsia" w:ascii="微软雅黑" w:hAnsi="微软雅黑" w:eastAsia="微软雅黑"/>
        </w:rPr>
        <w:t>5年前建成的主城区范围内老旧小区基础设施、小区建筑、小区环境，服务设施的改造，提升老旧小区的使用功能、绿化环境，创造和谐宜居的居住环境。</w:t>
      </w:r>
    </w:p>
    <w:p>
      <w:pPr>
        <w:pStyle w:val="2"/>
        <w:numPr>
          <w:ilvl w:val="0"/>
          <w:numId w:val="0"/>
        </w:numPr>
        <w:ind w:right="240"/>
        <w:jc w:val="left"/>
        <w:rPr>
          <w:rFonts w:ascii="微软雅黑" w:hAnsi="微软雅黑" w:eastAsia="微软雅黑"/>
        </w:rPr>
      </w:pPr>
      <w:bookmarkStart w:id="16" w:name="_Toc62049011"/>
      <w:bookmarkStart w:id="17" w:name="_Toc48"/>
      <w:r>
        <w:rPr>
          <w:rFonts w:hint="eastAsia" w:ascii="微软雅黑" w:hAnsi="微软雅黑" w:eastAsia="微软雅黑"/>
        </w:rPr>
        <w:t>3</w:t>
      </w:r>
      <w:r>
        <w:rPr>
          <w:rFonts w:ascii="微软雅黑" w:hAnsi="微软雅黑" w:eastAsia="微软雅黑"/>
        </w:rPr>
        <w:t>.</w:t>
      </w:r>
      <w:r>
        <w:rPr>
          <w:rFonts w:hint="eastAsia" w:ascii="微软雅黑" w:hAnsi="微软雅黑" w:eastAsia="微软雅黑"/>
        </w:rPr>
        <w:t>规划结构及布局</w:t>
      </w:r>
      <w:bookmarkEnd w:id="16"/>
      <w:bookmarkEnd w:id="17"/>
    </w:p>
    <w:p>
      <w:pPr>
        <w:pStyle w:val="4"/>
        <w:numPr>
          <w:ilvl w:val="0"/>
          <w:numId w:val="0"/>
        </w:numPr>
        <w:spacing w:before="124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</w:t>
      </w:r>
      <w:r>
        <w:rPr>
          <w:rFonts w:ascii="微软雅黑" w:hAnsi="微软雅黑" w:eastAsia="微软雅黑"/>
        </w:rPr>
        <w:t>.1</w:t>
      </w:r>
      <w:r>
        <w:rPr>
          <w:rFonts w:hint="eastAsia" w:ascii="微软雅黑" w:hAnsi="微软雅黑" w:eastAsia="微软雅黑"/>
        </w:rPr>
        <w:t>改造单元划分方案</w:t>
      </w:r>
    </w:p>
    <w:p>
      <w:pPr>
        <w:spacing w:line="360" w:lineRule="auto"/>
        <w:ind w:right="240" w:firstLine="48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依据上述划分原则，单元结构主要沿乐山城区历史发展空间顺序，以顺城街为核心沿嘉定南路向北延展，土桥街、大桥西街、竹公溪、嘉州大道为主要分界线，分布在主城区内的657个小区被大致划分为11个改造单元。</w:t>
      </w:r>
    </w:p>
    <w:p>
      <w:pPr>
        <w:ind w:right="240" w:firstLine="240" w:firstLineChars="100"/>
        <w:jc w:val="center"/>
        <w:rPr>
          <w:rFonts w:eastAsiaTheme="minorEastAsia"/>
        </w:rPr>
      </w:pPr>
    </w:p>
    <w:p>
      <w:pPr>
        <w:pStyle w:val="2"/>
        <w:numPr>
          <w:ilvl w:val="0"/>
          <w:numId w:val="0"/>
        </w:numPr>
        <w:ind w:right="240"/>
        <w:jc w:val="left"/>
        <w:rPr>
          <w:rFonts w:ascii="微软雅黑" w:hAnsi="微软雅黑" w:eastAsia="微软雅黑"/>
        </w:rPr>
      </w:pPr>
      <w:bookmarkStart w:id="18" w:name="_Toc62049014"/>
      <w:bookmarkStart w:id="19" w:name="_Toc28543"/>
      <w:r>
        <w:rPr>
          <w:rFonts w:hint="eastAsia" w:ascii="微软雅黑" w:hAnsi="微软雅黑" w:eastAsia="微软雅黑"/>
        </w:rPr>
        <w:t>4</w:t>
      </w:r>
      <w:r>
        <w:rPr>
          <w:rFonts w:ascii="微软雅黑" w:hAnsi="微软雅黑" w:eastAsia="微软雅黑"/>
        </w:rPr>
        <w:t>.</w:t>
      </w:r>
      <w:r>
        <w:rPr>
          <w:rFonts w:hint="eastAsia" w:ascii="微软雅黑" w:hAnsi="微软雅黑" w:eastAsia="微软雅黑"/>
        </w:rPr>
        <w:t>老旧小区改造指引</w:t>
      </w:r>
      <w:bookmarkEnd w:id="18"/>
      <w:bookmarkEnd w:id="19"/>
    </w:p>
    <w:p>
      <w:pPr>
        <w:ind w:firstLine="48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城镇老旧小区改造类型分为基础类改造、完善类改造、提升类改造三类，主要包括基础设施改造与完善、小区建筑修缮、小区环境整治、服务设施配套等内容。本次老旧小区改造指引即从基础设施、建筑改造、环境改造、服务设施四大部分进行阐述，同时对相应改造要素的改造类型进行注解，便于选择改造要素时可根据改造类型有所侧重。</w:t>
      </w:r>
    </w:p>
    <w:p>
      <w:pPr>
        <w:pStyle w:val="3"/>
        <w:numPr>
          <w:ilvl w:val="0"/>
          <w:numId w:val="0"/>
        </w:numPr>
        <w:spacing w:line="415" w:lineRule="auto"/>
        <w:rPr>
          <w:rFonts w:ascii="微软雅黑" w:hAnsi="微软雅黑" w:eastAsia="微软雅黑"/>
          <w:sz w:val="24"/>
          <w:szCs w:val="24"/>
        </w:rPr>
      </w:pPr>
      <w:bookmarkStart w:id="20" w:name="_Toc29150"/>
      <w:bookmarkStart w:id="21" w:name="_Toc62049015"/>
      <w:r>
        <w:rPr>
          <w:rFonts w:hint="eastAsia" w:ascii="微软雅黑" w:hAnsi="微软雅黑" w:eastAsia="微软雅黑"/>
          <w:sz w:val="24"/>
          <w:szCs w:val="24"/>
        </w:rPr>
        <w:t>4.1基础设施改造指引</w:t>
      </w:r>
      <w:bookmarkEnd w:id="20"/>
    </w:p>
    <w:p>
      <w:pPr>
        <w:ind w:firstLine="48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从供水、排水、电力、通信、照明、环卫、供气、管综、道路、消防、安防、防雷、停车等方面提出问题导向的改造设计指引，并给出相关设计依据与参考。基础设施改造除停车外均属于基础类改造类型，因此，有关老旧小区基础设施的改造，应坚持基于群众意愿、应改尽改。</w:t>
      </w:r>
    </w:p>
    <w:bookmarkEnd w:id="21"/>
    <w:p>
      <w:pPr>
        <w:pStyle w:val="2"/>
        <w:numPr>
          <w:ilvl w:val="0"/>
          <w:numId w:val="0"/>
        </w:numPr>
        <w:ind w:right="240"/>
        <w:jc w:val="left"/>
        <w:rPr>
          <w:rFonts w:ascii="微软雅黑" w:hAnsi="微软雅黑" w:eastAsia="微软雅黑"/>
        </w:rPr>
      </w:pPr>
      <w:bookmarkStart w:id="22" w:name="_Toc62049084"/>
      <w:bookmarkStart w:id="23" w:name="_Toc19851"/>
      <w:r>
        <w:rPr>
          <w:rFonts w:hint="eastAsia" w:ascii="微软雅黑" w:hAnsi="微软雅黑" w:eastAsia="微软雅黑"/>
          <w:lang w:val="en-US" w:eastAsia="zh-CN"/>
        </w:rPr>
        <w:t>5</w:t>
      </w:r>
      <w:r>
        <w:rPr>
          <w:rFonts w:ascii="微软雅黑" w:hAnsi="微软雅黑" w:eastAsia="微软雅黑"/>
        </w:rPr>
        <w:t>.</w:t>
      </w:r>
      <w:r>
        <w:rPr>
          <w:rFonts w:hint="eastAsia" w:ascii="微软雅黑" w:hAnsi="微软雅黑" w:eastAsia="微软雅黑"/>
        </w:rPr>
        <w:t>分期改造</w:t>
      </w:r>
      <w:bookmarkEnd w:id="22"/>
      <w:r>
        <w:rPr>
          <w:rFonts w:hint="eastAsia" w:ascii="微软雅黑" w:hAnsi="微软雅黑" w:eastAsia="微软雅黑"/>
        </w:rPr>
        <w:t>时序</w:t>
      </w:r>
      <w:bookmarkEnd w:id="23"/>
    </w:p>
    <w:p>
      <w:pPr>
        <w:numPr>
          <w:ilvl w:val="0"/>
          <w:numId w:val="2"/>
        </w:num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优先启动核心旅游节点区域老旧小区改造，改善区域旅游环形象，塑造范例，为后期项目积累实践经验。</w:t>
      </w:r>
    </w:p>
    <w:p>
      <w:pPr>
        <w:numPr>
          <w:ilvl w:val="0"/>
          <w:numId w:val="2"/>
        </w:num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逐步覆盖老城及邻近区域，重塑嘉州老城风貌。</w:t>
      </w:r>
      <w:bookmarkStart w:id="24" w:name="_GoBack"/>
      <w:bookmarkEnd w:id="24"/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主城区全覆盖，全面改善城市老旧小区居住环境品质。</w:t>
      </w:r>
    </w:p>
    <w:p>
      <w:pPr>
        <w:jc w:val="center"/>
        <w:rPr>
          <w:rFonts w:eastAsiaTheme="minorEastAsia"/>
          <w:b/>
          <w:bCs/>
        </w:rPr>
      </w:pPr>
      <w:r>
        <w:rPr>
          <w:rFonts w:hint="eastAsia" w:eastAsiaTheme="minorEastAsia"/>
          <w:b/>
          <w:bCs/>
        </w:rPr>
        <w:t>五年计划各项总投资</w:t>
      </w:r>
    </w:p>
    <w:tbl>
      <w:tblPr>
        <w:tblStyle w:val="24"/>
        <w:tblW w:w="3574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8"/>
        <w:gridCol w:w="2019"/>
        <w:gridCol w:w="21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7E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bCs/>
                <w:kern w:val="44"/>
                <w:sz w:val="22"/>
                <w:szCs w:val="28"/>
              </w:rPr>
            </w:pPr>
            <w:r>
              <w:rPr>
                <w:rFonts w:hint="eastAsia" w:eastAsiaTheme="minorEastAsia"/>
                <w:b/>
                <w:bCs/>
                <w:kern w:val="44"/>
                <w:sz w:val="22"/>
                <w:szCs w:val="28"/>
              </w:rPr>
              <w:t>年度计划</w:t>
            </w:r>
          </w:p>
        </w:tc>
        <w:tc>
          <w:tcPr>
            <w:tcW w:w="1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7E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bCs/>
                <w:kern w:val="44"/>
                <w:sz w:val="22"/>
                <w:szCs w:val="28"/>
              </w:rPr>
            </w:pPr>
            <w:r>
              <w:rPr>
                <w:rFonts w:hint="eastAsia" w:eastAsiaTheme="minorEastAsia"/>
                <w:b/>
                <w:bCs/>
                <w:kern w:val="44"/>
                <w:sz w:val="22"/>
                <w:szCs w:val="28"/>
              </w:rPr>
              <w:t>涉及小区总数（个）</w:t>
            </w:r>
          </w:p>
        </w:tc>
        <w:tc>
          <w:tcPr>
            <w:tcW w:w="1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7E7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bCs/>
                <w:kern w:val="44"/>
                <w:sz w:val="22"/>
                <w:szCs w:val="28"/>
              </w:rPr>
            </w:pPr>
            <w:r>
              <w:rPr>
                <w:rFonts w:hint="eastAsia" w:eastAsiaTheme="minorEastAsia"/>
                <w:b/>
                <w:bCs/>
                <w:kern w:val="44"/>
                <w:sz w:val="22"/>
                <w:szCs w:val="28"/>
              </w:rPr>
              <w:t>总户数（户）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7E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bCs/>
                <w:kern w:val="44"/>
                <w:sz w:val="22"/>
                <w:szCs w:val="28"/>
              </w:rPr>
            </w:pPr>
            <w:r>
              <w:rPr>
                <w:rFonts w:hint="eastAsia" w:eastAsiaTheme="minorEastAsia"/>
                <w:b/>
                <w:bCs/>
                <w:kern w:val="44"/>
                <w:sz w:val="22"/>
                <w:szCs w:val="28"/>
              </w:rPr>
              <w:t>2021年</w:t>
            </w:r>
          </w:p>
        </w:tc>
        <w:tc>
          <w:tcPr>
            <w:tcW w:w="1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7E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bCs/>
                <w:kern w:val="44"/>
                <w:sz w:val="22"/>
                <w:szCs w:val="28"/>
              </w:rPr>
            </w:pPr>
            <w:r>
              <w:rPr>
                <w:rFonts w:hint="eastAsia" w:eastAsiaTheme="minorEastAsia"/>
                <w:b/>
                <w:bCs/>
                <w:kern w:val="44"/>
                <w:sz w:val="22"/>
                <w:szCs w:val="28"/>
              </w:rPr>
              <w:t>90</w:t>
            </w:r>
          </w:p>
        </w:tc>
        <w:tc>
          <w:tcPr>
            <w:tcW w:w="1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7E7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bCs/>
                <w:kern w:val="44"/>
                <w:sz w:val="22"/>
                <w:szCs w:val="28"/>
              </w:rPr>
            </w:pPr>
            <w:r>
              <w:rPr>
                <w:rFonts w:hint="eastAsia" w:eastAsiaTheme="minorEastAsia"/>
                <w:b/>
                <w:bCs/>
                <w:kern w:val="44"/>
                <w:sz w:val="22"/>
                <w:szCs w:val="28"/>
              </w:rPr>
              <w:t>4849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7E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bCs/>
                <w:kern w:val="44"/>
                <w:sz w:val="22"/>
                <w:szCs w:val="28"/>
              </w:rPr>
            </w:pPr>
            <w:r>
              <w:rPr>
                <w:rFonts w:hint="eastAsia" w:eastAsiaTheme="minorEastAsia"/>
                <w:b/>
                <w:bCs/>
                <w:kern w:val="44"/>
                <w:sz w:val="22"/>
                <w:szCs w:val="28"/>
              </w:rPr>
              <w:t>2022年</w:t>
            </w:r>
          </w:p>
        </w:tc>
        <w:tc>
          <w:tcPr>
            <w:tcW w:w="1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7E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bCs/>
                <w:kern w:val="44"/>
                <w:sz w:val="22"/>
                <w:szCs w:val="28"/>
              </w:rPr>
            </w:pPr>
            <w:r>
              <w:rPr>
                <w:rFonts w:hint="eastAsia" w:eastAsiaTheme="minorEastAsia"/>
                <w:b/>
                <w:bCs/>
                <w:kern w:val="44"/>
                <w:sz w:val="22"/>
                <w:szCs w:val="28"/>
              </w:rPr>
              <w:t>120</w:t>
            </w:r>
          </w:p>
        </w:tc>
        <w:tc>
          <w:tcPr>
            <w:tcW w:w="1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7E7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bCs/>
                <w:kern w:val="44"/>
                <w:sz w:val="22"/>
                <w:szCs w:val="28"/>
              </w:rPr>
            </w:pPr>
            <w:r>
              <w:rPr>
                <w:rFonts w:hint="eastAsia" w:eastAsiaTheme="minorEastAsia"/>
                <w:b/>
                <w:bCs/>
                <w:kern w:val="44"/>
                <w:sz w:val="22"/>
                <w:szCs w:val="28"/>
              </w:rPr>
              <w:t>8548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7E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bCs/>
                <w:kern w:val="44"/>
                <w:sz w:val="22"/>
                <w:szCs w:val="28"/>
              </w:rPr>
            </w:pPr>
            <w:r>
              <w:rPr>
                <w:rFonts w:hint="eastAsia" w:eastAsiaTheme="minorEastAsia"/>
                <w:b/>
                <w:bCs/>
                <w:kern w:val="44"/>
                <w:sz w:val="22"/>
                <w:szCs w:val="28"/>
              </w:rPr>
              <w:t>2023年</w:t>
            </w:r>
          </w:p>
        </w:tc>
        <w:tc>
          <w:tcPr>
            <w:tcW w:w="1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7E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bCs/>
                <w:kern w:val="44"/>
                <w:sz w:val="22"/>
                <w:szCs w:val="28"/>
              </w:rPr>
            </w:pPr>
            <w:r>
              <w:rPr>
                <w:rFonts w:hint="eastAsia" w:eastAsiaTheme="minorEastAsia"/>
                <w:b/>
                <w:bCs/>
                <w:kern w:val="44"/>
                <w:sz w:val="22"/>
                <w:szCs w:val="28"/>
              </w:rPr>
              <w:t>135</w:t>
            </w:r>
          </w:p>
        </w:tc>
        <w:tc>
          <w:tcPr>
            <w:tcW w:w="1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7E7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bCs/>
                <w:kern w:val="44"/>
                <w:sz w:val="22"/>
                <w:szCs w:val="28"/>
              </w:rPr>
            </w:pPr>
            <w:r>
              <w:rPr>
                <w:rFonts w:hint="eastAsia" w:eastAsiaTheme="minorEastAsia"/>
                <w:b/>
                <w:bCs/>
                <w:kern w:val="44"/>
                <w:sz w:val="22"/>
                <w:szCs w:val="28"/>
              </w:rPr>
              <w:t>8444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7E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bCs/>
                <w:kern w:val="44"/>
                <w:sz w:val="22"/>
                <w:szCs w:val="28"/>
              </w:rPr>
            </w:pPr>
            <w:r>
              <w:rPr>
                <w:rFonts w:hint="eastAsia" w:eastAsiaTheme="minorEastAsia"/>
                <w:b/>
                <w:bCs/>
                <w:kern w:val="44"/>
                <w:sz w:val="22"/>
                <w:szCs w:val="28"/>
              </w:rPr>
              <w:t>2024年</w:t>
            </w:r>
          </w:p>
        </w:tc>
        <w:tc>
          <w:tcPr>
            <w:tcW w:w="1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7E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bCs/>
                <w:kern w:val="44"/>
                <w:sz w:val="22"/>
                <w:szCs w:val="28"/>
              </w:rPr>
            </w:pPr>
            <w:r>
              <w:rPr>
                <w:rFonts w:hint="eastAsia" w:eastAsiaTheme="minorEastAsia"/>
                <w:b/>
                <w:bCs/>
                <w:kern w:val="44"/>
                <w:sz w:val="22"/>
                <w:szCs w:val="28"/>
              </w:rPr>
              <w:t>146</w:t>
            </w:r>
          </w:p>
        </w:tc>
        <w:tc>
          <w:tcPr>
            <w:tcW w:w="1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7E7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bCs/>
                <w:kern w:val="44"/>
                <w:sz w:val="22"/>
                <w:szCs w:val="28"/>
              </w:rPr>
            </w:pPr>
            <w:r>
              <w:rPr>
                <w:rFonts w:hint="eastAsia" w:eastAsiaTheme="minorEastAsia"/>
                <w:b/>
                <w:bCs/>
                <w:kern w:val="44"/>
                <w:sz w:val="22"/>
                <w:szCs w:val="28"/>
              </w:rPr>
              <w:t>9894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7E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bCs/>
                <w:kern w:val="44"/>
                <w:sz w:val="22"/>
                <w:szCs w:val="28"/>
              </w:rPr>
            </w:pPr>
            <w:r>
              <w:rPr>
                <w:rFonts w:hint="eastAsia" w:eastAsiaTheme="minorEastAsia"/>
                <w:b/>
                <w:bCs/>
                <w:kern w:val="44"/>
                <w:sz w:val="22"/>
                <w:szCs w:val="28"/>
              </w:rPr>
              <w:t>2025年</w:t>
            </w:r>
          </w:p>
        </w:tc>
        <w:tc>
          <w:tcPr>
            <w:tcW w:w="1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7E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bCs/>
                <w:kern w:val="44"/>
                <w:sz w:val="22"/>
                <w:szCs w:val="28"/>
              </w:rPr>
            </w:pPr>
            <w:r>
              <w:rPr>
                <w:rFonts w:hint="eastAsia" w:eastAsiaTheme="minorEastAsia"/>
                <w:b/>
                <w:bCs/>
                <w:kern w:val="44"/>
                <w:sz w:val="22"/>
                <w:szCs w:val="28"/>
              </w:rPr>
              <w:t>166</w:t>
            </w:r>
          </w:p>
        </w:tc>
        <w:tc>
          <w:tcPr>
            <w:tcW w:w="1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7E7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bCs/>
                <w:kern w:val="44"/>
                <w:sz w:val="22"/>
                <w:szCs w:val="28"/>
              </w:rPr>
            </w:pPr>
            <w:r>
              <w:rPr>
                <w:rFonts w:hint="eastAsia" w:eastAsiaTheme="minorEastAsia"/>
                <w:b/>
                <w:bCs/>
                <w:kern w:val="44"/>
                <w:sz w:val="22"/>
                <w:szCs w:val="28"/>
              </w:rPr>
              <w:t>8524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7E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bCs/>
                <w:kern w:val="44"/>
                <w:sz w:val="22"/>
                <w:szCs w:val="28"/>
              </w:rPr>
            </w:pPr>
            <w:r>
              <w:rPr>
                <w:rFonts w:hint="eastAsia" w:eastAsiaTheme="minorEastAsia"/>
                <w:b/>
                <w:bCs/>
                <w:kern w:val="44"/>
                <w:sz w:val="22"/>
                <w:szCs w:val="28"/>
              </w:rPr>
              <w:t>合计</w:t>
            </w:r>
          </w:p>
        </w:tc>
        <w:tc>
          <w:tcPr>
            <w:tcW w:w="1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7E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bCs/>
                <w:kern w:val="44"/>
                <w:sz w:val="22"/>
                <w:szCs w:val="28"/>
              </w:rPr>
            </w:pPr>
            <w:r>
              <w:rPr>
                <w:rFonts w:hint="eastAsia" w:eastAsiaTheme="minorEastAsia"/>
                <w:b/>
                <w:bCs/>
                <w:kern w:val="44"/>
                <w:sz w:val="22"/>
                <w:szCs w:val="28"/>
              </w:rPr>
              <w:t>657</w:t>
            </w:r>
          </w:p>
        </w:tc>
        <w:tc>
          <w:tcPr>
            <w:tcW w:w="1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7E7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bCs/>
                <w:kern w:val="44"/>
                <w:sz w:val="22"/>
                <w:szCs w:val="28"/>
              </w:rPr>
            </w:pPr>
            <w:r>
              <w:rPr>
                <w:rFonts w:hint="eastAsia" w:eastAsiaTheme="minorEastAsia"/>
                <w:b/>
                <w:bCs/>
                <w:kern w:val="44"/>
                <w:sz w:val="22"/>
                <w:szCs w:val="28"/>
              </w:rPr>
              <w:t>40259</w:t>
            </w:r>
          </w:p>
        </w:tc>
      </w:tr>
    </w:tbl>
    <w:p>
      <w:pPr>
        <w:jc w:val="center"/>
        <w:rPr>
          <w:rFonts w:eastAsiaTheme="minorEastAsia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44970920"/>
      <w:docPartObj>
        <w:docPartGallery w:val="autotext"/>
      </w:docPartObj>
    </w:sdtPr>
    <w:sdtContent>
      <w:p>
        <w:pPr>
          <w:pStyle w:val="1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69</w:t>
        </w:r>
        <w:r>
          <w:fldChar w:fldCharType="end"/>
        </w:r>
      </w:p>
    </w:sdtContent>
  </w:sdt>
  <w:p>
    <w:pPr>
      <w:pStyle w:val="16"/>
      <w:ind w:right="2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9503C8"/>
    <w:multiLevelType w:val="multilevel"/>
    <w:tmpl w:val="0B9503C8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ascii="Microsoft JhengHei" w:hAnsi="Microsoft JhengHei" w:eastAsia="Microsoft JhengHei"/>
        <w:b/>
        <w:bCs/>
      </w:rPr>
    </w:lvl>
    <w:lvl w:ilvl="2" w:tentative="0">
      <w:start w:val="1"/>
      <w:numFmt w:val="decimal"/>
      <w:pStyle w:val="4"/>
      <w:lvlText w:val="%1.%2.%3"/>
      <w:lvlJc w:val="left"/>
      <w:pPr>
        <w:ind w:left="1287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abstractNum w:abstractNumId="1">
    <w:nsid w:val="29D038B5"/>
    <w:multiLevelType w:val="multilevel"/>
    <w:tmpl w:val="29D038B5"/>
    <w:lvl w:ilvl="0" w:tentative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FD0"/>
    <w:rsid w:val="000063D9"/>
    <w:rsid w:val="00006670"/>
    <w:rsid w:val="000355D8"/>
    <w:rsid w:val="0004502D"/>
    <w:rsid w:val="00074718"/>
    <w:rsid w:val="00087EEC"/>
    <w:rsid w:val="00090F76"/>
    <w:rsid w:val="00095AEF"/>
    <w:rsid w:val="000B6710"/>
    <w:rsid w:val="000D5ACB"/>
    <w:rsid w:val="000E51FB"/>
    <w:rsid w:val="000E672F"/>
    <w:rsid w:val="000F0668"/>
    <w:rsid w:val="000F0D15"/>
    <w:rsid w:val="00103370"/>
    <w:rsid w:val="00103CE9"/>
    <w:rsid w:val="001069BD"/>
    <w:rsid w:val="001443A6"/>
    <w:rsid w:val="00164C84"/>
    <w:rsid w:val="00176AC0"/>
    <w:rsid w:val="00181FFE"/>
    <w:rsid w:val="001838E3"/>
    <w:rsid w:val="001864A8"/>
    <w:rsid w:val="001946A1"/>
    <w:rsid w:val="001A25A7"/>
    <w:rsid w:val="001A2885"/>
    <w:rsid w:val="001A5705"/>
    <w:rsid w:val="001A7DAD"/>
    <w:rsid w:val="001B1463"/>
    <w:rsid w:val="001B4133"/>
    <w:rsid w:val="001C1FCC"/>
    <w:rsid w:val="001D6ABF"/>
    <w:rsid w:val="001E6E69"/>
    <w:rsid w:val="001F2A63"/>
    <w:rsid w:val="002009EB"/>
    <w:rsid w:val="00200E01"/>
    <w:rsid w:val="0020564A"/>
    <w:rsid w:val="002206D1"/>
    <w:rsid w:val="00226089"/>
    <w:rsid w:val="00240B51"/>
    <w:rsid w:val="002439A7"/>
    <w:rsid w:val="0026142B"/>
    <w:rsid w:val="002637F0"/>
    <w:rsid w:val="00264A76"/>
    <w:rsid w:val="00273C4B"/>
    <w:rsid w:val="00275B6F"/>
    <w:rsid w:val="00285752"/>
    <w:rsid w:val="00294957"/>
    <w:rsid w:val="002A2C50"/>
    <w:rsid w:val="002B46E3"/>
    <w:rsid w:val="002F7A74"/>
    <w:rsid w:val="003140A6"/>
    <w:rsid w:val="003170CC"/>
    <w:rsid w:val="00352616"/>
    <w:rsid w:val="00360DB2"/>
    <w:rsid w:val="0037220A"/>
    <w:rsid w:val="0038725F"/>
    <w:rsid w:val="003874B0"/>
    <w:rsid w:val="003C2BBE"/>
    <w:rsid w:val="003D2EC2"/>
    <w:rsid w:val="003D624C"/>
    <w:rsid w:val="00402992"/>
    <w:rsid w:val="00415BC2"/>
    <w:rsid w:val="00417BD3"/>
    <w:rsid w:val="00430231"/>
    <w:rsid w:val="0043139F"/>
    <w:rsid w:val="004316BA"/>
    <w:rsid w:val="00434D40"/>
    <w:rsid w:val="00435BE3"/>
    <w:rsid w:val="0044146A"/>
    <w:rsid w:val="004536CE"/>
    <w:rsid w:val="00455DEA"/>
    <w:rsid w:val="00456A97"/>
    <w:rsid w:val="004578EA"/>
    <w:rsid w:val="00460228"/>
    <w:rsid w:val="0046111B"/>
    <w:rsid w:val="00462D6C"/>
    <w:rsid w:val="004B0B97"/>
    <w:rsid w:val="004D0651"/>
    <w:rsid w:val="004E1971"/>
    <w:rsid w:val="004E5974"/>
    <w:rsid w:val="004F1890"/>
    <w:rsid w:val="004F18EF"/>
    <w:rsid w:val="004F5A9D"/>
    <w:rsid w:val="00502A48"/>
    <w:rsid w:val="00510F3A"/>
    <w:rsid w:val="00521720"/>
    <w:rsid w:val="0052540F"/>
    <w:rsid w:val="005340B1"/>
    <w:rsid w:val="00534E45"/>
    <w:rsid w:val="00550A0D"/>
    <w:rsid w:val="0055190C"/>
    <w:rsid w:val="00552556"/>
    <w:rsid w:val="00554191"/>
    <w:rsid w:val="0056374D"/>
    <w:rsid w:val="00564B68"/>
    <w:rsid w:val="00566BB4"/>
    <w:rsid w:val="005748AA"/>
    <w:rsid w:val="00576CB8"/>
    <w:rsid w:val="0059420E"/>
    <w:rsid w:val="005B2C33"/>
    <w:rsid w:val="005C0966"/>
    <w:rsid w:val="005D3F1F"/>
    <w:rsid w:val="005D7FBC"/>
    <w:rsid w:val="005E0B73"/>
    <w:rsid w:val="005E5927"/>
    <w:rsid w:val="005F41C5"/>
    <w:rsid w:val="00600B49"/>
    <w:rsid w:val="0060127E"/>
    <w:rsid w:val="00615BA9"/>
    <w:rsid w:val="00631796"/>
    <w:rsid w:val="00634E0B"/>
    <w:rsid w:val="00637D84"/>
    <w:rsid w:val="00651F2B"/>
    <w:rsid w:val="00674D06"/>
    <w:rsid w:val="00682736"/>
    <w:rsid w:val="00692B7A"/>
    <w:rsid w:val="006D5EE7"/>
    <w:rsid w:val="006F7428"/>
    <w:rsid w:val="007057DC"/>
    <w:rsid w:val="00715C99"/>
    <w:rsid w:val="00722EAC"/>
    <w:rsid w:val="00734600"/>
    <w:rsid w:val="00735874"/>
    <w:rsid w:val="007375D9"/>
    <w:rsid w:val="00740668"/>
    <w:rsid w:val="007463A0"/>
    <w:rsid w:val="0075714B"/>
    <w:rsid w:val="00767A00"/>
    <w:rsid w:val="00771EDD"/>
    <w:rsid w:val="00780A93"/>
    <w:rsid w:val="007A2E95"/>
    <w:rsid w:val="007B0F06"/>
    <w:rsid w:val="007B5434"/>
    <w:rsid w:val="007C43E9"/>
    <w:rsid w:val="007C5156"/>
    <w:rsid w:val="007E0306"/>
    <w:rsid w:val="007E25F3"/>
    <w:rsid w:val="007E7656"/>
    <w:rsid w:val="007F4148"/>
    <w:rsid w:val="007F430E"/>
    <w:rsid w:val="00806BF4"/>
    <w:rsid w:val="00840125"/>
    <w:rsid w:val="00845F8D"/>
    <w:rsid w:val="008465E6"/>
    <w:rsid w:val="008502F8"/>
    <w:rsid w:val="00861762"/>
    <w:rsid w:val="00862D78"/>
    <w:rsid w:val="00867D02"/>
    <w:rsid w:val="00874669"/>
    <w:rsid w:val="00880A7B"/>
    <w:rsid w:val="00884268"/>
    <w:rsid w:val="00890D59"/>
    <w:rsid w:val="008B52FC"/>
    <w:rsid w:val="008B7010"/>
    <w:rsid w:val="008C32D7"/>
    <w:rsid w:val="008D1EF5"/>
    <w:rsid w:val="008D6737"/>
    <w:rsid w:val="008E3E46"/>
    <w:rsid w:val="008E659D"/>
    <w:rsid w:val="008E7CEA"/>
    <w:rsid w:val="008F5917"/>
    <w:rsid w:val="009032B1"/>
    <w:rsid w:val="009136F5"/>
    <w:rsid w:val="00913E46"/>
    <w:rsid w:val="0092360F"/>
    <w:rsid w:val="0092597F"/>
    <w:rsid w:val="0092653C"/>
    <w:rsid w:val="00926C7A"/>
    <w:rsid w:val="00943A0D"/>
    <w:rsid w:val="00983CEE"/>
    <w:rsid w:val="009A32ED"/>
    <w:rsid w:val="009A499D"/>
    <w:rsid w:val="009F38B6"/>
    <w:rsid w:val="00A03BCE"/>
    <w:rsid w:val="00A11BA4"/>
    <w:rsid w:val="00A12B5B"/>
    <w:rsid w:val="00A1564E"/>
    <w:rsid w:val="00A2254C"/>
    <w:rsid w:val="00A27E8E"/>
    <w:rsid w:val="00A34CC0"/>
    <w:rsid w:val="00A37F40"/>
    <w:rsid w:val="00A412B3"/>
    <w:rsid w:val="00A425B7"/>
    <w:rsid w:val="00A75829"/>
    <w:rsid w:val="00A97B2A"/>
    <w:rsid w:val="00AA40F0"/>
    <w:rsid w:val="00AD1719"/>
    <w:rsid w:val="00AE7A57"/>
    <w:rsid w:val="00B0090E"/>
    <w:rsid w:val="00B04C8E"/>
    <w:rsid w:val="00B050FF"/>
    <w:rsid w:val="00B32A03"/>
    <w:rsid w:val="00B43C2C"/>
    <w:rsid w:val="00B65DD3"/>
    <w:rsid w:val="00B742C0"/>
    <w:rsid w:val="00B77A6E"/>
    <w:rsid w:val="00B8439C"/>
    <w:rsid w:val="00B84CE3"/>
    <w:rsid w:val="00B87B16"/>
    <w:rsid w:val="00B87EE3"/>
    <w:rsid w:val="00B9526B"/>
    <w:rsid w:val="00BB0031"/>
    <w:rsid w:val="00BB0CDE"/>
    <w:rsid w:val="00BB3621"/>
    <w:rsid w:val="00BC0F34"/>
    <w:rsid w:val="00BD2202"/>
    <w:rsid w:val="00BE3BD5"/>
    <w:rsid w:val="00C01D43"/>
    <w:rsid w:val="00C2028F"/>
    <w:rsid w:val="00C21C55"/>
    <w:rsid w:val="00C31BB2"/>
    <w:rsid w:val="00C54A31"/>
    <w:rsid w:val="00C6366C"/>
    <w:rsid w:val="00C673A6"/>
    <w:rsid w:val="00C71C35"/>
    <w:rsid w:val="00C75810"/>
    <w:rsid w:val="00C849EF"/>
    <w:rsid w:val="00C86A18"/>
    <w:rsid w:val="00C96CC7"/>
    <w:rsid w:val="00CA16AA"/>
    <w:rsid w:val="00CD2F04"/>
    <w:rsid w:val="00CE64FD"/>
    <w:rsid w:val="00CE6AFC"/>
    <w:rsid w:val="00CF0708"/>
    <w:rsid w:val="00CF1FAB"/>
    <w:rsid w:val="00CF45A1"/>
    <w:rsid w:val="00CF4E67"/>
    <w:rsid w:val="00CF5FBE"/>
    <w:rsid w:val="00D00BC5"/>
    <w:rsid w:val="00D03DAA"/>
    <w:rsid w:val="00D07808"/>
    <w:rsid w:val="00D179FF"/>
    <w:rsid w:val="00D330DA"/>
    <w:rsid w:val="00D55370"/>
    <w:rsid w:val="00D60384"/>
    <w:rsid w:val="00D63BEF"/>
    <w:rsid w:val="00D75572"/>
    <w:rsid w:val="00D80383"/>
    <w:rsid w:val="00D827BC"/>
    <w:rsid w:val="00D842EC"/>
    <w:rsid w:val="00D965D0"/>
    <w:rsid w:val="00D96CEC"/>
    <w:rsid w:val="00DA0DFD"/>
    <w:rsid w:val="00DA6E76"/>
    <w:rsid w:val="00DA7796"/>
    <w:rsid w:val="00DB4AB6"/>
    <w:rsid w:val="00DB6DCD"/>
    <w:rsid w:val="00DB74EA"/>
    <w:rsid w:val="00DE3598"/>
    <w:rsid w:val="00DE579C"/>
    <w:rsid w:val="00DF13F2"/>
    <w:rsid w:val="00E00FAC"/>
    <w:rsid w:val="00E222FE"/>
    <w:rsid w:val="00E45BAF"/>
    <w:rsid w:val="00E54014"/>
    <w:rsid w:val="00E55868"/>
    <w:rsid w:val="00E82AE6"/>
    <w:rsid w:val="00E855D7"/>
    <w:rsid w:val="00E9258A"/>
    <w:rsid w:val="00E95201"/>
    <w:rsid w:val="00E95617"/>
    <w:rsid w:val="00E9767B"/>
    <w:rsid w:val="00E9788E"/>
    <w:rsid w:val="00EA7781"/>
    <w:rsid w:val="00EC6191"/>
    <w:rsid w:val="00ED1C12"/>
    <w:rsid w:val="00ED28DE"/>
    <w:rsid w:val="00ED6FD0"/>
    <w:rsid w:val="00EE5B69"/>
    <w:rsid w:val="00EF43B4"/>
    <w:rsid w:val="00F13B8F"/>
    <w:rsid w:val="00F25640"/>
    <w:rsid w:val="00F30357"/>
    <w:rsid w:val="00F30CA2"/>
    <w:rsid w:val="00F317C9"/>
    <w:rsid w:val="00F57EF0"/>
    <w:rsid w:val="00F61A5E"/>
    <w:rsid w:val="00F6291A"/>
    <w:rsid w:val="00F75EE0"/>
    <w:rsid w:val="00F760EF"/>
    <w:rsid w:val="00F87A7A"/>
    <w:rsid w:val="00FB17B3"/>
    <w:rsid w:val="00FD02C6"/>
    <w:rsid w:val="00FD0E29"/>
    <w:rsid w:val="00FD37F9"/>
    <w:rsid w:val="00FF035E"/>
    <w:rsid w:val="0FFE2F3A"/>
    <w:rsid w:val="14642BDE"/>
    <w:rsid w:val="238F1F34"/>
    <w:rsid w:val="33EC1B81"/>
    <w:rsid w:val="3AFF7AB5"/>
    <w:rsid w:val="3DA15F42"/>
    <w:rsid w:val="5FA81486"/>
    <w:rsid w:val="601E28B0"/>
    <w:rsid w:val="60D3187D"/>
    <w:rsid w:val="686F2263"/>
    <w:rsid w:val="77CD5CAC"/>
    <w:rsid w:val="79226F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180" w:lineRule="auto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0"/>
    <w:pPr>
      <w:keepNext/>
      <w:keepLines/>
      <w:numPr>
        <w:ilvl w:val="0"/>
        <w:numId w:val="1"/>
      </w:numPr>
      <w:spacing w:before="340" w:line="578" w:lineRule="auto"/>
      <w:ind w:left="0" w:hanging="431" w:hangingChars="180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34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cstheme="majorBidi"/>
      <w:b/>
      <w:bCs/>
      <w:sz w:val="30"/>
      <w:szCs w:val="32"/>
    </w:rPr>
  </w:style>
  <w:style w:type="paragraph" w:styleId="4">
    <w:name w:val="heading 3"/>
    <w:basedOn w:val="1"/>
    <w:next w:val="1"/>
    <w:link w:val="35"/>
    <w:semiHidden/>
    <w:unhideWhenUsed/>
    <w:qFormat/>
    <w:uiPriority w:val="0"/>
    <w:pPr>
      <w:keepNext/>
      <w:keepLines/>
      <w:numPr>
        <w:ilvl w:val="2"/>
        <w:numId w:val="1"/>
      </w:numPr>
      <w:spacing w:line="415" w:lineRule="auto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6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7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8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Cs w:val="24"/>
    </w:rPr>
  </w:style>
  <w:style w:type="paragraph" w:styleId="8">
    <w:name w:val="heading 7"/>
    <w:basedOn w:val="1"/>
    <w:next w:val="1"/>
    <w:link w:val="39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Cs w:val="24"/>
    </w:rPr>
  </w:style>
  <w:style w:type="paragraph" w:styleId="9">
    <w:name w:val="heading 8"/>
    <w:basedOn w:val="1"/>
    <w:next w:val="1"/>
    <w:link w:val="40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Cs w:val="24"/>
    </w:rPr>
  </w:style>
  <w:style w:type="paragraph" w:styleId="10">
    <w:name w:val="heading 9"/>
    <w:basedOn w:val="1"/>
    <w:next w:val="1"/>
    <w:link w:val="4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26">
    <w:name w:val="Default Paragraph Font"/>
    <w:semiHidden/>
    <w:qFormat/>
    <w:uiPriority w:val="0"/>
  </w:style>
  <w:style w:type="table" w:default="1" w:styleId="2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spacing w:line="240" w:lineRule="auto"/>
      <w:ind w:left="2520" w:leftChars="1200"/>
    </w:pPr>
    <w:rPr>
      <w:rFonts w:eastAsiaTheme="minorEastAsia"/>
      <w:sz w:val="21"/>
    </w:rPr>
  </w:style>
  <w:style w:type="paragraph" w:styleId="12">
    <w:name w:val="toc 5"/>
    <w:basedOn w:val="1"/>
    <w:next w:val="1"/>
    <w:qFormat/>
    <w:uiPriority w:val="0"/>
    <w:pPr>
      <w:spacing w:line="240" w:lineRule="auto"/>
      <w:ind w:left="1680" w:leftChars="800"/>
    </w:pPr>
    <w:rPr>
      <w:rFonts w:eastAsiaTheme="minorEastAsia"/>
      <w:sz w:val="21"/>
    </w:rPr>
  </w:style>
  <w:style w:type="paragraph" w:styleId="13">
    <w:name w:val="toc 3"/>
    <w:basedOn w:val="1"/>
    <w:next w:val="1"/>
    <w:qFormat/>
    <w:uiPriority w:val="0"/>
    <w:pPr>
      <w:ind w:left="840" w:leftChars="400"/>
    </w:pPr>
  </w:style>
  <w:style w:type="paragraph" w:styleId="14">
    <w:name w:val="toc 8"/>
    <w:basedOn w:val="1"/>
    <w:next w:val="1"/>
    <w:qFormat/>
    <w:uiPriority w:val="0"/>
    <w:pPr>
      <w:spacing w:line="240" w:lineRule="auto"/>
      <w:ind w:left="2940" w:leftChars="1400"/>
    </w:pPr>
    <w:rPr>
      <w:rFonts w:eastAsiaTheme="minorEastAsia"/>
      <w:sz w:val="21"/>
    </w:rPr>
  </w:style>
  <w:style w:type="paragraph" w:styleId="15">
    <w:name w:val="Balloon Text"/>
    <w:basedOn w:val="1"/>
    <w:link w:val="46"/>
    <w:qFormat/>
    <w:uiPriority w:val="0"/>
    <w:pPr>
      <w:spacing w:line="240" w:lineRule="auto"/>
    </w:pPr>
    <w:rPr>
      <w:sz w:val="18"/>
      <w:szCs w:val="18"/>
    </w:rPr>
  </w:style>
  <w:style w:type="paragraph" w:styleId="16">
    <w:name w:val="footer"/>
    <w:basedOn w:val="1"/>
    <w:link w:val="4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0"/>
  </w:style>
  <w:style w:type="paragraph" w:styleId="19">
    <w:name w:val="toc 4"/>
    <w:basedOn w:val="1"/>
    <w:next w:val="1"/>
    <w:qFormat/>
    <w:uiPriority w:val="0"/>
    <w:pPr>
      <w:spacing w:line="240" w:lineRule="auto"/>
      <w:ind w:left="1260" w:leftChars="600"/>
    </w:pPr>
    <w:rPr>
      <w:rFonts w:eastAsiaTheme="minorEastAsia"/>
      <w:sz w:val="21"/>
    </w:rPr>
  </w:style>
  <w:style w:type="paragraph" w:styleId="20">
    <w:name w:val="toc 6"/>
    <w:basedOn w:val="1"/>
    <w:next w:val="1"/>
    <w:qFormat/>
    <w:uiPriority w:val="0"/>
    <w:pPr>
      <w:spacing w:line="240" w:lineRule="auto"/>
      <w:ind w:left="2100" w:leftChars="1000"/>
    </w:pPr>
    <w:rPr>
      <w:rFonts w:eastAsiaTheme="minorEastAsia"/>
      <w:sz w:val="21"/>
    </w:rPr>
  </w:style>
  <w:style w:type="paragraph" w:styleId="21">
    <w:name w:val="toc 2"/>
    <w:basedOn w:val="1"/>
    <w:next w:val="1"/>
    <w:qFormat/>
    <w:uiPriority w:val="0"/>
    <w:pPr>
      <w:ind w:left="420" w:leftChars="200"/>
    </w:pPr>
  </w:style>
  <w:style w:type="paragraph" w:styleId="22">
    <w:name w:val="toc 9"/>
    <w:basedOn w:val="1"/>
    <w:next w:val="1"/>
    <w:qFormat/>
    <w:uiPriority w:val="0"/>
    <w:pPr>
      <w:spacing w:line="240" w:lineRule="auto"/>
      <w:ind w:left="3360" w:leftChars="1600"/>
    </w:pPr>
    <w:rPr>
      <w:rFonts w:eastAsiaTheme="minorEastAsia"/>
      <w:sz w:val="21"/>
    </w:rPr>
  </w:style>
  <w:style w:type="paragraph" w:styleId="2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table" w:styleId="25">
    <w:name w:val="Table Grid"/>
    <w:basedOn w:val="2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basedOn w:val="26"/>
    <w:qFormat/>
    <w:uiPriority w:val="0"/>
    <w:rPr>
      <w:rFonts w:eastAsia="黑体"/>
      <w:b/>
      <w:bCs/>
      <w:color w:val="000000" w:themeColor="text1"/>
      <w:sz w:val="24"/>
      <w14:textFill>
        <w14:solidFill>
          <w14:schemeClr w14:val="tx1"/>
        </w14:solidFill>
      </w14:textFill>
    </w:rPr>
  </w:style>
  <w:style w:type="character" w:styleId="28">
    <w:name w:val="page number"/>
    <w:basedOn w:val="26"/>
    <w:qFormat/>
    <w:uiPriority w:val="0"/>
  </w:style>
  <w:style w:type="character" w:styleId="29">
    <w:name w:val="Emphasis"/>
    <w:basedOn w:val="26"/>
    <w:qFormat/>
    <w:uiPriority w:val="0"/>
    <w:rPr>
      <w:rFonts w:eastAsia="黑体"/>
      <w:b/>
      <w:iCs/>
      <w:sz w:val="22"/>
    </w:rPr>
  </w:style>
  <w:style w:type="character" w:styleId="30">
    <w:name w:val="Hyperlink"/>
    <w:basedOn w:val="2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31">
    <w:name w:val="标题 1 Char"/>
    <w:basedOn w:val="26"/>
    <w:link w:val="2"/>
    <w:qFormat/>
    <w:uiPriority w:val="9"/>
    <w:rPr>
      <w:rFonts w:asciiTheme="minorHAnsi" w:hAnsiTheme="minorHAnsi" w:cstheme="minorBidi"/>
      <w:b/>
      <w:bCs/>
      <w:kern w:val="44"/>
      <w:sz w:val="36"/>
      <w:szCs w:val="44"/>
    </w:rPr>
  </w:style>
  <w:style w:type="paragraph" w:customStyle="1" w:styleId="32">
    <w:name w:val="TOC 标题1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character" w:customStyle="1" w:styleId="34">
    <w:name w:val="标题 2 Char"/>
    <w:basedOn w:val="26"/>
    <w:link w:val="3"/>
    <w:qFormat/>
    <w:uiPriority w:val="9"/>
    <w:rPr>
      <w:rFonts w:eastAsia="Microsoft JhengHei" w:asciiTheme="majorHAnsi" w:hAnsiTheme="majorHAnsi" w:cstheme="majorBidi"/>
      <w:b/>
      <w:bCs/>
      <w:sz w:val="30"/>
      <w:szCs w:val="32"/>
    </w:rPr>
  </w:style>
  <w:style w:type="character" w:customStyle="1" w:styleId="35">
    <w:name w:val="标题 3 Char"/>
    <w:basedOn w:val="26"/>
    <w:link w:val="4"/>
    <w:qFormat/>
    <w:uiPriority w:val="9"/>
    <w:rPr>
      <w:rFonts w:asciiTheme="minorHAnsi" w:hAnsiTheme="minorHAnsi" w:cstheme="minorBidi"/>
      <w:b/>
      <w:bCs/>
      <w:kern w:val="2"/>
      <w:sz w:val="24"/>
      <w:szCs w:val="32"/>
    </w:rPr>
  </w:style>
  <w:style w:type="character" w:customStyle="1" w:styleId="36">
    <w:name w:val="标题 4 Char"/>
    <w:basedOn w:val="26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7">
    <w:name w:val="标题 5 Char"/>
    <w:basedOn w:val="26"/>
    <w:link w:val="6"/>
    <w:semiHidden/>
    <w:qFormat/>
    <w:uiPriority w:val="9"/>
    <w:rPr>
      <w:rFonts w:eastAsia="Microsoft JhengHei"/>
      <w:b/>
      <w:bCs/>
      <w:sz w:val="28"/>
      <w:szCs w:val="28"/>
    </w:rPr>
  </w:style>
  <w:style w:type="character" w:customStyle="1" w:styleId="38">
    <w:name w:val="标题 6 Char"/>
    <w:basedOn w:val="26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9">
    <w:name w:val="标题 7 Char"/>
    <w:basedOn w:val="26"/>
    <w:link w:val="8"/>
    <w:semiHidden/>
    <w:qFormat/>
    <w:uiPriority w:val="9"/>
    <w:rPr>
      <w:rFonts w:eastAsia="Microsoft JhengHei"/>
      <w:b/>
      <w:bCs/>
      <w:sz w:val="24"/>
      <w:szCs w:val="24"/>
    </w:rPr>
  </w:style>
  <w:style w:type="character" w:customStyle="1" w:styleId="40">
    <w:name w:val="标题 8 Char"/>
    <w:basedOn w:val="26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41">
    <w:name w:val="标题 9 Char"/>
    <w:basedOn w:val="26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42">
    <w:name w:val="页眉 Char"/>
    <w:basedOn w:val="26"/>
    <w:link w:val="17"/>
    <w:qFormat/>
    <w:uiPriority w:val="99"/>
    <w:rPr>
      <w:rFonts w:eastAsia="Microsoft JhengHei" w:asciiTheme="minorHAnsi" w:hAnsiTheme="minorHAnsi" w:cstheme="minorBidi"/>
      <w:kern w:val="2"/>
      <w:sz w:val="18"/>
      <w:szCs w:val="18"/>
    </w:rPr>
  </w:style>
  <w:style w:type="character" w:customStyle="1" w:styleId="43">
    <w:name w:val="页脚 Char"/>
    <w:basedOn w:val="26"/>
    <w:link w:val="16"/>
    <w:qFormat/>
    <w:uiPriority w:val="99"/>
    <w:rPr>
      <w:rFonts w:eastAsia="Microsoft JhengHei"/>
      <w:sz w:val="18"/>
      <w:szCs w:val="18"/>
    </w:rPr>
  </w:style>
  <w:style w:type="paragraph" w:styleId="44">
    <w:name w:val="No Spacing"/>
    <w:qFormat/>
    <w:uiPriority w:val="1"/>
    <w:pPr>
      <w:widowControl w:val="0"/>
      <w:ind w:left="240" w:leftChars="100" w:right="100" w:rightChars="100"/>
      <w:jc w:val="both"/>
    </w:pPr>
    <w:rPr>
      <w:rFonts w:eastAsia="Microsoft JhengHei" w:asciiTheme="minorHAnsi" w:hAnsiTheme="minorHAnsi" w:cstheme="minorBidi"/>
      <w:kern w:val="2"/>
      <w:sz w:val="24"/>
      <w:szCs w:val="22"/>
      <w:lang w:val="en-US" w:eastAsia="zh-CN" w:bidi="ar-SA"/>
    </w:rPr>
  </w:style>
  <w:style w:type="character" w:customStyle="1" w:styleId="45">
    <w:name w:val="未处理的提及1"/>
    <w:basedOn w:val="2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6">
    <w:name w:val="批注框文本 Char"/>
    <w:basedOn w:val="26"/>
    <w:link w:val="15"/>
    <w:semiHidden/>
    <w:qFormat/>
    <w:uiPriority w:val="99"/>
    <w:rPr>
      <w:rFonts w:eastAsia="Microsoft JhengHei"/>
      <w:sz w:val="18"/>
      <w:szCs w:val="18"/>
    </w:rPr>
  </w:style>
  <w:style w:type="table" w:customStyle="1" w:styleId="47">
    <w:name w:val="网格型1"/>
    <w:basedOn w:val="2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网格型2"/>
    <w:basedOn w:val="2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网格型3"/>
    <w:basedOn w:val="2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网格型4"/>
    <w:basedOn w:val="2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网格型5"/>
    <w:basedOn w:val="2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网格型6"/>
    <w:basedOn w:val="2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3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  <w:style w:type="paragraph" w:customStyle="1" w:styleId="54">
    <w:name w:val="WPSOffice手动目录 1"/>
    <w:qFormat/>
    <w:uiPriority w:val="0"/>
    <w:pPr>
      <w:ind w:leftChars="0"/>
    </w:pPr>
    <w:rPr>
      <w:rFonts w:ascii="Calibri" w:hAnsi="Calibri" w:eastAsia="宋体" w:cs="Times New Roman"/>
      <w:sz w:val="20"/>
      <w:szCs w:val="20"/>
    </w:rPr>
  </w:style>
  <w:style w:type="paragraph" w:customStyle="1" w:styleId="55">
    <w:name w:val="WPSOffice手动目录 2"/>
    <w:qFormat/>
    <w:uiPriority w:val="0"/>
    <w:pPr>
      <w:ind w:leftChars="200"/>
    </w:pPr>
    <w:rPr>
      <w:rFonts w:ascii="Calibri" w:hAnsi="Calibri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3496DA-42A4-464D-9E58-73FF310F48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72</Pages>
  <Words>34464</Words>
  <Characters>35749</Characters>
  <Lines>0</Lines>
  <Paragraphs>0</Paragraphs>
  <TotalTime>19</TotalTime>
  <ScaleCrop>false</ScaleCrop>
  <LinksUpToDate>false</LinksUpToDate>
  <CharactersWithSpaces>37012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2019-12-12T12:44:00Z</dcterms:created>
  <dc:creator>咕咕</dc:creator>
  <cp:lastModifiedBy>Administrator</cp:lastModifiedBy>
  <dcterms:modified xsi:type="dcterms:W3CDTF">2021-06-11T06:10:57Z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C8EB54DD9BB04300B1F89667108DB3F0</vt:lpwstr>
  </property>
</Properties>
</file>